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2020年度</w:t>
      </w:r>
    </w:p>
    <w:p>
      <w:pPr>
        <w:pStyle w:val="10"/>
        <w:jc w:val="center"/>
        <w:rPr>
          <w:sz w:val="84"/>
          <w:szCs w:val="84"/>
        </w:rPr>
      </w:pPr>
      <w:r>
        <w:rPr>
          <w:rFonts w:hint="eastAsia"/>
          <w:sz w:val="84"/>
          <w:szCs w:val="84"/>
        </w:rPr>
        <w:t>教育部门教科院决算</w:t>
      </w:r>
    </w:p>
    <w:p>
      <w:pPr>
        <w:pStyle w:val="10"/>
        <w:jc w:val="center"/>
        <w:rPr>
          <w:sz w:val="56"/>
          <w:szCs w:val="56"/>
        </w:rPr>
      </w:pPr>
    </w:p>
    <w:p>
      <w:pPr>
        <w:pStyle w:val="10"/>
        <w:jc w:val="center"/>
        <w:rPr>
          <w:sz w:val="56"/>
          <w:szCs w:val="56"/>
        </w:rPr>
      </w:pPr>
    </w:p>
    <w:p>
      <w:pPr>
        <w:pStyle w:val="10"/>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第一部分教科院概况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九、国有资本经营预算财政拨款支出决算情况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十、关于机关运行经费支出说明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十一、一般性支出情况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十二、关于政府采购支出说明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十三、关于国有资产占用情况说明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十四、关于2020年度预算绩效情况的说明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sz w:val="84"/>
          <w:szCs w:val="84"/>
        </w:rPr>
      </w:pPr>
      <w:r>
        <w:rPr>
          <w:rFonts w:hint="eastAsia"/>
          <w:sz w:val="84"/>
          <w:szCs w:val="84"/>
        </w:rPr>
        <w:t>教科院概况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widowControl/>
        <w:spacing w:line="300" w:lineRule="auto"/>
        <w:ind w:firstLine="640" w:firstLineChars="200"/>
        <w:jc w:val="left"/>
        <w:rPr>
          <w:rFonts w:ascii="仿宋" w:hAnsi="仿宋" w:eastAsia="仿宋" w:cs="仿宋"/>
          <w:sz w:val="32"/>
          <w:szCs w:val="32"/>
        </w:rPr>
      </w:pPr>
      <w:r>
        <w:rPr>
          <w:rFonts w:hint="eastAsia" w:ascii="仿宋" w:hAnsi="仿宋" w:eastAsia="仿宋" w:cs="仿宋"/>
          <w:sz w:val="32"/>
          <w:szCs w:val="32"/>
        </w:rPr>
        <w:t>岳阳市教育科学技术研究院是由原岳阳市教育科学研究所和原岳阳市教育技术中心合并后，于2008年12月重组成立的公益类全额拨款事业单位。承担全市中小学教育教学研究、学科教学业务指导和管理、教育装备建设等主要工作任务，致力于推动我市基础教育（含中小学教育、学前教育、特殊教育）、职业教育等的改革与发展，教学质量的监测与提质以及素质教育的研究与实践，积极提升我市基础教育、职业教育以及教育装备和信息化建设的水平。主要工作职责有：</w:t>
      </w:r>
    </w:p>
    <w:p>
      <w:pPr>
        <w:spacing w:line="300" w:lineRule="auto"/>
        <w:ind w:firstLine="640" w:firstLineChars="200"/>
        <w:rPr>
          <w:rFonts w:ascii="仿宋" w:hAnsi="仿宋" w:eastAsia="仿宋" w:cs="仿宋"/>
          <w:sz w:val="32"/>
          <w:szCs w:val="32"/>
        </w:rPr>
      </w:pPr>
      <w:r>
        <w:rPr>
          <w:rFonts w:hint="eastAsia" w:ascii="仿宋" w:hAnsi="仿宋" w:eastAsia="仿宋" w:cs="仿宋"/>
          <w:sz w:val="32"/>
          <w:szCs w:val="32"/>
        </w:rPr>
        <w:t>1.负责全市教育科学发展的规划、管理、指导以及教育科研成果的推广与应用；</w:t>
      </w:r>
    </w:p>
    <w:p>
      <w:pPr>
        <w:spacing w:line="300" w:lineRule="auto"/>
        <w:ind w:firstLine="640" w:firstLineChars="200"/>
        <w:rPr>
          <w:rFonts w:ascii="仿宋" w:hAnsi="仿宋" w:eastAsia="仿宋" w:cs="仿宋"/>
          <w:sz w:val="32"/>
          <w:szCs w:val="32"/>
        </w:rPr>
      </w:pPr>
      <w:r>
        <w:rPr>
          <w:rFonts w:hint="eastAsia" w:ascii="仿宋" w:hAnsi="仿宋" w:eastAsia="仿宋" w:cs="仿宋"/>
          <w:sz w:val="32"/>
          <w:szCs w:val="32"/>
        </w:rPr>
        <w:t>2.负责全市中小学教学研究和学科教学业务管理；</w:t>
      </w:r>
    </w:p>
    <w:p>
      <w:pPr>
        <w:spacing w:line="300" w:lineRule="auto"/>
        <w:ind w:firstLine="640" w:firstLineChars="200"/>
        <w:rPr>
          <w:rFonts w:ascii="仿宋" w:hAnsi="仿宋" w:eastAsia="仿宋" w:cs="仿宋"/>
          <w:sz w:val="32"/>
          <w:szCs w:val="32"/>
        </w:rPr>
      </w:pPr>
      <w:r>
        <w:rPr>
          <w:rFonts w:hint="eastAsia" w:ascii="仿宋" w:hAnsi="仿宋" w:eastAsia="仿宋" w:cs="仿宋"/>
          <w:sz w:val="32"/>
          <w:szCs w:val="32"/>
        </w:rPr>
        <w:t>3.负责规划、指导、管理全市实验教学及装备工作，统筹指导市直学校实验教学及装备工作；</w:t>
      </w:r>
    </w:p>
    <w:p>
      <w:pPr>
        <w:spacing w:line="300" w:lineRule="auto"/>
        <w:ind w:firstLine="640" w:firstLineChars="200"/>
        <w:rPr>
          <w:rFonts w:ascii="仿宋" w:hAnsi="仿宋" w:eastAsia="仿宋" w:cs="仿宋"/>
          <w:sz w:val="32"/>
          <w:szCs w:val="32"/>
        </w:rPr>
      </w:pPr>
      <w:r>
        <w:rPr>
          <w:rFonts w:hint="eastAsia" w:ascii="仿宋" w:hAnsi="仿宋" w:eastAsia="仿宋" w:cs="仿宋"/>
          <w:sz w:val="32"/>
          <w:szCs w:val="32"/>
        </w:rPr>
        <w:t>4.负责全市教育信息化建设的研究与指导，构建统一、开放、规范的教育信息化运行服务体系；</w:t>
      </w:r>
    </w:p>
    <w:p>
      <w:pPr>
        <w:spacing w:line="300" w:lineRule="auto"/>
        <w:ind w:firstLine="640" w:firstLineChars="200"/>
        <w:rPr>
          <w:rFonts w:ascii="仿宋" w:hAnsi="仿宋" w:eastAsia="仿宋" w:cs="仿宋"/>
          <w:sz w:val="32"/>
          <w:szCs w:val="32"/>
        </w:rPr>
      </w:pPr>
      <w:r>
        <w:rPr>
          <w:rFonts w:hint="eastAsia" w:ascii="仿宋" w:hAnsi="仿宋" w:eastAsia="仿宋" w:cs="仿宋"/>
          <w:sz w:val="32"/>
          <w:szCs w:val="32"/>
        </w:rPr>
        <w:t>5.负责全市职业教育与成人教育的研究与指导；</w:t>
      </w:r>
    </w:p>
    <w:p>
      <w:pPr>
        <w:spacing w:line="300" w:lineRule="auto"/>
        <w:ind w:firstLine="640" w:firstLineChars="200"/>
        <w:rPr>
          <w:rFonts w:ascii="仿宋" w:hAnsi="仿宋" w:eastAsia="仿宋" w:cs="仿宋"/>
          <w:sz w:val="32"/>
          <w:szCs w:val="32"/>
        </w:rPr>
      </w:pPr>
      <w:r>
        <w:rPr>
          <w:rFonts w:hint="eastAsia" w:ascii="仿宋" w:hAnsi="仿宋" w:eastAsia="仿宋" w:cs="仿宋"/>
          <w:sz w:val="32"/>
          <w:szCs w:val="32"/>
        </w:rPr>
        <w:t>6.负责全市中小学教师继续教育工作，建立健全研训一体的教师培养新机制；</w:t>
      </w:r>
    </w:p>
    <w:p>
      <w:pPr>
        <w:spacing w:line="300" w:lineRule="auto"/>
        <w:ind w:firstLine="640" w:firstLineChars="200"/>
        <w:rPr>
          <w:rFonts w:ascii="仿宋" w:hAnsi="仿宋" w:eastAsia="仿宋" w:cs="仿宋"/>
          <w:sz w:val="32"/>
          <w:szCs w:val="32"/>
        </w:rPr>
      </w:pPr>
      <w:r>
        <w:rPr>
          <w:rFonts w:hint="eastAsia" w:ascii="仿宋" w:hAnsi="仿宋" w:eastAsia="仿宋" w:cs="仿宋"/>
          <w:sz w:val="32"/>
          <w:szCs w:val="32"/>
        </w:rPr>
        <w:t>7.负责全市基础教育质量监测与语言文字培训测试工作。</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640" w:firstLineChars="200"/>
        <w:rPr>
          <w:rFonts w:hint="eastAsia" w:ascii="仿宋" w:hAnsi="仿宋" w:eastAsia="仿宋" w:cs="仿宋"/>
          <w:bCs/>
          <w:kern w:val="0"/>
          <w:sz w:val="32"/>
          <w:szCs w:val="32"/>
          <w:lang w:val="en-US" w:eastAsia="zh-CN"/>
        </w:rPr>
      </w:pPr>
      <w:r>
        <w:rPr>
          <w:rFonts w:hint="eastAsia" w:ascii="仿宋" w:hAnsi="仿宋" w:eastAsia="仿宋" w:cs="仿宋"/>
          <w:bCs/>
          <w:kern w:val="0"/>
          <w:sz w:val="32"/>
          <w:szCs w:val="32"/>
        </w:rPr>
        <w:t>内设机构设置。岳阳市单位内设机构包括：办公室、普通高中研究室、义务教育研究室、职成教育研究室、教育信息技术</w:t>
      </w:r>
      <w:r>
        <w:rPr>
          <w:rFonts w:hint="eastAsia" w:ascii="仿宋" w:hAnsi="仿宋" w:eastAsia="仿宋" w:cs="仿宋"/>
          <w:bCs/>
          <w:kern w:val="0"/>
          <w:sz w:val="32"/>
          <w:szCs w:val="32"/>
          <w:lang w:eastAsia="zh-CN"/>
        </w:rPr>
        <w:t>室</w:t>
      </w:r>
      <w:r>
        <w:rPr>
          <w:rFonts w:hint="eastAsia" w:ascii="仿宋" w:hAnsi="仿宋" w:eastAsia="仿宋" w:cs="仿宋"/>
          <w:bCs/>
          <w:kern w:val="0"/>
          <w:sz w:val="32"/>
          <w:szCs w:val="32"/>
        </w:rPr>
        <w:t>、</w:t>
      </w:r>
      <w:r>
        <w:rPr>
          <w:rFonts w:hint="eastAsia" w:ascii="仿宋" w:hAnsi="仿宋" w:eastAsia="仿宋" w:cs="仿宋"/>
          <w:bCs/>
          <w:kern w:val="0"/>
          <w:sz w:val="32"/>
          <w:szCs w:val="32"/>
          <w:lang w:eastAsia="zh-CN"/>
        </w:rPr>
        <w:t>中小学教师研修室、教育科学规划与发展室。</w:t>
      </w:r>
      <w:r>
        <w:rPr>
          <w:rFonts w:hint="eastAsia" w:ascii="仿宋" w:hAnsi="仿宋" w:eastAsia="仿宋" w:cs="宋体"/>
          <w:kern w:val="0"/>
          <w:sz w:val="28"/>
          <w:szCs w:val="28"/>
        </w:rPr>
        <w:t>我院隶属岳阳市教育体育局直属事业单位，组织机构</w:t>
      </w:r>
      <w:r>
        <w:rPr>
          <w:rFonts w:ascii="仿宋" w:hAnsi="仿宋" w:eastAsia="仿宋" w:cs="宋体"/>
          <w:kern w:val="0"/>
          <w:sz w:val="28"/>
          <w:szCs w:val="28"/>
        </w:rPr>
        <w:t>1个</w:t>
      </w:r>
      <w:r>
        <w:rPr>
          <w:rFonts w:hint="eastAsia" w:ascii="仿宋" w:hAnsi="仿宋" w:eastAsia="仿宋" w:cs="宋体"/>
          <w:kern w:val="0"/>
          <w:sz w:val="28"/>
          <w:szCs w:val="28"/>
        </w:rPr>
        <w:t>，为财政全额补助拨款单位，按要求实施财务独立核算。</w:t>
      </w:r>
      <w:r>
        <w:rPr>
          <w:rFonts w:hint="eastAsia" w:ascii="仿宋" w:hAnsi="仿宋" w:eastAsia="仿宋" w:cs="仿宋"/>
          <w:bCs/>
          <w:kern w:val="0"/>
          <w:sz w:val="32"/>
          <w:szCs w:val="32"/>
          <w:lang w:eastAsia="zh-CN"/>
        </w:rPr>
        <w:t>本单位为预算二级单位，决算单位公开单位为岳阳市教育体育局。</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6"/>
        <w:tblW w:w="143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6"/>
        <w:gridCol w:w="590"/>
        <w:gridCol w:w="2301"/>
        <w:gridCol w:w="4296"/>
        <w:gridCol w:w="590"/>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14375" w:type="dxa"/>
            <w:gridSpan w:val="6"/>
            <w:tcBorders>
              <w:top w:val="nil"/>
              <w:left w:val="nil"/>
              <w:bottom w:val="nil"/>
              <w:right w:val="nil"/>
            </w:tcBorders>
            <w:shd w:val="clear" w:color="auto" w:fill="auto"/>
            <w:noWrap/>
            <w:vAlign w:val="bottom"/>
          </w:tcPr>
          <w:p>
            <w:pPr>
              <w:widowControl/>
              <w:jc w:val="center"/>
              <w:rPr>
                <w:rFonts w:ascii="方正小标宋简体" w:hAnsi="宋体" w:eastAsia="方正小标宋简体" w:cs="Arial"/>
                <w:color w:val="000000"/>
                <w:kern w:val="0"/>
                <w:sz w:val="36"/>
                <w:szCs w:val="30"/>
              </w:rPr>
            </w:pPr>
          </w:p>
          <w:p>
            <w:pPr>
              <w:widowControl/>
              <w:jc w:val="center"/>
              <w:rPr>
                <w:rFonts w:hint="eastAsia" w:ascii="方正小标宋简体" w:hAnsi="Times New Roman" w:eastAsia="方正小标宋简体" w:cs="Times New Roman"/>
                <w:kern w:val="0"/>
                <w:sz w:val="36"/>
                <w:szCs w:val="20"/>
              </w:rPr>
            </w:pPr>
            <w:r>
              <w:rPr>
                <w:rFonts w:hint="eastAsia" w:ascii="方正小标宋简体" w:hAnsi="宋体" w:eastAsia="方正小标宋简体" w:cs="Arial"/>
                <w:color w:val="000000"/>
                <w:kern w:val="0"/>
                <w:sz w:val="36"/>
                <w:szCs w:val="30"/>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29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590"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2301"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429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590"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2302" w:type="dxa"/>
            <w:tcBorders>
              <w:top w:val="nil"/>
              <w:left w:val="nil"/>
              <w:bottom w:val="nil"/>
              <w:right w:val="nil"/>
            </w:tcBorders>
            <w:shd w:val="clear" w:color="auto" w:fill="auto"/>
            <w:noWrap/>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公开01表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296" w:type="dxa"/>
            <w:tcBorders>
              <w:top w:val="nil"/>
              <w:left w:val="nil"/>
              <w:bottom w:val="single" w:color="auto" w:sz="4" w:space="0"/>
              <w:right w:val="nil"/>
            </w:tcBorders>
            <w:shd w:val="clear" w:color="auto" w:fill="auto"/>
            <w:noWrap/>
            <w:vAlign w:val="bottom"/>
          </w:tcPr>
          <w:p>
            <w:pPr>
              <w:widowControl/>
              <w:jc w:val="left"/>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部门：岳阳市教育科学技术研究院</w:t>
            </w:r>
          </w:p>
        </w:tc>
        <w:tc>
          <w:tcPr>
            <w:tcW w:w="590" w:type="dxa"/>
            <w:tcBorders>
              <w:top w:val="nil"/>
              <w:left w:val="nil"/>
              <w:bottom w:val="single" w:color="auto" w:sz="4" w:space="0"/>
              <w:right w:val="nil"/>
            </w:tcBorders>
            <w:shd w:val="clear" w:color="auto" w:fill="auto"/>
            <w:noWrap/>
            <w:vAlign w:val="bottom"/>
          </w:tcPr>
          <w:p>
            <w:pPr>
              <w:widowControl/>
              <w:jc w:val="left"/>
              <w:rPr>
                <w:rFonts w:hint="eastAsia" w:ascii="宋体" w:hAnsi="宋体" w:eastAsia="宋体" w:cs="Arial"/>
                <w:color w:val="000000"/>
                <w:kern w:val="0"/>
                <w:sz w:val="20"/>
                <w:szCs w:val="20"/>
              </w:rPr>
            </w:pPr>
          </w:p>
        </w:tc>
        <w:tc>
          <w:tcPr>
            <w:tcW w:w="2301"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4296"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590"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2302" w:type="dxa"/>
            <w:tcBorders>
              <w:top w:val="nil"/>
              <w:left w:val="nil"/>
              <w:bottom w:val="single" w:color="auto" w:sz="4" w:space="0"/>
              <w:right w:val="nil"/>
            </w:tcBorders>
            <w:shd w:val="clear" w:color="auto" w:fill="auto"/>
            <w:noWrap/>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7187" w:type="dxa"/>
            <w:gridSpan w:val="3"/>
            <w:tcBorders>
              <w:top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收入</w:t>
            </w:r>
          </w:p>
        </w:tc>
        <w:tc>
          <w:tcPr>
            <w:tcW w:w="7188" w:type="dxa"/>
            <w:gridSpan w:val="3"/>
            <w:tcBorders>
              <w:top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296"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项目</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行次</w:t>
            </w:r>
          </w:p>
        </w:tc>
        <w:tc>
          <w:tcPr>
            <w:tcW w:w="2301"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金额</w:t>
            </w:r>
          </w:p>
        </w:tc>
        <w:tc>
          <w:tcPr>
            <w:tcW w:w="4296"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项目</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行次</w:t>
            </w:r>
          </w:p>
        </w:tc>
        <w:tc>
          <w:tcPr>
            <w:tcW w:w="2302"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296"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栏次</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2301"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w:t>
            </w:r>
          </w:p>
        </w:tc>
        <w:tc>
          <w:tcPr>
            <w:tcW w:w="4296"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栏次</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2302"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一、一般公共预算财政拨款收入</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w:t>
            </w:r>
          </w:p>
        </w:tc>
        <w:tc>
          <w:tcPr>
            <w:tcW w:w="2301"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1,376.11</w:t>
            </w:r>
          </w:p>
        </w:tc>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一、一般公共服务支出</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32</w:t>
            </w:r>
          </w:p>
        </w:tc>
        <w:tc>
          <w:tcPr>
            <w:tcW w:w="2302"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二、政府性基金预算财政拨款收入</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w:t>
            </w:r>
          </w:p>
        </w:tc>
        <w:tc>
          <w:tcPr>
            <w:tcW w:w="2301"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二、外交支出</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33</w:t>
            </w:r>
          </w:p>
        </w:tc>
        <w:tc>
          <w:tcPr>
            <w:tcW w:w="2302"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三、国有资本经营预算财政拨款收入</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w:t>
            </w:r>
          </w:p>
        </w:tc>
        <w:tc>
          <w:tcPr>
            <w:tcW w:w="2301"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三、国防支出</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34</w:t>
            </w:r>
          </w:p>
        </w:tc>
        <w:tc>
          <w:tcPr>
            <w:tcW w:w="2302"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四、上级补助收入</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w:t>
            </w:r>
          </w:p>
        </w:tc>
        <w:tc>
          <w:tcPr>
            <w:tcW w:w="2301"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四、公共安全支出</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35</w:t>
            </w:r>
          </w:p>
        </w:tc>
        <w:tc>
          <w:tcPr>
            <w:tcW w:w="2302"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五、事业收入</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5</w:t>
            </w:r>
          </w:p>
        </w:tc>
        <w:tc>
          <w:tcPr>
            <w:tcW w:w="2301"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五、教育支出</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36</w:t>
            </w:r>
          </w:p>
        </w:tc>
        <w:tc>
          <w:tcPr>
            <w:tcW w:w="2302"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1,138.64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六、经营收入</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6</w:t>
            </w:r>
          </w:p>
        </w:tc>
        <w:tc>
          <w:tcPr>
            <w:tcW w:w="2301"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六、科学技术支出</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37</w:t>
            </w:r>
          </w:p>
        </w:tc>
        <w:tc>
          <w:tcPr>
            <w:tcW w:w="2302"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七、附属单位上缴收入</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7</w:t>
            </w:r>
          </w:p>
        </w:tc>
        <w:tc>
          <w:tcPr>
            <w:tcW w:w="2301"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七、文化旅游体育与传媒支出</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38</w:t>
            </w:r>
          </w:p>
        </w:tc>
        <w:tc>
          <w:tcPr>
            <w:tcW w:w="2302"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八、其他收入</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8</w:t>
            </w:r>
          </w:p>
        </w:tc>
        <w:tc>
          <w:tcPr>
            <w:tcW w:w="2301"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八、社会保障和就业支出</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39</w:t>
            </w:r>
          </w:p>
        </w:tc>
        <w:tc>
          <w:tcPr>
            <w:tcW w:w="2302"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75.49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9</w:t>
            </w:r>
          </w:p>
        </w:tc>
        <w:tc>
          <w:tcPr>
            <w:tcW w:w="2301"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九、卫生健康支出</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40</w:t>
            </w:r>
          </w:p>
        </w:tc>
        <w:tc>
          <w:tcPr>
            <w:tcW w:w="2302"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27.06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10</w:t>
            </w:r>
          </w:p>
        </w:tc>
        <w:tc>
          <w:tcPr>
            <w:tcW w:w="2301"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十、节能环保支出</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41</w:t>
            </w:r>
          </w:p>
        </w:tc>
        <w:tc>
          <w:tcPr>
            <w:tcW w:w="2302"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11</w:t>
            </w:r>
          </w:p>
        </w:tc>
        <w:tc>
          <w:tcPr>
            <w:tcW w:w="2301"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十一、城乡社区支出</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42</w:t>
            </w:r>
          </w:p>
        </w:tc>
        <w:tc>
          <w:tcPr>
            <w:tcW w:w="2302"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12</w:t>
            </w:r>
          </w:p>
        </w:tc>
        <w:tc>
          <w:tcPr>
            <w:tcW w:w="2301"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十二、农林水支出</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43</w:t>
            </w:r>
          </w:p>
        </w:tc>
        <w:tc>
          <w:tcPr>
            <w:tcW w:w="2302"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13</w:t>
            </w:r>
          </w:p>
        </w:tc>
        <w:tc>
          <w:tcPr>
            <w:tcW w:w="2301"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十三、交通运输支出</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44</w:t>
            </w:r>
          </w:p>
        </w:tc>
        <w:tc>
          <w:tcPr>
            <w:tcW w:w="2302"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14</w:t>
            </w:r>
          </w:p>
        </w:tc>
        <w:tc>
          <w:tcPr>
            <w:tcW w:w="2301"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十四、资源勘探工业信息等支出</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45</w:t>
            </w:r>
          </w:p>
        </w:tc>
        <w:tc>
          <w:tcPr>
            <w:tcW w:w="2302"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15</w:t>
            </w:r>
          </w:p>
        </w:tc>
        <w:tc>
          <w:tcPr>
            <w:tcW w:w="2301"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十五、商业服务业等支出</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46</w:t>
            </w:r>
          </w:p>
        </w:tc>
        <w:tc>
          <w:tcPr>
            <w:tcW w:w="2302"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16</w:t>
            </w:r>
          </w:p>
        </w:tc>
        <w:tc>
          <w:tcPr>
            <w:tcW w:w="2301"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十六、金融支出</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47</w:t>
            </w:r>
          </w:p>
        </w:tc>
        <w:tc>
          <w:tcPr>
            <w:tcW w:w="2302"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17</w:t>
            </w:r>
          </w:p>
        </w:tc>
        <w:tc>
          <w:tcPr>
            <w:tcW w:w="2301"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十七、援助其他地区支出</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48</w:t>
            </w:r>
          </w:p>
        </w:tc>
        <w:tc>
          <w:tcPr>
            <w:tcW w:w="2302"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18</w:t>
            </w:r>
          </w:p>
        </w:tc>
        <w:tc>
          <w:tcPr>
            <w:tcW w:w="2301"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十八、自然资源海洋气象等支出</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49</w:t>
            </w:r>
          </w:p>
        </w:tc>
        <w:tc>
          <w:tcPr>
            <w:tcW w:w="2302"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19</w:t>
            </w:r>
          </w:p>
        </w:tc>
        <w:tc>
          <w:tcPr>
            <w:tcW w:w="2301"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十九、住房保障支出</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50</w:t>
            </w:r>
          </w:p>
        </w:tc>
        <w:tc>
          <w:tcPr>
            <w:tcW w:w="2302"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43.78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20</w:t>
            </w:r>
          </w:p>
        </w:tc>
        <w:tc>
          <w:tcPr>
            <w:tcW w:w="2301"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二十、粮油物资储备支出</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51</w:t>
            </w:r>
          </w:p>
        </w:tc>
        <w:tc>
          <w:tcPr>
            <w:tcW w:w="2302"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21</w:t>
            </w:r>
          </w:p>
        </w:tc>
        <w:tc>
          <w:tcPr>
            <w:tcW w:w="2301"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二十一、国有资本经营预算支出</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52</w:t>
            </w:r>
          </w:p>
        </w:tc>
        <w:tc>
          <w:tcPr>
            <w:tcW w:w="2302"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22</w:t>
            </w:r>
          </w:p>
        </w:tc>
        <w:tc>
          <w:tcPr>
            <w:tcW w:w="2301"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二十二、灾害防治及应急管理支出</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53</w:t>
            </w:r>
          </w:p>
        </w:tc>
        <w:tc>
          <w:tcPr>
            <w:tcW w:w="2302"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23</w:t>
            </w:r>
          </w:p>
        </w:tc>
        <w:tc>
          <w:tcPr>
            <w:tcW w:w="2301"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二十三、其他支出</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54</w:t>
            </w:r>
          </w:p>
        </w:tc>
        <w:tc>
          <w:tcPr>
            <w:tcW w:w="2302"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296" w:type="dxa"/>
            <w:shd w:val="clear" w:color="auto" w:fill="auto"/>
            <w:noWrap/>
            <w:vAlign w:val="center"/>
          </w:tcPr>
          <w:p>
            <w:pPr>
              <w:widowControl/>
              <w:jc w:val="center"/>
              <w:rPr>
                <w:rFonts w:hint="eastAsia"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590" w:type="dxa"/>
            <w:shd w:val="clear" w:color="auto" w:fill="auto"/>
            <w:noWrap/>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24</w:t>
            </w:r>
          </w:p>
        </w:tc>
        <w:tc>
          <w:tcPr>
            <w:tcW w:w="2301" w:type="dxa"/>
            <w:shd w:val="clear" w:color="auto" w:fill="auto"/>
            <w:noWrap/>
            <w:vAlign w:val="center"/>
          </w:tcPr>
          <w:p>
            <w:pPr>
              <w:widowControl/>
              <w:jc w:val="right"/>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二十四、债务还本支出</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55</w:t>
            </w:r>
          </w:p>
        </w:tc>
        <w:tc>
          <w:tcPr>
            <w:tcW w:w="2302"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296" w:type="dxa"/>
            <w:shd w:val="clear" w:color="auto" w:fill="auto"/>
            <w:noWrap/>
            <w:vAlign w:val="center"/>
          </w:tcPr>
          <w:p>
            <w:pPr>
              <w:widowControl/>
              <w:jc w:val="left"/>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590" w:type="dxa"/>
            <w:shd w:val="clear" w:color="auto" w:fill="auto"/>
            <w:noWrap/>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25</w:t>
            </w:r>
          </w:p>
        </w:tc>
        <w:tc>
          <w:tcPr>
            <w:tcW w:w="2301" w:type="dxa"/>
            <w:shd w:val="clear" w:color="auto" w:fill="auto"/>
            <w:noWrap/>
            <w:vAlign w:val="center"/>
          </w:tcPr>
          <w:p>
            <w:pPr>
              <w:widowControl/>
              <w:jc w:val="right"/>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二十五、债务付息支出</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56</w:t>
            </w:r>
          </w:p>
        </w:tc>
        <w:tc>
          <w:tcPr>
            <w:tcW w:w="2302"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296" w:type="dxa"/>
            <w:shd w:val="clear" w:color="auto" w:fill="auto"/>
            <w:noWrap/>
            <w:vAlign w:val="center"/>
          </w:tcPr>
          <w:p>
            <w:pPr>
              <w:widowControl/>
              <w:jc w:val="left"/>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590" w:type="dxa"/>
            <w:shd w:val="clear" w:color="auto" w:fill="auto"/>
            <w:noWrap/>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26</w:t>
            </w:r>
          </w:p>
        </w:tc>
        <w:tc>
          <w:tcPr>
            <w:tcW w:w="2301" w:type="dxa"/>
            <w:shd w:val="clear" w:color="auto" w:fill="auto"/>
            <w:noWrap/>
            <w:vAlign w:val="center"/>
          </w:tcPr>
          <w:p>
            <w:pPr>
              <w:widowControl/>
              <w:jc w:val="right"/>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二十六、抗疫特别国债安排的支出</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57</w:t>
            </w:r>
          </w:p>
        </w:tc>
        <w:tc>
          <w:tcPr>
            <w:tcW w:w="2302"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296" w:type="dxa"/>
            <w:shd w:val="clear" w:color="auto" w:fill="auto"/>
            <w:noWrap/>
            <w:vAlign w:val="center"/>
          </w:tcPr>
          <w:p>
            <w:pPr>
              <w:widowControl/>
              <w:jc w:val="center"/>
              <w:rPr>
                <w:rFonts w:hint="eastAsia" w:ascii="宋体" w:hAnsi="宋体" w:eastAsia="宋体" w:cs="Arial"/>
                <w:b/>
                <w:bCs/>
                <w:color w:val="000000"/>
                <w:kern w:val="0"/>
                <w:sz w:val="22"/>
              </w:rPr>
            </w:pPr>
            <w:r>
              <w:rPr>
                <w:rFonts w:hint="eastAsia" w:ascii="宋体" w:hAnsi="宋体" w:eastAsia="宋体" w:cs="Arial"/>
                <w:b/>
                <w:bCs/>
                <w:color w:val="000000"/>
                <w:kern w:val="0"/>
                <w:sz w:val="22"/>
              </w:rPr>
              <w:t>本年收入合计</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27</w:t>
            </w:r>
          </w:p>
        </w:tc>
        <w:tc>
          <w:tcPr>
            <w:tcW w:w="2301"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1,376.11</w:t>
            </w:r>
          </w:p>
        </w:tc>
        <w:tc>
          <w:tcPr>
            <w:tcW w:w="4296" w:type="dxa"/>
            <w:shd w:val="clear" w:color="auto" w:fill="auto"/>
            <w:noWrap/>
            <w:vAlign w:val="center"/>
          </w:tcPr>
          <w:p>
            <w:pPr>
              <w:widowControl/>
              <w:jc w:val="center"/>
              <w:rPr>
                <w:rFonts w:hint="eastAsia" w:ascii="宋体" w:hAnsi="宋体" w:eastAsia="宋体" w:cs="Arial"/>
                <w:b/>
                <w:bCs/>
                <w:color w:val="000000"/>
                <w:kern w:val="0"/>
                <w:sz w:val="22"/>
              </w:rPr>
            </w:pPr>
            <w:r>
              <w:rPr>
                <w:rFonts w:hint="eastAsia" w:ascii="宋体" w:hAnsi="宋体" w:eastAsia="宋体" w:cs="Arial"/>
                <w:b/>
                <w:bCs/>
                <w:color w:val="000000"/>
                <w:kern w:val="0"/>
                <w:sz w:val="22"/>
              </w:rPr>
              <w:t>本年支出合计</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58</w:t>
            </w:r>
          </w:p>
        </w:tc>
        <w:tc>
          <w:tcPr>
            <w:tcW w:w="2302"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1,284.97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使用非财政拨款结余</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28</w:t>
            </w:r>
          </w:p>
        </w:tc>
        <w:tc>
          <w:tcPr>
            <w:tcW w:w="2301"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结余分配</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59</w:t>
            </w:r>
          </w:p>
        </w:tc>
        <w:tc>
          <w:tcPr>
            <w:tcW w:w="2302"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年初结转和结余</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29</w:t>
            </w:r>
          </w:p>
        </w:tc>
        <w:tc>
          <w:tcPr>
            <w:tcW w:w="2301"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30.00</w:t>
            </w:r>
          </w:p>
        </w:tc>
        <w:tc>
          <w:tcPr>
            <w:tcW w:w="4296" w:type="dxa"/>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年末结转和结余</w:t>
            </w:r>
          </w:p>
        </w:tc>
        <w:tc>
          <w:tcPr>
            <w:tcW w:w="590"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60</w:t>
            </w:r>
          </w:p>
        </w:tc>
        <w:tc>
          <w:tcPr>
            <w:tcW w:w="2302" w:type="dxa"/>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121.14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296" w:type="dxa"/>
            <w:tcBorders>
              <w:bottom w:val="single" w:color="auto"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590" w:type="dxa"/>
            <w:tcBorders>
              <w:bottom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30</w:t>
            </w:r>
          </w:p>
        </w:tc>
        <w:tc>
          <w:tcPr>
            <w:tcW w:w="2301" w:type="dxa"/>
            <w:tcBorders>
              <w:bottom w:val="single" w:color="auto"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4296" w:type="dxa"/>
            <w:tcBorders>
              <w:bottom w:val="single" w:color="auto"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590" w:type="dxa"/>
            <w:tcBorders>
              <w:bottom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61</w:t>
            </w:r>
          </w:p>
        </w:tc>
        <w:tc>
          <w:tcPr>
            <w:tcW w:w="2302" w:type="dxa"/>
            <w:tcBorders>
              <w:bottom w:val="single" w:color="auto"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296" w:type="dxa"/>
            <w:tcBorders>
              <w:bottom w:val="single" w:color="auto" w:sz="4" w:space="0"/>
            </w:tcBorders>
            <w:shd w:val="clear" w:color="auto" w:fill="auto"/>
            <w:noWrap/>
            <w:vAlign w:val="center"/>
          </w:tcPr>
          <w:p>
            <w:pPr>
              <w:widowControl/>
              <w:jc w:val="center"/>
              <w:rPr>
                <w:rFonts w:hint="eastAsia"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590" w:type="dxa"/>
            <w:tcBorders>
              <w:bottom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31</w:t>
            </w:r>
          </w:p>
        </w:tc>
        <w:tc>
          <w:tcPr>
            <w:tcW w:w="2301" w:type="dxa"/>
            <w:tcBorders>
              <w:bottom w:val="single" w:color="auto"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1,406.11</w:t>
            </w:r>
          </w:p>
        </w:tc>
        <w:tc>
          <w:tcPr>
            <w:tcW w:w="4296" w:type="dxa"/>
            <w:tcBorders>
              <w:bottom w:val="single" w:color="auto" w:sz="4" w:space="0"/>
            </w:tcBorders>
            <w:shd w:val="clear" w:color="auto" w:fill="auto"/>
            <w:noWrap/>
            <w:vAlign w:val="center"/>
          </w:tcPr>
          <w:p>
            <w:pPr>
              <w:widowControl/>
              <w:jc w:val="center"/>
              <w:rPr>
                <w:rFonts w:hint="eastAsia"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590" w:type="dxa"/>
            <w:tcBorders>
              <w:bottom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62</w:t>
            </w:r>
          </w:p>
        </w:tc>
        <w:tc>
          <w:tcPr>
            <w:tcW w:w="2302" w:type="dxa"/>
            <w:tcBorders>
              <w:bottom w:val="single" w:color="auto"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1,406.11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14375" w:type="dxa"/>
            <w:gridSpan w:val="6"/>
            <w:tcBorders>
              <w:top w:val="single" w:color="auto" w:sz="4" w:space="0"/>
              <w:left w:val="nil"/>
              <w:bottom w:val="nil"/>
              <w:right w:val="nil"/>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注：本表反映部门本年度的总收支和年末结转结余情况。本套报表金额单位转换时可能存在尾数误差。</w:t>
            </w:r>
          </w:p>
        </w:tc>
      </w:tr>
    </w:tbl>
    <w:p>
      <w:r>
        <w:br w:type="page"/>
      </w:r>
    </w:p>
    <w:tbl>
      <w:tblPr>
        <w:tblStyle w:val="6"/>
        <w:tblW w:w="16075" w:type="dxa"/>
        <w:jc w:val="center"/>
        <w:tblInd w:w="0" w:type="dxa"/>
        <w:tblLayout w:type="fixed"/>
        <w:tblCellMar>
          <w:top w:w="0" w:type="dxa"/>
          <w:left w:w="108" w:type="dxa"/>
          <w:bottom w:w="0" w:type="dxa"/>
          <w:right w:w="108" w:type="dxa"/>
        </w:tblCellMar>
      </w:tblPr>
      <w:tblGrid>
        <w:gridCol w:w="619"/>
        <w:gridCol w:w="344"/>
        <w:gridCol w:w="341"/>
        <w:gridCol w:w="343"/>
        <w:gridCol w:w="1099"/>
        <w:gridCol w:w="3148"/>
        <w:gridCol w:w="821"/>
        <w:gridCol w:w="413"/>
        <w:gridCol w:w="1288"/>
        <w:gridCol w:w="906"/>
        <w:gridCol w:w="504"/>
        <w:gridCol w:w="156"/>
        <w:gridCol w:w="1114"/>
        <w:gridCol w:w="615"/>
        <w:gridCol w:w="524"/>
        <w:gridCol w:w="1035"/>
        <w:gridCol w:w="415"/>
        <w:gridCol w:w="719"/>
        <w:gridCol w:w="937"/>
        <w:gridCol w:w="734"/>
      </w:tblGrid>
      <w:tr>
        <w:tblPrEx>
          <w:tblLayout w:type="fixed"/>
          <w:tblCellMar>
            <w:top w:w="0" w:type="dxa"/>
            <w:left w:w="108" w:type="dxa"/>
            <w:bottom w:w="0" w:type="dxa"/>
            <w:right w:w="108" w:type="dxa"/>
          </w:tblCellMar>
        </w:tblPrEx>
        <w:trPr>
          <w:gridAfter w:val="1"/>
          <w:wAfter w:w="734" w:type="dxa"/>
          <w:trHeight w:val="327" w:hRule="atLeast"/>
          <w:jc w:val="center"/>
        </w:trPr>
        <w:tc>
          <w:tcPr>
            <w:tcW w:w="963" w:type="dxa"/>
            <w:gridSpan w:val="2"/>
            <w:tcBorders>
              <w:top w:val="nil"/>
              <w:left w:val="nil"/>
              <w:bottom w:val="nil"/>
              <w:right w:val="nil"/>
            </w:tcBorders>
            <w:shd w:val="clear" w:color="auto" w:fill="auto"/>
            <w:noWrap/>
            <w:vAlign w:val="bottom"/>
          </w:tcPr>
          <w:p>
            <w:pPr>
              <w:widowControl/>
              <w:jc w:val="left"/>
              <w:rPr>
                <w:rFonts w:ascii="宋体" w:hAnsi="宋体" w:eastAsia="宋体" w:cs="宋体"/>
                <w:kern w:val="0"/>
                <w:sz w:val="20"/>
                <w:szCs w:val="20"/>
              </w:rPr>
            </w:pPr>
          </w:p>
        </w:tc>
        <w:tc>
          <w:tcPr>
            <w:tcW w:w="341"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343"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3694" w:type="dxa"/>
            <w:gridSpan w:val="15"/>
            <w:tcBorders>
              <w:top w:val="nil"/>
              <w:left w:val="nil"/>
              <w:bottom w:val="nil"/>
              <w:right w:val="nil"/>
            </w:tcBorders>
            <w:shd w:val="clear" w:color="auto" w:fill="auto"/>
            <w:noWrap/>
            <w:vAlign w:val="bottom"/>
          </w:tcPr>
          <w:p>
            <w:pPr>
              <w:widowControl/>
              <w:jc w:val="center"/>
              <w:rPr>
                <w:rFonts w:hint="eastAsia" w:ascii="方正小标宋简体" w:hAnsi="Times New Roman" w:eastAsia="方正小标宋简体" w:cs="Times New Roman"/>
                <w:kern w:val="0"/>
                <w:sz w:val="20"/>
                <w:szCs w:val="20"/>
              </w:rPr>
            </w:pPr>
            <w:r>
              <w:rPr>
                <w:rFonts w:hint="eastAsia" w:ascii="方正小标宋简体" w:hAnsi="宋体" w:eastAsia="方正小标宋简体" w:cs="宋体"/>
                <w:kern w:val="0"/>
                <w:sz w:val="32"/>
                <w:szCs w:val="20"/>
              </w:rPr>
              <w:t>收入决算表</w:t>
            </w:r>
          </w:p>
        </w:tc>
      </w:tr>
      <w:tr>
        <w:tblPrEx>
          <w:tblLayout w:type="fixed"/>
          <w:tblCellMar>
            <w:top w:w="0" w:type="dxa"/>
            <w:left w:w="108" w:type="dxa"/>
            <w:bottom w:w="0" w:type="dxa"/>
            <w:right w:w="108" w:type="dxa"/>
          </w:tblCellMar>
        </w:tblPrEx>
        <w:trPr>
          <w:gridAfter w:val="1"/>
          <w:wAfter w:w="734" w:type="dxa"/>
          <w:trHeight w:val="214" w:hRule="atLeast"/>
          <w:jc w:val="center"/>
        </w:trPr>
        <w:tc>
          <w:tcPr>
            <w:tcW w:w="963" w:type="dxa"/>
            <w:gridSpan w:val="2"/>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341"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343"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4247" w:type="dxa"/>
            <w:gridSpan w:val="2"/>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234" w:type="dxa"/>
            <w:gridSpan w:val="2"/>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2194" w:type="dxa"/>
            <w:gridSpan w:val="2"/>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660" w:type="dxa"/>
            <w:gridSpan w:val="2"/>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114"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139" w:type="dxa"/>
            <w:gridSpan w:val="2"/>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450" w:type="dxa"/>
            <w:gridSpan w:val="2"/>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56" w:type="dxa"/>
            <w:gridSpan w:val="2"/>
            <w:tcBorders>
              <w:top w:val="nil"/>
              <w:left w:val="nil"/>
              <w:bottom w:val="nil"/>
              <w:right w:val="nil"/>
            </w:tcBorders>
            <w:shd w:val="clear" w:color="auto" w:fill="auto"/>
            <w:noWrap/>
            <w:vAlign w:val="bottom"/>
          </w:tcPr>
          <w:p>
            <w:pPr>
              <w:widowControl/>
              <w:ind w:right="200"/>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公开02表</w:t>
            </w:r>
          </w:p>
        </w:tc>
      </w:tr>
      <w:tr>
        <w:tblPrEx>
          <w:tblLayout w:type="fixed"/>
          <w:tblCellMar>
            <w:top w:w="0" w:type="dxa"/>
            <w:left w:w="108" w:type="dxa"/>
            <w:bottom w:w="0" w:type="dxa"/>
            <w:right w:w="108" w:type="dxa"/>
          </w:tblCellMar>
        </w:tblPrEx>
        <w:trPr>
          <w:gridAfter w:val="1"/>
          <w:wAfter w:w="734" w:type="dxa"/>
          <w:trHeight w:val="172" w:hRule="atLeast"/>
          <w:jc w:val="center"/>
        </w:trPr>
        <w:tc>
          <w:tcPr>
            <w:tcW w:w="5894" w:type="dxa"/>
            <w:gridSpan w:val="6"/>
            <w:tcBorders>
              <w:top w:val="nil"/>
              <w:left w:val="nil"/>
              <w:bottom w:val="nil"/>
              <w:right w:val="nil"/>
            </w:tcBorders>
            <w:shd w:val="clear" w:color="auto" w:fill="auto"/>
            <w:noWrap/>
            <w:vAlign w:val="bottom"/>
          </w:tcPr>
          <w:p>
            <w:pPr>
              <w:widowControl/>
              <w:jc w:val="left"/>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部门：岳阳市教育科学技术研究院</w:t>
            </w:r>
          </w:p>
        </w:tc>
        <w:tc>
          <w:tcPr>
            <w:tcW w:w="1234" w:type="dxa"/>
            <w:gridSpan w:val="2"/>
            <w:tcBorders>
              <w:top w:val="nil"/>
              <w:left w:val="nil"/>
              <w:bottom w:val="nil"/>
              <w:right w:val="nil"/>
            </w:tcBorders>
            <w:shd w:val="clear" w:color="auto" w:fill="auto"/>
            <w:noWrap/>
            <w:vAlign w:val="bottom"/>
          </w:tcPr>
          <w:p>
            <w:pPr>
              <w:widowControl/>
              <w:jc w:val="left"/>
              <w:rPr>
                <w:rFonts w:hint="eastAsia" w:ascii="宋体" w:hAnsi="宋体" w:eastAsia="宋体" w:cs="Arial"/>
                <w:color w:val="000000"/>
                <w:kern w:val="0"/>
                <w:sz w:val="20"/>
                <w:szCs w:val="20"/>
              </w:rPr>
            </w:pPr>
          </w:p>
        </w:tc>
        <w:tc>
          <w:tcPr>
            <w:tcW w:w="2194" w:type="dxa"/>
            <w:gridSpan w:val="2"/>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660" w:type="dxa"/>
            <w:gridSpan w:val="2"/>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114"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139" w:type="dxa"/>
            <w:gridSpan w:val="2"/>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450" w:type="dxa"/>
            <w:gridSpan w:val="2"/>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656" w:type="dxa"/>
            <w:gridSpan w:val="2"/>
            <w:tcBorders>
              <w:top w:val="nil"/>
              <w:left w:val="nil"/>
              <w:bottom w:val="nil"/>
              <w:right w:val="nil"/>
            </w:tcBorders>
            <w:shd w:val="clear" w:color="auto" w:fill="auto"/>
            <w:noWrap/>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Layout w:type="fixed"/>
          <w:tblCellMar>
            <w:top w:w="0" w:type="dxa"/>
            <w:left w:w="108" w:type="dxa"/>
            <w:bottom w:w="0" w:type="dxa"/>
            <w:right w:w="108" w:type="dxa"/>
          </w:tblCellMar>
        </w:tblPrEx>
        <w:trPr>
          <w:gridAfter w:val="1"/>
          <w:wAfter w:w="734" w:type="dxa"/>
          <w:trHeight w:val="258" w:hRule="atLeast"/>
          <w:jc w:val="center"/>
        </w:trPr>
        <w:tc>
          <w:tcPr>
            <w:tcW w:w="5894" w:type="dxa"/>
            <w:gridSpan w:val="6"/>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项目</w:t>
            </w:r>
          </w:p>
        </w:tc>
        <w:tc>
          <w:tcPr>
            <w:tcW w:w="1234"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本年收入合计</w:t>
            </w:r>
          </w:p>
        </w:tc>
        <w:tc>
          <w:tcPr>
            <w:tcW w:w="2194"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财政拨款收入</w:t>
            </w:r>
          </w:p>
        </w:tc>
        <w:tc>
          <w:tcPr>
            <w:tcW w:w="660"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上级补助收入</w:t>
            </w:r>
          </w:p>
        </w:tc>
        <w:tc>
          <w:tcPr>
            <w:tcW w:w="1114"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事业收入</w:t>
            </w:r>
          </w:p>
        </w:tc>
        <w:tc>
          <w:tcPr>
            <w:tcW w:w="1139"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经营收入</w:t>
            </w:r>
          </w:p>
        </w:tc>
        <w:tc>
          <w:tcPr>
            <w:tcW w:w="1450"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附属单位上缴收入</w:t>
            </w:r>
          </w:p>
        </w:tc>
        <w:tc>
          <w:tcPr>
            <w:tcW w:w="1656"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其他收入</w:t>
            </w:r>
          </w:p>
        </w:tc>
      </w:tr>
      <w:tr>
        <w:tblPrEx>
          <w:tblLayout w:type="fixed"/>
          <w:tblCellMar>
            <w:top w:w="0" w:type="dxa"/>
            <w:left w:w="108" w:type="dxa"/>
            <w:bottom w:w="0" w:type="dxa"/>
            <w:right w:w="108" w:type="dxa"/>
          </w:tblCellMar>
        </w:tblPrEx>
        <w:trPr>
          <w:gridAfter w:val="1"/>
          <w:wAfter w:w="734" w:type="dxa"/>
          <w:trHeight w:val="312" w:hRule="atLeast"/>
          <w:jc w:val="center"/>
        </w:trPr>
        <w:tc>
          <w:tcPr>
            <w:tcW w:w="1647" w:type="dxa"/>
            <w:gridSpan w:val="4"/>
            <w:vMerge w:val="restart"/>
            <w:tcBorders>
              <w:top w:val="nil"/>
              <w:left w:val="single" w:color="000000" w:sz="4" w:space="0"/>
              <w:bottom w:val="single" w:color="000000" w:sz="4" w:space="0"/>
              <w:right w:val="single" w:color="000000" w:sz="4" w:space="0"/>
            </w:tcBorders>
            <w:shd w:val="clear" w:color="FFFFFF" w:fill="C0C0C0"/>
            <w:vAlign w:val="center"/>
          </w:tcPr>
          <w:p>
            <w:pPr>
              <w:widowControl/>
              <w:spacing w:line="240" w:lineRule="exact"/>
              <w:jc w:val="center"/>
              <w:rPr>
                <w:rFonts w:hint="eastAsia"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4247" w:type="dxa"/>
            <w:gridSpan w:val="2"/>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科目名称</w:t>
            </w:r>
          </w:p>
        </w:tc>
        <w:tc>
          <w:tcPr>
            <w:tcW w:w="1234"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194"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660"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1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39"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450"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656"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Layout w:type="fixed"/>
          <w:tblCellMar>
            <w:top w:w="0" w:type="dxa"/>
            <w:left w:w="108" w:type="dxa"/>
            <w:bottom w:w="0" w:type="dxa"/>
            <w:right w:w="108" w:type="dxa"/>
          </w:tblCellMar>
        </w:tblPrEx>
        <w:trPr>
          <w:gridAfter w:val="1"/>
          <w:wAfter w:w="734" w:type="dxa"/>
          <w:trHeight w:val="312" w:hRule="atLeast"/>
          <w:jc w:val="center"/>
        </w:trPr>
        <w:tc>
          <w:tcPr>
            <w:tcW w:w="1647" w:type="dxa"/>
            <w:gridSpan w:val="4"/>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4247"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234"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194"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660"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1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39"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450"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656"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Layout w:type="fixed"/>
          <w:tblCellMar>
            <w:top w:w="0" w:type="dxa"/>
            <w:left w:w="108" w:type="dxa"/>
            <w:bottom w:w="0" w:type="dxa"/>
            <w:right w:w="108" w:type="dxa"/>
          </w:tblCellMar>
        </w:tblPrEx>
        <w:trPr>
          <w:gridAfter w:val="1"/>
          <w:wAfter w:w="734" w:type="dxa"/>
          <w:trHeight w:val="312" w:hRule="atLeast"/>
          <w:jc w:val="center"/>
        </w:trPr>
        <w:tc>
          <w:tcPr>
            <w:tcW w:w="1647" w:type="dxa"/>
            <w:gridSpan w:val="4"/>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4247"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234"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194"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660"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1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39"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450"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656"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Layout w:type="fixed"/>
          <w:tblCellMar>
            <w:top w:w="0" w:type="dxa"/>
            <w:left w:w="108" w:type="dxa"/>
            <w:bottom w:w="0" w:type="dxa"/>
            <w:right w:w="108" w:type="dxa"/>
          </w:tblCellMar>
        </w:tblPrEx>
        <w:trPr>
          <w:gridAfter w:val="1"/>
          <w:wAfter w:w="734" w:type="dxa"/>
          <w:trHeight w:val="258" w:hRule="atLeast"/>
          <w:jc w:val="center"/>
        </w:trPr>
        <w:tc>
          <w:tcPr>
            <w:tcW w:w="5894" w:type="dxa"/>
            <w:gridSpan w:val="6"/>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栏次</w:t>
            </w:r>
          </w:p>
        </w:tc>
        <w:tc>
          <w:tcPr>
            <w:tcW w:w="1234"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w:t>
            </w:r>
          </w:p>
        </w:tc>
        <w:tc>
          <w:tcPr>
            <w:tcW w:w="2194"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w:t>
            </w:r>
          </w:p>
        </w:tc>
        <w:tc>
          <w:tcPr>
            <w:tcW w:w="660"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w:t>
            </w:r>
          </w:p>
        </w:tc>
        <w:tc>
          <w:tcPr>
            <w:tcW w:w="1114" w:type="dxa"/>
            <w:tcBorders>
              <w:top w:val="nil"/>
              <w:left w:val="nil"/>
              <w:bottom w:val="single" w:color="000000" w:sz="4" w:space="0"/>
              <w:right w:val="single" w:color="000000" w:sz="4" w:space="0"/>
            </w:tcBorders>
            <w:shd w:val="clear" w:color="FFFFFF" w:fill="C0C0C0"/>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w:t>
            </w:r>
          </w:p>
        </w:tc>
        <w:tc>
          <w:tcPr>
            <w:tcW w:w="1139"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5</w:t>
            </w:r>
          </w:p>
        </w:tc>
        <w:tc>
          <w:tcPr>
            <w:tcW w:w="1450"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6</w:t>
            </w:r>
          </w:p>
        </w:tc>
        <w:tc>
          <w:tcPr>
            <w:tcW w:w="1656"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7</w:t>
            </w:r>
          </w:p>
        </w:tc>
      </w:tr>
      <w:tr>
        <w:tblPrEx>
          <w:tblLayout w:type="fixed"/>
          <w:tblCellMar>
            <w:top w:w="0" w:type="dxa"/>
            <w:left w:w="108" w:type="dxa"/>
            <w:bottom w:w="0" w:type="dxa"/>
            <w:right w:w="108" w:type="dxa"/>
          </w:tblCellMar>
        </w:tblPrEx>
        <w:trPr>
          <w:gridAfter w:val="1"/>
          <w:wAfter w:w="734" w:type="dxa"/>
          <w:trHeight w:val="258" w:hRule="atLeast"/>
          <w:jc w:val="center"/>
        </w:trPr>
        <w:tc>
          <w:tcPr>
            <w:tcW w:w="5894" w:type="dxa"/>
            <w:gridSpan w:val="6"/>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合计</w:t>
            </w:r>
          </w:p>
        </w:tc>
        <w:tc>
          <w:tcPr>
            <w:tcW w:w="12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b/>
                <w:bCs/>
                <w:color w:val="000000"/>
                <w:kern w:val="0"/>
                <w:sz w:val="22"/>
              </w:rPr>
            </w:pPr>
            <w:r>
              <w:rPr>
                <w:rFonts w:hint="eastAsia" w:ascii="宋体" w:hAnsi="宋体" w:eastAsia="宋体" w:cs="Arial"/>
                <w:b/>
                <w:bCs/>
                <w:color w:val="000000"/>
                <w:kern w:val="0"/>
                <w:sz w:val="22"/>
              </w:rPr>
              <w:t>1,376.11</w:t>
            </w:r>
          </w:p>
        </w:tc>
        <w:tc>
          <w:tcPr>
            <w:tcW w:w="219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b/>
                <w:bCs/>
                <w:color w:val="000000"/>
                <w:kern w:val="0"/>
                <w:sz w:val="22"/>
              </w:rPr>
            </w:pPr>
            <w:r>
              <w:rPr>
                <w:rFonts w:hint="eastAsia" w:ascii="宋体" w:hAnsi="宋体" w:eastAsia="宋体" w:cs="Arial"/>
                <w:b/>
                <w:bCs/>
                <w:color w:val="000000"/>
                <w:kern w:val="0"/>
                <w:sz w:val="22"/>
              </w:rPr>
              <w:t>1,376.11</w:t>
            </w:r>
          </w:p>
        </w:tc>
        <w:tc>
          <w:tcPr>
            <w:tcW w:w="6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b/>
                <w:bCs/>
                <w:color w:val="000000"/>
                <w:kern w:val="0"/>
                <w:sz w:val="22"/>
              </w:rPr>
            </w:pPr>
            <w:r>
              <w:rPr>
                <w:rFonts w:hint="eastAsia" w:ascii="宋体" w:hAnsi="宋体" w:eastAsia="宋体" w:cs="Arial"/>
                <w:b/>
                <w:bCs/>
                <w:color w:val="000000"/>
                <w:kern w:val="0"/>
                <w:sz w:val="22"/>
              </w:rPr>
              <w:t>0.00</w:t>
            </w:r>
          </w:p>
        </w:tc>
        <w:tc>
          <w:tcPr>
            <w:tcW w:w="1114"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b/>
                <w:bCs/>
                <w:color w:val="000000"/>
                <w:kern w:val="0"/>
                <w:sz w:val="22"/>
              </w:rPr>
            </w:pPr>
            <w:r>
              <w:rPr>
                <w:rFonts w:hint="eastAsia" w:ascii="宋体" w:hAnsi="宋体" w:eastAsia="宋体" w:cs="Arial"/>
                <w:b/>
                <w:bCs/>
                <w:color w:val="000000"/>
                <w:kern w:val="0"/>
                <w:sz w:val="22"/>
              </w:rPr>
              <w:t>0.00</w:t>
            </w:r>
          </w:p>
        </w:tc>
        <w:tc>
          <w:tcPr>
            <w:tcW w:w="113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b/>
                <w:bCs/>
                <w:color w:val="000000"/>
                <w:kern w:val="0"/>
                <w:sz w:val="22"/>
              </w:rPr>
            </w:pPr>
            <w:r>
              <w:rPr>
                <w:rFonts w:hint="eastAsia" w:ascii="宋体" w:hAnsi="宋体" w:eastAsia="宋体" w:cs="Arial"/>
                <w:b/>
                <w:bCs/>
                <w:color w:val="000000"/>
                <w:kern w:val="0"/>
                <w:sz w:val="22"/>
              </w:rPr>
              <w:t>0.00</w:t>
            </w:r>
          </w:p>
        </w:tc>
        <w:tc>
          <w:tcPr>
            <w:tcW w:w="14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b/>
                <w:bCs/>
                <w:color w:val="000000"/>
                <w:kern w:val="0"/>
                <w:sz w:val="22"/>
              </w:rPr>
            </w:pPr>
            <w:r>
              <w:rPr>
                <w:rFonts w:hint="eastAsia" w:ascii="宋体" w:hAnsi="宋体" w:eastAsia="宋体" w:cs="Arial"/>
                <w:b/>
                <w:bCs/>
                <w:color w:val="000000"/>
                <w:kern w:val="0"/>
                <w:sz w:val="22"/>
              </w:rPr>
              <w:t>0.00</w:t>
            </w:r>
          </w:p>
        </w:tc>
        <w:tc>
          <w:tcPr>
            <w:tcW w:w="16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b/>
                <w:bCs/>
                <w:color w:val="000000"/>
                <w:kern w:val="0"/>
                <w:sz w:val="22"/>
              </w:rPr>
            </w:pPr>
            <w:r>
              <w:rPr>
                <w:rFonts w:hint="eastAsia" w:ascii="宋体" w:hAnsi="宋体" w:eastAsia="宋体" w:cs="Arial"/>
                <w:b/>
                <w:bCs/>
                <w:color w:val="000000"/>
                <w:kern w:val="0"/>
                <w:sz w:val="22"/>
              </w:rPr>
              <w:t>0.00</w:t>
            </w:r>
          </w:p>
        </w:tc>
      </w:tr>
      <w:tr>
        <w:tblPrEx>
          <w:tblLayout w:type="fixed"/>
          <w:tblCellMar>
            <w:top w:w="0" w:type="dxa"/>
            <w:left w:w="108" w:type="dxa"/>
            <w:bottom w:w="0" w:type="dxa"/>
            <w:right w:w="108" w:type="dxa"/>
          </w:tblCellMar>
        </w:tblPrEx>
        <w:trPr>
          <w:gridAfter w:val="1"/>
          <w:wAfter w:w="734" w:type="dxa"/>
          <w:trHeight w:val="258" w:hRule="atLeast"/>
          <w:jc w:val="center"/>
        </w:trPr>
        <w:tc>
          <w:tcPr>
            <w:tcW w:w="164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205</w:t>
            </w:r>
          </w:p>
        </w:tc>
        <w:tc>
          <w:tcPr>
            <w:tcW w:w="4247"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教育支出</w:t>
            </w:r>
          </w:p>
        </w:tc>
        <w:tc>
          <w:tcPr>
            <w:tcW w:w="12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1,229.78</w:t>
            </w:r>
          </w:p>
        </w:tc>
        <w:tc>
          <w:tcPr>
            <w:tcW w:w="219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1,229.78</w:t>
            </w:r>
          </w:p>
        </w:tc>
        <w:tc>
          <w:tcPr>
            <w:tcW w:w="6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14"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4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After w:val="1"/>
          <w:wAfter w:w="734" w:type="dxa"/>
          <w:trHeight w:val="258" w:hRule="atLeast"/>
          <w:jc w:val="center"/>
        </w:trPr>
        <w:tc>
          <w:tcPr>
            <w:tcW w:w="164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20501</w:t>
            </w:r>
          </w:p>
        </w:tc>
        <w:tc>
          <w:tcPr>
            <w:tcW w:w="4247"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教育管理事务</w:t>
            </w:r>
          </w:p>
        </w:tc>
        <w:tc>
          <w:tcPr>
            <w:tcW w:w="12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340.45</w:t>
            </w:r>
          </w:p>
        </w:tc>
        <w:tc>
          <w:tcPr>
            <w:tcW w:w="219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340.45</w:t>
            </w:r>
          </w:p>
        </w:tc>
        <w:tc>
          <w:tcPr>
            <w:tcW w:w="6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14"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4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After w:val="1"/>
          <w:wAfter w:w="734" w:type="dxa"/>
          <w:trHeight w:val="258" w:hRule="atLeast"/>
          <w:jc w:val="center"/>
        </w:trPr>
        <w:tc>
          <w:tcPr>
            <w:tcW w:w="164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2050199</w:t>
            </w:r>
          </w:p>
        </w:tc>
        <w:tc>
          <w:tcPr>
            <w:tcW w:w="4247"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其他教育管理事务支出</w:t>
            </w:r>
          </w:p>
        </w:tc>
        <w:tc>
          <w:tcPr>
            <w:tcW w:w="12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340.45</w:t>
            </w:r>
          </w:p>
        </w:tc>
        <w:tc>
          <w:tcPr>
            <w:tcW w:w="219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340.45</w:t>
            </w:r>
          </w:p>
        </w:tc>
        <w:tc>
          <w:tcPr>
            <w:tcW w:w="6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14"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4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After w:val="1"/>
          <w:wAfter w:w="734" w:type="dxa"/>
          <w:trHeight w:val="258" w:hRule="atLeast"/>
          <w:jc w:val="center"/>
        </w:trPr>
        <w:tc>
          <w:tcPr>
            <w:tcW w:w="164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20502</w:t>
            </w:r>
          </w:p>
        </w:tc>
        <w:tc>
          <w:tcPr>
            <w:tcW w:w="4247"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普通教育</w:t>
            </w:r>
          </w:p>
        </w:tc>
        <w:tc>
          <w:tcPr>
            <w:tcW w:w="12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228.00</w:t>
            </w:r>
          </w:p>
        </w:tc>
        <w:tc>
          <w:tcPr>
            <w:tcW w:w="219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228.00</w:t>
            </w:r>
          </w:p>
        </w:tc>
        <w:tc>
          <w:tcPr>
            <w:tcW w:w="6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14"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4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After w:val="1"/>
          <w:wAfter w:w="734" w:type="dxa"/>
          <w:trHeight w:val="258" w:hRule="atLeast"/>
          <w:jc w:val="center"/>
        </w:trPr>
        <w:tc>
          <w:tcPr>
            <w:tcW w:w="164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2050299</w:t>
            </w:r>
          </w:p>
        </w:tc>
        <w:tc>
          <w:tcPr>
            <w:tcW w:w="4247"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其他普通教育支出</w:t>
            </w:r>
          </w:p>
        </w:tc>
        <w:tc>
          <w:tcPr>
            <w:tcW w:w="12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228.00</w:t>
            </w:r>
          </w:p>
        </w:tc>
        <w:tc>
          <w:tcPr>
            <w:tcW w:w="219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228.00</w:t>
            </w:r>
          </w:p>
        </w:tc>
        <w:tc>
          <w:tcPr>
            <w:tcW w:w="6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14"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4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After w:val="1"/>
          <w:wAfter w:w="734" w:type="dxa"/>
          <w:trHeight w:val="258" w:hRule="atLeast"/>
          <w:jc w:val="center"/>
        </w:trPr>
        <w:tc>
          <w:tcPr>
            <w:tcW w:w="164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20509</w:t>
            </w:r>
          </w:p>
        </w:tc>
        <w:tc>
          <w:tcPr>
            <w:tcW w:w="4247"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教育费附加安排的支出</w:t>
            </w:r>
          </w:p>
        </w:tc>
        <w:tc>
          <w:tcPr>
            <w:tcW w:w="12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661.33</w:t>
            </w:r>
          </w:p>
        </w:tc>
        <w:tc>
          <w:tcPr>
            <w:tcW w:w="219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661.33</w:t>
            </w:r>
          </w:p>
        </w:tc>
        <w:tc>
          <w:tcPr>
            <w:tcW w:w="6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14"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4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After w:val="1"/>
          <w:wAfter w:w="734" w:type="dxa"/>
          <w:trHeight w:val="258" w:hRule="atLeast"/>
          <w:jc w:val="center"/>
        </w:trPr>
        <w:tc>
          <w:tcPr>
            <w:tcW w:w="164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2050999</w:t>
            </w:r>
          </w:p>
        </w:tc>
        <w:tc>
          <w:tcPr>
            <w:tcW w:w="4247"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其他教育费附加安排的支出</w:t>
            </w:r>
          </w:p>
        </w:tc>
        <w:tc>
          <w:tcPr>
            <w:tcW w:w="12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661.33</w:t>
            </w:r>
          </w:p>
        </w:tc>
        <w:tc>
          <w:tcPr>
            <w:tcW w:w="219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661.33</w:t>
            </w:r>
          </w:p>
        </w:tc>
        <w:tc>
          <w:tcPr>
            <w:tcW w:w="6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14"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4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After w:val="1"/>
          <w:wAfter w:w="734" w:type="dxa"/>
          <w:trHeight w:val="258" w:hRule="atLeast"/>
          <w:jc w:val="center"/>
        </w:trPr>
        <w:tc>
          <w:tcPr>
            <w:tcW w:w="164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208</w:t>
            </w:r>
          </w:p>
        </w:tc>
        <w:tc>
          <w:tcPr>
            <w:tcW w:w="4247"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社会保障和就业支出</w:t>
            </w:r>
          </w:p>
        </w:tc>
        <w:tc>
          <w:tcPr>
            <w:tcW w:w="12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75.49</w:t>
            </w:r>
          </w:p>
        </w:tc>
        <w:tc>
          <w:tcPr>
            <w:tcW w:w="219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75.49</w:t>
            </w:r>
          </w:p>
        </w:tc>
        <w:tc>
          <w:tcPr>
            <w:tcW w:w="6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14"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4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After w:val="1"/>
          <w:wAfter w:w="734" w:type="dxa"/>
          <w:trHeight w:val="258" w:hRule="atLeast"/>
          <w:jc w:val="center"/>
        </w:trPr>
        <w:tc>
          <w:tcPr>
            <w:tcW w:w="164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20805</w:t>
            </w:r>
          </w:p>
        </w:tc>
        <w:tc>
          <w:tcPr>
            <w:tcW w:w="4247"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行政事业单位养老支出</w:t>
            </w:r>
          </w:p>
        </w:tc>
        <w:tc>
          <w:tcPr>
            <w:tcW w:w="12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58.37</w:t>
            </w:r>
          </w:p>
        </w:tc>
        <w:tc>
          <w:tcPr>
            <w:tcW w:w="219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58.37</w:t>
            </w:r>
          </w:p>
        </w:tc>
        <w:tc>
          <w:tcPr>
            <w:tcW w:w="6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14"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4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After w:val="1"/>
          <w:wAfter w:w="734" w:type="dxa"/>
          <w:trHeight w:val="258" w:hRule="atLeast"/>
          <w:jc w:val="center"/>
        </w:trPr>
        <w:tc>
          <w:tcPr>
            <w:tcW w:w="164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2080505</w:t>
            </w:r>
          </w:p>
        </w:tc>
        <w:tc>
          <w:tcPr>
            <w:tcW w:w="4247"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机关事业单位基本养老保险缴费支出</w:t>
            </w:r>
          </w:p>
        </w:tc>
        <w:tc>
          <w:tcPr>
            <w:tcW w:w="12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58.37</w:t>
            </w:r>
          </w:p>
        </w:tc>
        <w:tc>
          <w:tcPr>
            <w:tcW w:w="219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58.37</w:t>
            </w:r>
          </w:p>
        </w:tc>
        <w:tc>
          <w:tcPr>
            <w:tcW w:w="6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14"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4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After w:val="1"/>
          <w:wAfter w:w="734" w:type="dxa"/>
          <w:trHeight w:val="258" w:hRule="atLeast"/>
          <w:jc w:val="center"/>
        </w:trPr>
        <w:tc>
          <w:tcPr>
            <w:tcW w:w="164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20808</w:t>
            </w:r>
          </w:p>
        </w:tc>
        <w:tc>
          <w:tcPr>
            <w:tcW w:w="4247"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抚恤</w:t>
            </w:r>
          </w:p>
        </w:tc>
        <w:tc>
          <w:tcPr>
            <w:tcW w:w="12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10.79</w:t>
            </w:r>
          </w:p>
        </w:tc>
        <w:tc>
          <w:tcPr>
            <w:tcW w:w="219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10.79</w:t>
            </w:r>
          </w:p>
        </w:tc>
        <w:tc>
          <w:tcPr>
            <w:tcW w:w="6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14"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4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After w:val="1"/>
          <w:wAfter w:w="734" w:type="dxa"/>
          <w:trHeight w:val="258" w:hRule="atLeast"/>
          <w:jc w:val="center"/>
        </w:trPr>
        <w:tc>
          <w:tcPr>
            <w:tcW w:w="164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2080899</w:t>
            </w:r>
          </w:p>
        </w:tc>
        <w:tc>
          <w:tcPr>
            <w:tcW w:w="4247"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其他优抚支出</w:t>
            </w:r>
          </w:p>
        </w:tc>
        <w:tc>
          <w:tcPr>
            <w:tcW w:w="12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10.79</w:t>
            </w:r>
          </w:p>
        </w:tc>
        <w:tc>
          <w:tcPr>
            <w:tcW w:w="219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10.79</w:t>
            </w:r>
          </w:p>
        </w:tc>
        <w:tc>
          <w:tcPr>
            <w:tcW w:w="6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14"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4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After w:val="1"/>
          <w:wAfter w:w="734" w:type="dxa"/>
          <w:trHeight w:val="258" w:hRule="atLeast"/>
          <w:jc w:val="center"/>
        </w:trPr>
        <w:tc>
          <w:tcPr>
            <w:tcW w:w="164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20811</w:t>
            </w:r>
          </w:p>
        </w:tc>
        <w:tc>
          <w:tcPr>
            <w:tcW w:w="4247"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残疾人事业</w:t>
            </w:r>
          </w:p>
        </w:tc>
        <w:tc>
          <w:tcPr>
            <w:tcW w:w="12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3.38</w:t>
            </w:r>
          </w:p>
        </w:tc>
        <w:tc>
          <w:tcPr>
            <w:tcW w:w="219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3.38</w:t>
            </w:r>
          </w:p>
        </w:tc>
        <w:tc>
          <w:tcPr>
            <w:tcW w:w="6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14"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4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After w:val="1"/>
          <w:wAfter w:w="734" w:type="dxa"/>
          <w:trHeight w:val="258" w:hRule="atLeast"/>
          <w:jc w:val="center"/>
        </w:trPr>
        <w:tc>
          <w:tcPr>
            <w:tcW w:w="164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2081199</w:t>
            </w:r>
          </w:p>
        </w:tc>
        <w:tc>
          <w:tcPr>
            <w:tcW w:w="4247"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其他残疾人事业支出</w:t>
            </w:r>
          </w:p>
        </w:tc>
        <w:tc>
          <w:tcPr>
            <w:tcW w:w="12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3.38</w:t>
            </w:r>
          </w:p>
        </w:tc>
        <w:tc>
          <w:tcPr>
            <w:tcW w:w="219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3.38</w:t>
            </w:r>
          </w:p>
        </w:tc>
        <w:tc>
          <w:tcPr>
            <w:tcW w:w="6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14"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4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After w:val="1"/>
          <w:wAfter w:w="734" w:type="dxa"/>
          <w:trHeight w:val="258" w:hRule="atLeast"/>
          <w:jc w:val="center"/>
        </w:trPr>
        <w:tc>
          <w:tcPr>
            <w:tcW w:w="164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20827</w:t>
            </w:r>
          </w:p>
        </w:tc>
        <w:tc>
          <w:tcPr>
            <w:tcW w:w="4247"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财政对其他社会保险基金的补助</w:t>
            </w:r>
          </w:p>
        </w:tc>
        <w:tc>
          <w:tcPr>
            <w:tcW w:w="12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2.95</w:t>
            </w:r>
          </w:p>
        </w:tc>
        <w:tc>
          <w:tcPr>
            <w:tcW w:w="219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2.95</w:t>
            </w:r>
          </w:p>
        </w:tc>
        <w:tc>
          <w:tcPr>
            <w:tcW w:w="6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14"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4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After w:val="1"/>
          <w:wAfter w:w="734" w:type="dxa"/>
          <w:trHeight w:val="258" w:hRule="atLeast"/>
          <w:jc w:val="center"/>
        </w:trPr>
        <w:tc>
          <w:tcPr>
            <w:tcW w:w="164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2082702</w:t>
            </w:r>
          </w:p>
        </w:tc>
        <w:tc>
          <w:tcPr>
            <w:tcW w:w="4247"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财政对工伤保险基金的补助</w:t>
            </w:r>
          </w:p>
        </w:tc>
        <w:tc>
          <w:tcPr>
            <w:tcW w:w="12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2.95</w:t>
            </w:r>
          </w:p>
        </w:tc>
        <w:tc>
          <w:tcPr>
            <w:tcW w:w="219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2.95</w:t>
            </w:r>
          </w:p>
        </w:tc>
        <w:tc>
          <w:tcPr>
            <w:tcW w:w="6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14"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4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After w:val="1"/>
          <w:wAfter w:w="734" w:type="dxa"/>
          <w:trHeight w:val="258" w:hRule="atLeast"/>
          <w:jc w:val="center"/>
        </w:trPr>
        <w:tc>
          <w:tcPr>
            <w:tcW w:w="164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210</w:t>
            </w:r>
          </w:p>
        </w:tc>
        <w:tc>
          <w:tcPr>
            <w:tcW w:w="4247"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卫生健康支出</w:t>
            </w:r>
          </w:p>
        </w:tc>
        <w:tc>
          <w:tcPr>
            <w:tcW w:w="12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27.06</w:t>
            </w:r>
          </w:p>
        </w:tc>
        <w:tc>
          <w:tcPr>
            <w:tcW w:w="219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27.06</w:t>
            </w:r>
          </w:p>
        </w:tc>
        <w:tc>
          <w:tcPr>
            <w:tcW w:w="6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14"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4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After w:val="1"/>
          <w:wAfter w:w="734" w:type="dxa"/>
          <w:trHeight w:val="258" w:hRule="atLeast"/>
          <w:jc w:val="center"/>
        </w:trPr>
        <w:tc>
          <w:tcPr>
            <w:tcW w:w="164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21011</w:t>
            </w:r>
          </w:p>
        </w:tc>
        <w:tc>
          <w:tcPr>
            <w:tcW w:w="4247"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行政事业单位医疗</w:t>
            </w:r>
          </w:p>
        </w:tc>
        <w:tc>
          <w:tcPr>
            <w:tcW w:w="12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27.06</w:t>
            </w:r>
          </w:p>
        </w:tc>
        <w:tc>
          <w:tcPr>
            <w:tcW w:w="219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27.06</w:t>
            </w:r>
          </w:p>
        </w:tc>
        <w:tc>
          <w:tcPr>
            <w:tcW w:w="6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14"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4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After w:val="1"/>
          <w:wAfter w:w="734" w:type="dxa"/>
          <w:trHeight w:val="258" w:hRule="atLeast"/>
          <w:jc w:val="center"/>
        </w:trPr>
        <w:tc>
          <w:tcPr>
            <w:tcW w:w="164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2101102</w:t>
            </w:r>
          </w:p>
        </w:tc>
        <w:tc>
          <w:tcPr>
            <w:tcW w:w="4247"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事业单位医疗</w:t>
            </w:r>
          </w:p>
        </w:tc>
        <w:tc>
          <w:tcPr>
            <w:tcW w:w="12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27.06</w:t>
            </w:r>
          </w:p>
        </w:tc>
        <w:tc>
          <w:tcPr>
            <w:tcW w:w="219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27.06</w:t>
            </w:r>
          </w:p>
        </w:tc>
        <w:tc>
          <w:tcPr>
            <w:tcW w:w="6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14"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4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After w:val="1"/>
          <w:wAfter w:w="734" w:type="dxa"/>
          <w:trHeight w:val="258" w:hRule="atLeast"/>
          <w:jc w:val="center"/>
        </w:trPr>
        <w:tc>
          <w:tcPr>
            <w:tcW w:w="164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221</w:t>
            </w:r>
          </w:p>
        </w:tc>
        <w:tc>
          <w:tcPr>
            <w:tcW w:w="4247"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住房保障支出</w:t>
            </w:r>
          </w:p>
        </w:tc>
        <w:tc>
          <w:tcPr>
            <w:tcW w:w="12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43.78</w:t>
            </w:r>
          </w:p>
        </w:tc>
        <w:tc>
          <w:tcPr>
            <w:tcW w:w="219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43.78</w:t>
            </w:r>
          </w:p>
        </w:tc>
        <w:tc>
          <w:tcPr>
            <w:tcW w:w="6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14"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4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After w:val="1"/>
          <w:wAfter w:w="734" w:type="dxa"/>
          <w:trHeight w:val="258" w:hRule="atLeast"/>
          <w:jc w:val="center"/>
        </w:trPr>
        <w:tc>
          <w:tcPr>
            <w:tcW w:w="164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22102</w:t>
            </w:r>
          </w:p>
        </w:tc>
        <w:tc>
          <w:tcPr>
            <w:tcW w:w="4247"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住房改革支出</w:t>
            </w:r>
          </w:p>
        </w:tc>
        <w:tc>
          <w:tcPr>
            <w:tcW w:w="12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43.78</w:t>
            </w:r>
          </w:p>
        </w:tc>
        <w:tc>
          <w:tcPr>
            <w:tcW w:w="219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43.78</w:t>
            </w:r>
          </w:p>
        </w:tc>
        <w:tc>
          <w:tcPr>
            <w:tcW w:w="6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14"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4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After w:val="1"/>
          <w:wAfter w:w="734" w:type="dxa"/>
          <w:trHeight w:val="258" w:hRule="atLeast"/>
          <w:jc w:val="center"/>
        </w:trPr>
        <w:tc>
          <w:tcPr>
            <w:tcW w:w="164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2210201</w:t>
            </w:r>
          </w:p>
        </w:tc>
        <w:tc>
          <w:tcPr>
            <w:tcW w:w="4247"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住房公积金</w:t>
            </w:r>
          </w:p>
        </w:tc>
        <w:tc>
          <w:tcPr>
            <w:tcW w:w="12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43.78</w:t>
            </w:r>
          </w:p>
        </w:tc>
        <w:tc>
          <w:tcPr>
            <w:tcW w:w="219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43.78</w:t>
            </w:r>
          </w:p>
        </w:tc>
        <w:tc>
          <w:tcPr>
            <w:tcW w:w="6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14"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4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5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Before w:val="1"/>
          <w:wBefore w:w="619" w:type="dxa"/>
          <w:trHeight w:val="390" w:hRule="atLeast"/>
          <w:jc w:val="center"/>
        </w:trPr>
        <w:tc>
          <w:tcPr>
            <w:tcW w:w="344" w:type="dxa"/>
            <w:tcBorders>
              <w:top w:val="nil"/>
              <w:left w:val="nil"/>
              <w:right w:val="nil"/>
            </w:tcBorders>
            <w:shd w:val="clear" w:color="auto" w:fill="auto"/>
            <w:noWrap/>
            <w:vAlign w:val="bottom"/>
          </w:tcPr>
          <w:p>
            <w:pPr>
              <w:widowControl/>
              <w:jc w:val="center"/>
              <w:rPr>
                <w:rFonts w:ascii="宋体" w:hAnsi="宋体" w:eastAsia="宋体" w:cs="宋体"/>
                <w:kern w:val="0"/>
                <w:sz w:val="20"/>
                <w:szCs w:val="20"/>
              </w:rPr>
            </w:pPr>
            <w:r>
              <w:rPr>
                <w:rFonts w:ascii="Times New Roman" w:hAnsi="Times New Roman" w:eastAsia="黑体" w:cs="Times New Roman"/>
                <w:bCs/>
                <w:kern w:val="0"/>
                <w:sz w:val="32"/>
                <w:szCs w:val="32"/>
              </w:rPr>
              <w:br w:type="page"/>
            </w:r>
          </w:p>
        </w:tc>
        <w:tc>
          <w:tcPr>
            <w:tcW w:w="341" w:type="dxa"/>
            <w:tcBorders>
              <w:top w:val="nil"/>
              <w:left w:val="nil"/>
              <w:right w:val="nil"/>
            </w:tcBorders>
            <w:shd w:val="clear" w:color="auto" w:fill="auto"/>
            <w:noWrap/>
            <w:vAlign w:val="bottom"/>
          </w:tcPr>
          <w:p>
            <w:pPr>
              <w:widowControl/>
              <w:jc w:val="center"/>
              <w:rPr>
                <w:rFonts w:ascii="Times New Roman" w:hAnsi="Times New Roman" w:eastAsia="Times New Roman" w:cs="Times New Roman"/>
                <w:kern w:val="0"/>
                <w:sz w:val="20"/>
                <w:szCs w:val="20"/>
              </w:rPr>
            </w:pPr>
          </w:p>
        </w:tc>
        <w:tc>
          <w:tcPr>
            <w:tcW w:w="1442" w:type="dxa"/>
            <w:gridSpan w:val="2"/>
            <w:tcBorders>
              <w:top w:val="nil"/>
              <w:left w:val="nil"/>
            </w:tcBorders>
            <w:shd w:val="clear" w:color="auto" w:fill="auto"/>
            <w:noWrap/>
            <w:vAlign w:val="bottom"/>
          </w:tcPr>
          <w:p>
            <w:pPr>
              <w:widowControl/>
              <w:jc w:val="center"/>
              <w:rPr>
                <w:rFonts w:ascii="Times New Roman" w:hAnsi="Times New Roman" w:eastAsia="Times New Roman" w:cs="Times New Roman"/>
                <w:kern w:val="0"/>
                <w:sz w:val="20"/>
                <w:szCs w:val="20"/>
              </w:rPr>
            </w:pPr>
          </w:p>
        </w:tc>
        <w:tc>
          <w:tcPr>
            <w:tcW w:w="3969" w:type="dxa"/>
            <w:gridSpan w:val="2"/>
            <w:shd w:val="clear" w:color="auto" w:fill="auto"/>
            <w:noWrap/>
            <w:vAlign w:val="bottom"/>
          </w:tcPr>
          <w:p>
            <w:pPr>
              <w:widowControl/>
              <w:jc w:val="center"/>
              <w:rPr>
                <w:rFonts w:ascii="Times New Roman" w:hAnsi="Times New Roman" w:cs="Times New Roman"/>
                <w:kern w:val="0"/>
                <w:sz w:val="20"/>
                <w:szCs w:val="20"/>
              </w:rPr>
            </w:pPr>
          </w:p>
          <w:p>
            <w:pPr>
              <w:widowControl/>
              <w:jc w:val="center"/>
              <w:rPr>
                <w:rFonts w:hint="eastAsia" w:ascii="Times New Roman" w:hAnsi="Times New Roman" w:cs="Times New Roman"/>
                <w:kern w:val="0"/>
                <w:sz w:val="20"/>
                <w:szCs w:val="20"/>
              </w:rPr>
            </w:pPr>
          </w:p>
        </w:tc>
        <w:tc>
          <w:tcPr>
            <w:tcW w:w="3111" w:type="dxa"/>
            <w:gridSpan w:val="4"/>
            <w:shd w:val="clear" w:color="auto" w:fill="auto"/>
            <w:noWrap/>
            <w:vAlign w:val="bottom"/>
          </w:tcPr>
          <w:p>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支出决算表</w:t>
            </w:r>
          </w:p>
        </w:tc>
        <w:tc>
          <w:tcPr>
            <w:tcW w:w="1885" w:type="dxa"/>
            <w:gridSpan w:val="3"/>
            <w:shd w:val="clear" w:color="auto" w:fill="auto"/>
            <w:noWrap/>
            <w:vAlign w:val="bottom"/>
          </w:tcPr>
          <w:p>
            <w:pPr>
              <w:widowControl/>
              <w:jc w:val="center"/>
              <w:rPr>
                <w:rFonts w:hint="eastAsia" w:ascii="宋体" w:hAnsi="宋体" w:eastAsia="宋体" w:cs="Arial"/>
                <w:color w:val="000000"/>
                <w:kern w:val="0"/>
                <w:sz w:val="30"/>
                <w:szCs w:val="30"/>
              </w:rPr>
            </w:pPr>
          </w:p>
        </w:tc>
        <w:tc>
          <w:tcPr>
            <w:tcW w:w="1559" w:type="dxa"/>
            <w:gridSpan w:val="2"/>
            <w:shd w:val="clear" w:color="auto" w:fill="auto"/>
            <w:noWrap/>
            <w:vAlign w:val="bottom"/>
          </w:tcPr>
          <w:p>
            <w:pPr>
              <w:widowControl/>
              <w:jc w:val="center"/>
              <w:rPr>
                <w:rFonts w:ascii="Times New Roman" w:hAnsi="Times New Roman" w:eastAsia="Times New Roman" w:cs="Times New Roman"/>
                <w:kern w:val="0"/>
                <w:sz w:val="20"/>
                <w:szCs w:val="20"/>
              </w:rPr>
            </w:pPr>
          </w:p>
        </w:tc>
        <w:tc>
          <w:tcPr>
            <w:tcW w:w="1134" w:type="dxa"/>
            <w:gridSpan w:val="2"/>
            <w:shd w:val="clear" w:color="auto" w:fill="auto"/>
            <w:noWrap/>
            <w:vAlign w:val="bottom"/>
          </w:tcPr>
          <w:p>
            <w:pPr>
              <w:widowControl/>
              <w:jc w:val="center"/>
              <w:rPr>
                <w:rFonts w:ascii="Times New Roman" w:hAnsi="Times New Roman" w:eastAsia="Times New Roman" w:cs="Times New Roman"/>
                <w:kern w:val="0"/>
                <w:sz w:val="20"/>
                <w:szCs w:val="20"/>
              </w:rPr>
            </w:pPr>
          </w:p>
        </w:tc>
        <w:tc>
          <w:tcPr>
            <w:tcW w:w="1671" w:type="dxa"/>
            <w:gridSpan w:val="2"/>
            <w:shd w:val="clear" w:color="auto" w:fill="auto"/>
            <w:noWrap/>
            <w:vAlign w:val="bottom"/>
          </w:tcPr>
          <w:p>
            <w:pPr>
              <w:widowControl/>
              <w:jc w:val="center"/>
              <w:rPr>
                <w:rFonts w:ascii="Times New Roman" w:hAnsi="Times New Roman" w:eastAsia="Times New Roman" w:cs="Times New Roman"/>
                <w:kern w:val="0"/>
                <w:sz w:val="20"/>
                <w:szCs w:val="20"/>
              </w:rPr>
            </w:pPr>
          </w:p>
        </w:tc>
      </w:tr>
      <w:tr>
        <w:tblPrEx>
          <w:tblLayout w:type="fixed"/>
          <w:tblCellMar>
            <w:top w:w="0" w:type="dxa"/>
            <w:left w:w="108" w:type="dxa"/>
            <w:bottom w:w="0" w:type="dxa"/>
            <w:right w:w="108" w:type="dxa"/>
          </w:tblCellMar>
        </w:tblPrEx>
        <w:trPr>
          <w:gridBefore w:val="1"/>
          <w:wBefore w:w="619" w:type="dxa"/>
          <w:trHeight w:val="255" w:hRule="atLeast"/>
          <w:jc w:val="center"/>
        </w:trPr>
        <w:tc>
          <w:tcPr>
            <w:tcW w:w="344" w:type="dxa"/>
            <w:tcBorders>
              <w:top w:val="nil"/>
              <w:lef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341" w:type="dxa"/>
            <w:shd w:val="clear" w:color="auto" w:fill="auto"/>
            <w:noWrap/>
            <w:vAlign w:val="bottom"/>
          </w:tcPr>
          <w:p>
            <w:pPr>
              <w:widowControl/>
              <w:jc w:val="center"/>
              <w:rPr>
                <w:rFonts w:ascii="Times New Roman" w:hAnsi="Times New Roman" w:eastAsia="Times New Roman" w:cs="Times New Roman"/>
                <w:kern w:val="0"/>
                <w:sz w:val="20"/>
                <w:szCs w:val="20"/>
              </w:rPr>
            </w:pPr>
          </w:p>
        </w:tc>
        <w:tc>
          <w:tcPr>
            <w:tcW w:w="1442" w:type="dxa"/>
            <w:gridSpan w:val="2"/>
            <w:shd w:val="clear" w:color="auto" w:fill="auto"/>
            <w:noWrap/>
            <w:vAlign w:val="bottom"/>
          </w:tcPr>
          <w:p>
            <w:pPr>
              <w:widowControl/>
              <w:jc w:val="center"/>
              <w:rPr>
                <w:rFonts w:ascii="Times New Roman" w:hAnsi="Times New Roman" w:eastAsia="Times New Roman" w:cs="Times New Roman"/>
                <w:kern w:val="0"/>
                <w:sz w:val="20"/>
                <w:szCs w:val="20"/>
              </w:rPr>
            </w:pPr>
          </w:p>
        </w:tc>
        <w:tc>
          <w:tcPr>
            <w:tcW w:w="3969" w:type="dxa"/>
            <w:gridSpan w:val="2"/>
            <w:shd w:val="clear" w:color="auto" w:fill="auto"/>
            <w:noWrap/>
            <w:vAlign w:val="bottom"/>
          </w:tcPr>
          <w:p>
            <w:pPr>
              <w:widowControl/>
              <w:jc w:val="center"/>
              <w:rPr>
                <w:rFonts w:ascii="Times New Roman" w:hAnsi="Times New Roman" w:eastAsia="Times New Roman" w:cs="Times New Roman"/>
                <w:kern w:val="0"/>
                <w:sz w:val="20"/>
                <w:szCs w:val="20"/>
              </w:rPr>
            </w:pPr>
          </w:p>
        </w:tc>
        <w:tc>
          <w:tcPr>
            <w:tcW w:w="1701" w:type="dxa"/>
            <w:gridSpan w:val="2"/>
            <w:tcBorders>
              <w:left w:val="nil"/>
            </w:tcBorders>
            <w:shd w:val="clear" w:color="auto" w:fill="auto"/>
            <w:noWrap/>
            <w:vAlign w:val="bottom"/>
          </w:tcPr>
          <w:p>
            <w:pPr>
              <w:widowControl/>
              <w:jc w:val="center"/>
              <w:rPr>
                <w:rFonts w:ascii="Times New Roman" w:hAnsi="Times New Roman" w:eastAsia="Times New Roman" w:cs="Times New Roman"/>
                <w:kern w:val="0"/>
                <w:sz w:val="20"/>
                <w:szCs w:val="20"/>
              </w:rPr>
            </w:pPr>
          </w:p>
        </w:tc>
        <w:tc>
          <w:tcPr>
            <w:tcW w:w="1410" w:type="dxa"/>
            <w:gridSpan w:val="2"/>
            <w:shd w:val="clear" w:color="auto" w:fill="auto"/>
            <w:noWrap/>
            <w:vAlign w:val="bottom"/>
          </w:tcPr>
          <w:p>
            <w:pPr>
              <w:widowControl/>
              <w:jc w:val="center"/>
              <w:rPr>
                <w:rFonts w:ascii="Times New Roman" w:hAnsi="Times New Roman" w:eastAsia="Times New Roman" w:cs="Times New Roman"/>
                <w:kern w:val="0"/>
                <w:sz w:val="20"/>
                <w:szCs w:val="20"/>
              </w:rPr>
            </w:pPr>
          </w:p>
        </w:tc>
        <w:tc>
          <w:tcPr>
            <w:tcW w:w="1885" w:type="dxa"/>
            <w:gridSpan w:val="3"/>
            <w:shd w:val="clear" w:color="auto" w:fill="auto"/>
            <w:noWrap/>
            <w:vAlign w:val="bottom"/>
          </w:tcPr>
          <w:p>
            <w:pPr>
              <w:widowControl/>
              <w:jc w:val="center"/>
              <w:rPr>
                <w:rFonts w:ascii="Times New Roman" w:hAnsi="Times New Roman" w:eastAsia="Times New Roman" w:cs="Times New Roman"/>
                <w:kern w:val="0"/>
                <w:sz w:val="20"/>
                <w:szCs w:val="20"/>
              </w:rPr>
            </w:pPr>
          </w:p>
        </w:tc>
        <w:tc>
          <w:tcPr>
            <w:tcW w:w="1559" w:type="dxa"/>
            <w:gridSpan w:val="2"/>
            <w:shd w:val="clear" w:color="auto" w:fill="auto"/>
            <w:noWrap/>
            <w:vAlign w:val="bottom"/>
          </w:tcPr>
          <w:p>
            <w:pPr>
              <w:widowControl/>
              <w:jc w:val="center"/>
              <w:rPr>
                <w:rFonts w:ascii="Times New Roman" w:hAnsi="Times New Roman" w:eastAsia="Times New Roman" w:cs="Times New Roman"/>
                <w:kern w:val="0"/>
                <w:sz w:val="20"/>
                <w:szCs w:val="20"/>
              </w:rPr>
            </w:pPr>
          </w:p>
        </w:tc>
        <w:tc>
          <w:tcPr>
            <w:tcW w:w="1134" w:type="dxa"/>
            <w:gridSpan w:val="2"/>
            <w:shd w:val="clear" w:color="auto" w:fill="auto"/>
            <w:noWrap/>
            <w:vAlign w:val="bottom"/>
          </w:tcPr>
          <w:p>
            <w:pPr>
              <w:widowControl/>
              <w:jc w:val="center"/>
              <w:rPr>
                <w:rFonts w:ascii="Times New Roman" w:hAnsi="Times New Roman" w:eastAsia="Times New Roman" w:cs="Times New Roman"/>
                <w:kern w:val="0"/>
                <w:sz w:val="20"/>
                <w:szCs w:val="20"/>
              </w:rPr>
            </w:pPr>
          </w:p>
        </w:tc>
        <w:tc>
          <w:tcPr>
            <w:tcW w:w="1671" w:type="dxa"/>
            <w:gridSpan w:val="2"/>
            <w:tcBorders>
              <w:left w:val="nil"/>
            </w:tcBorders>
            <w:shd w:val="clear" w:color="auto" w:fill="auto"/>
            <w:noWrap/>
            <w:vAlign w:val="bottom"/>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公开03表</w:t>
            </w:r>
          </w:p>
        </w:tc>
      </w:tr>
      <w:tr>
        <w:tblPrEx>
          <w:tblLayout w:type="fixed"/>
          <w:tblCellMar>
            <w:top w:w="0" w:type="dxa"/>
            <w:left w:w="108" w:type="dxa"/>
            <w:bottom w:w="0" w:type="dxa"/>
            <w:right w:w="108" w:type="dxa"/>
          </w:tblCellMar>
        </w:tblPrEx>
        <w:trPr>
          <w:gridBefore w:val="1"/>
          <w:wBefore w:w="619" w:type="dxa"/>
          <w:trHeight w:val="255" w:hRule="atLeast"/>
          <w:jc w:val="center"/>
        </w:trPr>
        <w:tc>
          <w:tcPr>
            <w:tcW w:w="6096" w:type="dxa"/>
            <w:gridSpan w:val="6"/>
            <w:tcBorders>
              <w:bottom w:val="single" w:color="auto" w:sz="4" w:space="0"/>
            </w:tcBorders>
            <w:shd w:val="clear" w:color="auto" w:fill="auto"/>
            <w:noWrap/>
            <w:vAlign w:val="bottom"/>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部门：岳阳市教育科学技术研究院</w:t>
            </w:r>
          </w:p>
        </w:tc>
        <w:tc>
          <w:tcPr>
            <w:tcW w:w="1701" w:type="dxa"/>
            <w:gridSpan w:val="2"/>
            <w:tcBorders>
              <w:left w:val="nil"/>
              <w:bottom w:val="single" w:color="auto" w:sz="4" w:space="0"/>
            </w:tcBorders>
            <w:shd w:val="clear" w:color="auto" w:fill="auto"/>
            <w:noWrap/>
            <w:vAlign w:val="bottom"/>
          </w:tcPr>
          <w:p>
            <w:pPr>
              <w:widowControl/>
              <w:jc w:val="center"/>
              <w:rPr>
                <w:rFonts w:hint="eastAsia" w:ascii="宋体" w:hAnsi="宋体" w:eastAsia="宋体" w:cs="Arial"/>
                <w:color w:val="000000"/>
                <w:kern w:val="0"/>
                <w:sz w:val="20"/>
                <w:szCs w:val="20"/>
              </w:rPr>
            </w:pPr>
          </w:p>
        </w:tc>
        <w:tc>
          <w:tcPr>
            <w:tcW w:w="1410" w:type="dxa"/>
            <w:gridSpan w:val="2"/>
            <w:tcBorders>
              <w:bottom w:val="single" w:color="auto" w:sz="4" w:space="0"/>
            </w:tcBorders>
            <w:shd w:val="clear" w:color="auto" w:fill="auto"/>
            <w:noWrap/>
            <w:vAlign w:val="bottom"/>
          </w:tcPr>
          <w:p>
            <w:pPr>
              <w:widowControl/>
              <w:jc w:val="center"/>
              <w:rPr>
                <w:rFonts w:ascii="Times New Roman" w:hAnsi="Times New Roman" w:eastAsia="Times New Roman" w:cs="Times New Roman"/>
                <w:kern w:val="0"/>
                <w:sz w:val="20"/>
                <w:szCs w:val="20"/>
              </w:rPr>
            </w:pPr>
          </w:p>
        </w:tc>
        <w:tc>
          <w:tcPr>
            <w:tcW w:w="1885" w:type="dxa"/>
            <w:gridSpan w:val="3"/>
            <w:tcBorders>
              <w:bottom w:val="single" w:color="auto" w:sz="4" w:space="0"/>
            </w:tcBorders>
            <w:shd w:val="clear" w:color="auto" w:fill="auto"/>
            <w:noWrap/>
            <w:vAlign w:val="bottom"/>
          </w:tcPr>
          <w:p>
            <w:pPr>
              <w:widowControl/>
              <w:jc w:val="center"/>
              <w:rPr>
                <w:rFonts w:ascii="Times New Roman" w:hAnsi="Times New Roman" w:eastAsia="Times New Roman" w:cs="Times New Roman"/>
                <w:kern w:val="0"/>
                <w:sz w:val="20"/>
                <w:szCs w:val="20"/>
              </w:rPr>
            </w:pPr>
          </w:p>
        </w:tc>
        <w:tc>
          <w:tcPr>
            <w:tcW w:w="1559" w:type="dxa"/>
            <w:gridSpan w:val="2"/>
            <w:tcBorders>
              <w:bottom w:val="single" w:color="auto" w:sz="4" w:space="0"/>
            </w:tcBorders>
            <w:shd w:val="clear" w:color="auto" w:fill="auto"/>
            <w:noWrap/>
            <w:vAlign w:val="bottom"/>
          </w:tcPr>
          <w:p>
            <w:pPr>
              <w:widowControl/>
              <w:jc w:val="center"/>
              <w:rPr>
                <w:rFonts w:ascii="Times New Roman" w:hAnsi="Times New Roman" w:eastAsia="Times New Roman" w:cs="Times New Roman"/>
                <w:kern w:val="0"/>
                <w:sz w:val="20"/>
                <w:szCs w:val="20"/>
              </w:rPr>
            </w:pPr>
          </w:p>
        </w:tc>
        <w:tc>
          <w:tcPr>
            <w:tcW w:w="1134" w:type="dxa"/>
            <w:gridSpan w:val="2"/>
            <w:tcBorders>
              <w:bottom w:val="single" w:color="auto" w:sz="4" w:space="0"/>
            </w:tcBorders>
            <w:shd w:val="clear" w:color="auto" w:fill="auto"/>
            <w:noWrap/>
            <w:vAlign w:val="bottom"/>
          </w:tcPr>
          <w:p>
            <w:pPr>
              <w:widowControl/>
              <w:jc w:val="center"/>
              <w:rPr>
                <w:rFonts w:ascii="Times New Roman" w:hAnsi="Times New Roman" w:eastAsia="Times New Roman" w:cs="Times New Roman"/>
                <w:kern w:val="0"/>
                <w:sz w:val="20"/>
                <w:szCs w:val="20"/>
              </w:rPr>
            </w:pPr>
          </w:p>
        </w:tc>
        <w:tc>
          <w:tcPr>
            <w:tcW w:w="1671" w:type="dxa"/>
            <w:gridSpan w:val="2"/>
            <w:tcBorders>
              <w:left w:val="nil"/>
              <w:bottom w:val="single" w:color="auto" w:sz="4" w:space="0"/>
            </w:tcBorders>
            <w:shd w:val="clear" w:color="auto" w:fill="auto"/>
            <w:noWrap/>
            <w:vAlign w:val="bottom"/>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Layout w:type="fixed"/>
          <w:tblCellMar>
            <w:top w:w="0" w:type="dxa"/>
            <w:left w:w="108" w:type="dxa"/>
            <w:bottom w:w="0" w:type="dxa"/>
            <w:right w:w="108" w:type="dxa"/>
          </w:tblCellMar>
        </w:tblPrEx>
        <w:trPr>
          <w:gridBefore w:val="1"/>
          <w:wBefore w:w="619" w:type="dxa"/>
          <w:trHeight w:val="308" w:hRule="atLeast"/>
          <w:jc w:val="center"/>
        </w:trPr>
        <w:tc>
          <w:tcPr>
            <w:tcW w:w="609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项目</w:t>
            </w:r>
          </w:p>
        </w:tc>
        <w:tc>
          <w:tcPr>
            <w:tcW w:w="170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本年支出合计</w:t>
            </w:r>
          </w:p>
        </w:tc>
        <w:tc>
          <w:tcPr>
            <w:tcW w:w="141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基本支出</w:t>
            </w:r>
          </w:p>
        </w:tc>
        <w:tc>
          <w:tcPr>
            <w:tcW w:w="188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项目支出</w:t>
            </w:r>
          </w:p>
        </w:tc>
        <w:tc>
          <w:tcPr>
            <w:tcW w:w="155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上缴上级支出</w:t>
            </w:r>
          </w:p>
        </w:tc>
        <w:tc>
          <w:tcPr>
            <w:tcW w:w="11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经营支出</w:t>
            </w:r>
          </w:p>
        </w:tc>
        <w:tc>
          <w:tcPr>
            <w:tcW w:w="16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对附属单位补助支出</w:t>
            </w:r>
          </w:p>
        </w:tc>
      </w:tr>
      <w:tr>
        <w:tblPrEx>
          <w:tblLayout w:type="fixed"/>
          <w:tblCellMar>
            <w:top w:w="0" w:type="dxa"/>
            <w:left w:w="108" w:type="dxa"/>
            <w:bottom w:w="0" w:type="dxa"/>
            <w:right w:w="108" w:type="dxa"/>
          </w:tblCellMar>
        </w:tblPrEx>
        <w:trPr>
          <w:gridBefore w:val="1"/>
          <w:wBefore w:w="619" w:type="dxa"/>
          <w:trHeight w:val="312" w:hRule="atLeast"/>
          <w:jc w:val="center"/>
        </w:trPr>
        <w:tc>
          <w:tcPr>
            <w:tcW w:w="2127" w:type="dxa"/>
            <w:gridSpan w:val="4"/>
            <w:vMerge w:val="restart"/>
            <w:tcBorders>
              <w:top w:val="single" w:color="auto" w:sz="4" w:space="0"/>
              <w:left w:val="single" w:color="000000"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396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科目名称</w:t>
            </w:r>
          </w:p>
        </w:tc>
        <w:tc>
          <w:tcPr>
            <w:tcW w:w="170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p>
        </w:tc>
        <w:tc>
          <w:tcPr>
            <w:tcW w:w="14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p>
        </w:tc>
        <w:tc>
          <w:tcPr>
            <w:tcW w:w="1885"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p>
        </w:tc>
        <w:tc>
          <w:tcPr>
            <w:tcW w:w="15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p>
        </w:tc>
        <w:tc>
          <w:tcPr>
            <w:tcW w:w="11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p>
        </w:tc>
        <w:tc>
          <w:tcPr>
            <w:tcW w:w="16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p>
        </w:tc>
      </w:tr>
      <w:tr>
        <w:tblPrEx>
          <w:tblLayout w:type="fixed"/>
          <w:tblCellMar>
            <w:top w:w="0" w:type="dxa"/>
            <w:left w:w="108" w:type="dxa"/>
            <w:bottom w:w="0" w:type="dxa"/>
            <w:right w:w="108" w:type="dxa"/>
          </w:tblCellMar>
        </w:tblPrEx>
        <w:trPr>
          <w:gridBefore w:val="1"/>
          <w:wBefore w:w="619" w:type="dxa"/>
          <w:trHeight w:val="312" w:hRule="atLeast"/>
          <w:jc w:val="center"/>
        </w:trPr>
        <w:tc>
          <w:tcPr>
            <w:tcW w:w="2127" w:type="dxa"/>
            <w:gridSpan w:val="4"/>
            <w:vMerge w:val="continue"/>
            <w:tcBorders>
              <w:top w:val="nil"/>
              <w:left w:val="single" w:color="000000"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p>
        </w:tc>
        <w:tc>
          <w:tcPr>
            <w:tcW w:w="396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p>
        </w:tc>
        <w:tc>
          <w:tcPr>
            <w:tcW w:w="170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p>
        </w:tc>
        <w:tc>
          <w:tcPr>
            <w:tcW w:w="14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p>
        </w:tc>
        <w:tc>
          <w:tcPr>
            <w:tcW w:w="1885"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p>
        </w:tc>
        <w:tc>
          <w:tcPr>
            <w:tcW w:w="15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p>
        </w:tc>
        <w:tc>
          <w:tcPr>
            <w:tcW w:w="11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p>
        </w:tc>
        <w:tc>
          <w:tcPr>
            <w:tcW w:w="16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p>
        </w:tc>
      </w:tr>
      <w:tr>
        <w:tblPrEx>
          <w:tblLayout w:type="fixed"/>
          <w:tblCellMar>
            <w:top w:w="0" w:type="dxa"/>
            <w:left w:w="108" w:type="dxa"/>
            <w:bottom w:w="0" w:type="dxa"/>
            <w:right w:w="108" w:type="dxa"/>
          </w:tblCellMar>
        </w:tblPrEx>
        <w:trPr>
          <w:gridBefore w:val="1"/>
          <w:wBefore w:w="619" w:type="dxa"/>
          <w:trHeight w:val="312" w:hRule="atLeast"/>
          <w:jc w:val="center"/>
        </w:trPr>
        <w:tc>
          <w:tcPr>
            <w:tcW w:w="2127" w:type="dxa"/>
            <w:gridSpan w:val="4"/>
            <w:vMerge w:val="continue"/>
            <w:tcBorders>
              <w:top w:val="nil"/>
              <w:left w:val="single" w:color="000000"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p>
        </w:tc>
        <w:tc>
          <w:tcPr>
            <w:tcW w:w="396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p>
        </w:tc>
        <w:tc>
          <w:tcPr>
            <w:tcW w:w="170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p>
        </w:tc>
        <w:tc>
          <w:tcPr>
            <w:tcW w:w="14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p>
        </w:tc>
        <w:tc>
          <w:tcPr>
            <w:tcW w:w="1885"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p>
        </w:tc>
        <w:tc>
          <w:tcPr>
            <w:tcW w:w="15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p>
        </w:tc>
        <w:tc>
          <w:tcPr>
            <w:tcW w:w="11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p>
        </w:tc>
        <w:tc>
          <w:tcPr>
            <w:tcW w:w="16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p>
        </w:tc>
      </w:tr>
      <w:tr>
        <w:tblPrEx>
          <w:tblLayout w:type="fixed"/>
          <w:tblCellMar>
            <w:top w:w="0" w:type="dxa"/>
            <w:left w:w="108" w:type="dxa"/>
            <w:bottom w:w="0" w:type="dxa"/>
            <w:right w:w="108" w:type="dxa"/>
          </w:tblCellMar>
        </w:tblPrEx>
        <w:trPr>
          <w:gridBefore w:val="1"/>
          <w:wBefore w:w="619" w:type="dxa"/>
          <w:trHeight w:val="308" w:hRule="atLeast"/>
          <w:jc w:val="center"/>
        </w:trPr>
        <w:tc>
          <w:tcPr>
            <w:tcW w:w="609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栏次</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w:t>
            </w:r>
          </w:p>
        </w:tc>
        <w:tc>
          <w:tcPr>
            <w:tcW w:w="18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5</w:t>
            </w:r>
          </w:p>
        </w:tc>
        <w:tc>
          <w:tcPr>
            <w:tcW w:w="16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6</w:t>
            </w:r>
          </w:p>
        </w:tc>
      </w:tr>
      <w:tr>
        <w:tblPrEx>
          <w:tblLayout w:type="fixed"/>
          <w:tblCellMar>
            <w:top w:w="0" w:type="dxa"/>
            <w:left w:w="108" w:type="dxa"/>
            <w:bottom w:w="0" w:type="dxa"/>
            <w:right w:w="108" w:type="dxa"/>
          </w:tblCellMar>
        </w:tblPrEx>
        <w:trPr>
          <w:gridBefore w:val="1"/>
          <w:wBefore w:w="619" w:type="dxa"/>
          <w:trHeight w:val="308" w:hRule="atLeast"/>
          <w:jc w:val="center"/>
        </w:trPr>
        <w:tc>
          <w:tcPr>
            <w:tcW w:w="609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合计</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b/>
                <w:bCs/>
                <w:color w:val="000000"/>
                <w:kern w:val="0"/>
                <w:sz w:val="22"/>
              </w:rPr>
            </w:pPr>
            <w:r>
              <w:rPr>
                <w:rFonts w:hint="eastAsia" w:ascii="宋体" w:hAnsi="宋体" w:eastAsia="宋体" w:cs="Arial"/>
                <w:b/>
                <w:bCs/>
                <w:color w:val="000000"/>
                <w:kern w:val="0"/>
                <w:sz w:val="22"/>
              </w:rPr>
              <w:t>1,284.97</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b/>
                <w:bCs/>
                <w:color w:val="000000"/>
                <w:kern w:val="0"/>
                <w:sz w:val="22"/>
              </w:rPr>
            </w:pPr>
            <w:r>
              <w:rPr>
                <w:rFonts w:hint="eastAsia" w:ascii="宋体" w:hAnsi="宋体" w:eastAsia="宋体" w:cs="Arial"/>
                <w:b/>
                <w:bCs/>
                <w:color w:val="000000"/>
                <w:kern w:val="0"/>
                <w:sz w:val="22"/>
              </w:rPr>
              <w:t>926.97</w:t>
            </w:r>
          </w:p>
        </w:tc>
        <w:tc>
          <w:tcPr>
            <w:tcW w:w="188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b/>
                <w:bCs/>
                <w:color w:val="000000"/>
                <w:kern w:val="0"/>
                <w:sz w:val="22"/>
              </w:rPr>
            </w:pPr>
            <w:r>
              <w:rPr>
                <w:rFonts w:hint="eastAsia" w:ascii="宋体" w:hAnsi="宋体" w:eastAsia="宋体" w:cs="Arial"/>
                <w:b/>
                <w:bCs/>
                <w:color w:val="000000"/>
                <w:kern w:val="0"/>
                <w:sz w:val="22"/>
              </w:rPr>
              <w:t>358.00</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b/>
                <w:bCs/>
                <w:color w:val="000000"/>
                <w:kern w:val="0"/>
                <w:sz w:val="22"/>
              </w:rPr>
            </w:pPr>
            <w:r>
              <w:rPr>
                <w:rFonts w:hint="eastAsia" w:ascii="宋体" w:hAnsi="宋体" w:eastAsia="宋体" w:cs="Arial"/>
                <w:b/>
                <w:bCs/>
                <w:color w:val="000000"/>
                <w:kern w:val="0"/>
                <w:sz w:val="22"/>
              </w:rPr>
              <w:t>0.00</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b/>
                <w:bCs/>
                <w:color w:val="000000"/>
                <w:kern w:val="0"/>
                <w:sz w:val="22"/>
              </w:rPr>
            </w:pPr>
            <w:r>
              <w:rPr>
                <w:rFonts w:hint="eastAsia" w:ascii="宋体" w:hAnsi="宋体" w:eastAsia="宋体" w:cs="Arial"/>
                <w:b/>
                <w:bCs/>
                <w:color w:val="000000"/>
                <w:kern w:val="0"/>
                <w:sz w:val="22"/>
              </w:rPr>
              <w:t>0.00</w:t>
            </w:r>
          </w:p>
        </w:tc>
        <w:tc>
          <w:tcPr>
            <w:tcW w:w="16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b/>
                <w:bCs/>
                <w:color w:val="000000"/>
                <w:kern w:val="0"/>
                <w:sz w:val="22"/>
              </w:rPr>
            </w:pPr>
            <w:r>
              <w:rPr>
                <w:rFonts w:hint="eastAsia" w:ascii="宋体" w:hAnsi="宋体" w:eastAsia="宋体" w:cs="Arial"/>
                <w:b/>
                <w:bCs/>
                <w:color w:val="000000"/>
                <w:kern w:val="0"/>
                <w:sz w:val="22"/>
              </w:rPr>
              <w:t>0.00</w:t>
            </w:r>
          </w:p>
        </w:tc>
      </w:tr>
      <w:tr>
        <w:tblPrEx>
          <w:tblLayout w:type="fixed"/>
          <w:tblCellMar>
            <w:top w:w="0" w:type="dxa"/>
            <w:left w:w="108" w:type="dxa"/>
            <w:bottom w:w="0" w:type="dxa"/>
            <w:right w:w="108" w:type="dxa"/>
          </w:tblCellMar>
        </w:tblPrEx>
        <w:trPr>
          <w:gridBefore w:val="1"/>
          <w:wBefore w:w="619" w:type="dxa"/>
          <w:trHeight w:val="308" w:hRule="atLeast"/>
          <w:jc w:val="center"/>
        </w:trPr>
        <w:tc>
          <w:tcPr>
            <w:tcW w:w="2127" w:type="dxa"/>
            <w:gridSpan w:val="4"/>
            <w:tcBorders>
              <w:top w:val="nil"/>
              <w:left w:val="single" w:color="000000" w:sz="4" w:space="0"/>
              <w:bottom w:val="single" w:color="000000"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205</w:t>
            </w:r>
          </w:p>
        </w:tc>
        <w:tc>
          <w:tcPr>
            <w:tcW w:w="396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教育支出</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1,138.64</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780.64</w:t>
            </w:r>
          </w:p>
        </w:tc>
        <w:tc>
          <w:tcPr>
            <w:tcW w:w="188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358.00</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Before w:val="1"/>
          <w:wBefore w:w="619" w:type="dxa"/>
          <w:trHeight w:val="308" w:hRule="atLeast"/>
          <w:jc w:val="center"/>
        </w:trPr>
        <w:tc>
          <w:tcPr>
            <w:tcW w:w="2127" w:type="dxa"/>
            <w:gridSpan w:val="4"/>
            <w:tcBorders>
              <w:top w:val="nil"/>
              <w:left w:val="single" w:color="000000" w:sz="4" w:space="0"/>
              <w:bottom w:val="single" w:color="000000"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20501</w:t>
            </w:r>
          </w:p>
        </w:tc>
        <w:tc>
          <w:tcPr>
            <w:tcW w:w="396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教育管理事务</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249.31</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249.31</w:t>
            </w:r>
          </w:p>
        </w:tc>
        <w:tc>
          <w:tcPr>
            <w:tcW w:w="188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Before w:val="1"/>
          <w:wBefore w:w="619" w:type="dxa"/>
          <w:trHeight w:val="308" w:hRule="atLeast"/>
          <w:jc w:val="center"/>
        </w:trPr>
        <w:tc>
          <w:tcPr>
            <w:tcW w:w="2127" w:type="dxa"/>
            <w:gridSpan w:val="4"/>
            <w:tcBorders>
              <w:top w:val="nil"/>
              <w:left w:val="single" w:color="000000" w:sz="4" w:space="0"/>
              <w:bottom w:val="single" w:color="000000"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2050199</w:t>
            </w:r>
          </w:p>
        </w:tc>
        <w:tc>
          <w:tcPr>
            <w:tcW w:w="396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其他教育管理事务支出</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249.31</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249.31</w:t>
            </w:r>
          </w:p>
        </w:tc>
        <w:tc>
          <w:tcPr>
            <w:tcW w:w="188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Before w:val="1"/>
          <w:wBefore w:w="619" w:type="dxa"/>
          <w:trHeight w:val="308" w:hRule="atLeast"/>
          <w:jc w:val="center"/>
        </w:trPr>
        <w:tc>
          <w:tcPr>
            <w:tcW w:w="2127" w:type="dxa"/>
            <w:gridSpan w:val="4"/>
            <w:tcBorders>
              <w:top w:val="nil"/>
              <w:left w:val="single" w:color="000000" w:sz="4" w:space="0"/>
              <w:bottom w:val="single" w:color="000000"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20502</w:t>
            </w:r>
          </w:p>
        </w:tc>
        <w:tc>
          <w:tcPr>
            <w:tcW w:w="396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普通教育</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228.00</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228.00</w:t>
            </w:r>
          </w:p>
        </w:tc>
        <w:tc>
          <w:tcPr>
            <w:tcW w:w="188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Before w:val="1"/>
          <w:wBefore w:w="619" w:type="dxa"/>
          <w:trHeight w:val="308" w:hRule="atLeast"/>
          <w:jc w:val="center"/>
        </w:trPr>
        <w:tc>
          <w:tcPr>
            <w:tcW w:w="2127" w:type="dxa"/>
            <w:gridSpan w:val="4"/>
            <w:tcBorders>
              <w:top w:val="nil"/>
              <w:left w:val="single" w:color="000000" w:sz="4" w:space="0"/>
              <w:bottom w:val="single" w:color="000000"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2050299</w:t>
            </w:r>
          </w:p>
        </w:tc>
        <w:tc>
          <w:tcPr>
            <w:tcW w:w="396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其他普通教育支出</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228.00</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228.00</w:t>
            </w:r>
          </w:p>
        </w:tc>
        <w:tc>
          <w:tcPr>
            <w:tcW w:w="188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Before w:val="1"/>
          <w:wBefore w:w="619" w:type="dxa"/>
          <w:trHeight w:val="308" w:hRule="atLeast"/>
          <w:jc w:val="center"/>
        </w:trPr>
        <w:tc>
          <w:tcPr>
            <w:tcW w:w="2127" w:type="dxa"/>
            <w:gridSpan w:val="4"/>
            <w:tcBorders>
              <w:top w:val="nil"/>
              <w:left w:val="single" w:color="000000" w:sz="4" w:space="0"/>
              <w:bottom w:val="single" w:color="000000"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20509</w:t>
            </w:r>
          </w:p>
        </w:tc>
        <w:tc>
          <w:tcPr>
            <w:tcW w:w="396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教育费附加安排的支出</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661.33</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303.33</w:t>
            </w:r>
          </w:p>
        </w:tc>
        <w:tc>
          <w:tcPr>
            <w:tcW w:w="188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358.00</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Before w:val="1"/>
          <w:wBefore w:w="619" w:type="dxa"/>
          <w:trHeight w:val="308" w:hRule="atLeast"/>
          <w:jc w:val="center"/>
        </w:trPr>
        <w:tc>
          <w:tcPr>
            <w:tcW w:w="2127" w:type="dxa"/>
            <w:gridSpan w:val="4"/>
            <w:tcBorders>
              <w:top w:val="nil"/>
              <w:left w:val="single" w:color="000000" w:sz="4" w:space="0"/>
              <w:bottom w:val="single" w:color="000000"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2050999</w:t>
            </w:r>
          </w:p>
        </w:tc>
        <w:tc>
          <w:tcPr>
            <w:tcW w:w="396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其他教育费附加安排的支出</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661.33</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303.33</w:t>
            </w:r>
          </w:p>
        </w:tc>
        <w:tc>
          <w:tcPr>
            <w:tcW w:w="188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358.00</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Before w:val="1"/>
          <w:wBefore w:w="619" w:type="dxa"/>
          <w:trHeight w:val="308" w:hRule="atLeast"/>
          <w:jc w:val="center"/>
        </w:trPr>
        <w:tc>
          <w:tcPr>
            <w:tcW w:w="2127" w:type="dxa"/>
            <w:gridSpan w:val="4"/>
            <w:tcBorders>
              <w:top w:val="nil"/>
              <w:left w:val="single" w:color="000000" w:sz="4" w:space="0"/>
              <w:bottom w:val="single" w:color="000000"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208</w:t>
            </w:r>
          </w:p>
        </w:tc>
        <w:tc>
          <w:tcPr>
            <w:tcW w:w="396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社会保障和就业支出</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75.49</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75.49</w:t>
            </w:r>
          </w:p>
        </w:tc>
        <w:tc>
          <w:tcPr>
            <w:tcW w:w="188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Before w:val="1"/>
          <w:wBefore w:w="619" w:type="dxa"/>
          <w:trHeight w:val="308" w:hRule="atLeast"/>
          <w:jc w:val="center"/>
        </w:trPr>
        <w:tc>
          <w:tcPr>
            <w:tcW w:w="2127" w:type="dxa"/>
            <w:gridSpan w:val="4"/>
            <w:tcBorders>
              <w:top w:val="nil"/>
              <w:left w:val="single" w:color="000000" w:sz="4" w:space="0"/>
              <w:bottom w:val="single" w:color="000000"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20805</w:t>
            </w:r>
          </w:p>
        </w:tc>
        <w:tc>
          <w:tcPr>
            <w:tcW w:w="396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行政事业单位养老支出</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58.37</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58.37</w:t>
            </w:r>
          </w:p>
        </w:tc>
        <w:tc>
          <w:tcPr>
            <w:tcW w:w="188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Before w:val="1"/>
          <w:wBefore w:w="619" w:type="dxa"/>
          <w:trHeight w:val="308" w:hRule="atLeast"/>
          <w:jc w:val="center"/>
        </w:trPr>
        <w:tc>
          <w:tcPr>
            <w:tcW w:w="2127" w:type="dxa"/>
            <w:gridSpan w:val="4"/>
            <w:tcBorders>
              <w:top w:val="nil"/>
              <w:left w:val="single" w:color="000000" w:sz="4" w:space="0"/>
              <w:bottom w:val="single" w:color="000000"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2080505</w:t>
            </w:r>
          </w:p>
        </w:tc>
        <w:tc>
          <w:tcPr>
            <w:tcW w:w="396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机关事业单位基本养老保险缴费支出</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58.37</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58.37</w:t>
            </w:r>
          </w:p>
        </w:tc>
        <w:tc>
          <w:tcPr>
            <w:tcW w:w="188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Before w:val="1"/>
          <w:wBefore w:w="619" w:type="dxa"/>
          <w:trHeight w:val="308" w:hRule="atLeast"/>
          <w:jc w:val="center"/>
        </w:trPr>
        <w:tc>
          <w:tcPr>
            <w:tcW w:w="2127" w:type="dxa"/>
            <w:gridSpan w:val="4"/>
            <w:tcBorders>
              <w:top w:val="nil"/>
              <w:left w:val="single" w:color="000000" w:sz="4" w:space="0"/>
              <w:bottom w:val="single" w:color="000000"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20808</w:t>
            </w:r>
          </w:p>
        </w:tc>
        <w:tc>
          <w:tcPr>
            <w:tcW w:w="396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抚恤</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10.79</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10.79</w:t>
            </w:r>
          </w:p>
        </w:tc>
        <w:tc>
          <w:tcPr>
            <w:tcW w:w="188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Before w:val="1"/>
          <w:wBefore w:w="619" w:type="dxa"/>
          <w:trHeight w:val="308" w:hRule="atLeast"/>
          <w:jc w:val="center"/>
        </w:trPr>
        <w:tc>
          <w:tcPr>
            <w:tcW w:w="212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2080899</w:t>
            </w:r>
          </w:p>
        </w:tc>
        <w:tc>
          <w:tcPr>
            <w:tcW w:w="3969" w:type="dxa"/>
            <w:gridSpan w:val="2"/>
            <w:tcBorders>
              <w:top w:val="single" w:color="auto" w:sz="4" w:space="0"/>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其他优抚支出</w:t>
            </w:r>
          </w:p>
        </w:tc>
        <w:tc>
          <w:tcPr>
            <w:tcW w:w="1701" w:type="dxa"/>
            <w:gridSpan w:val="2"/>
            <w:tcBorders>
              <w:top w:val="single" w:color="auto" w:sz="4" w:space="0"/>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10.79</w:t>
            </w:r>
          </w:p>
        </w:tc>
        <w:tc>
          <w:tcPr>
            <w:tcW w:w="1410" w:type="dxa"/>
            <w:gridSpan w:val="2"/>
            <w:tcBorders>
              <w:top w:val="single" w:color="auto" w:sz="4" w:space="0"/>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10.79</w:t>
            </w:r>
          </w:p>
        </w:tc>
        <w:tc>
          <w:tcPr>
            <w:tcW w:w="1885" w:type="dxa"/>
            <w:gridSpan w:val="3"/>
            <w:tcBorders>
              <w:top w:val="single" w:color="auto" w:sz="4" w:space="0"/>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gridSpan w:val="2"/>
            <w:tcBorders>
              <w:top w:val="single" w:color="auto" w:sz="4" w:space="0"/>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single" w:color="auto" w:sz="4" w:space="0"/>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71" w:type="dxa"/>
            <w:gridSpan w:val="2"/>
            <w:tcBorders>
              <w:top w:val="single" w:color="auto" w:sz="4" w:space="0"/>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Before w:val="1"/>
          <w:wBefore w:w="619" w:type="dxa"/>
          <w:trHeight w:val="308" w:hRule="atLeast"/>
          <w:jc w:val="center"/>
        </w:trPr>
        <w:tc>
          <w:tcPr>
            <w:tcW w:w="212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20811</w:t>
            </w:r>
          </w:p>
        </w:tc>
        <w:tc>
          <w:tcPr>
            <w:tcW w:w="3969"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残疾人事业</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3.38</w:t>
            </w:r>
          </w:p>
        </w:tc>
        <w:tc>
          <w:tcPr>
            <w:tcW w:w="1410"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3.38</w:t>
            </w:r>
          </w:p>
        </w:tc>
        <w:tc>
          <w:tcPr>
            <w:tcW w:w="1885" w:type="dxa"/>
            <w:gridSpan w:val="3"/>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7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Before w:val="1"/>
          <w:wBefore w:w="619" w:type="dxa"/>
          <w:trHeight w:val="308" w:hRule="atLeast"/>
          <w:jc w:val="center"/>
        </w:trPr>
        <w:tc>
          <w:tcPr>
            <w:tcW w:w="212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2081199</w:t>
            </w:r>
          </w:p>
        </w:tc>
        <w:tc>
          <w:tcPr>
            <w:tcW w:w="3969"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其他残疾人事业支出</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3.38</w:t>
            </w:r>
          </w:p>
        </w:tc>
        <w:tc>
          <w:tcPr>
            <w:tcW w:w="1410"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3.38</w:t>
            </w:r>
          </w:p>
        </w:tc>
        <w:tc>
          <w:tcPr>
            <w:tcW w:w="1885" w:type="dxa"/>
            <w:gridSpan w:val="3"/>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7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Before w:val="1"/>
          <w:wBefore w:w="619" w:type="dxa"/>
          <w:trHeight w:val="308" w:hRule="atLeast"/>
          <w:jc w:val="center"/>
        </w:trPr>
        <w:tc>
          <w:tcPr>
            <w:tcW w:w="212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20827</w:t>
            </w:r>
          </w:p>
        </w:tc>
        <w:tc>
          <w:tcPr>
            <w:tcW w:w="3969"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财政对其他社会保险基金的补助</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2.95</w:t>
            </w:r>
          </w:p>
        </w:tc>
        <w:tc>
          <w:tcPr>
            <w:tcW w:w="1410"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2.95</w:t>
            </w:r>
          </w:p>
        </w:tc>
        <w:tc>
          <w:tcPr>
            <w:tcW w:w="1885" w:type="dxa"/>
            <w:gridSpan w:val="3"/>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7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Before w:val="1"/>
          <w:wBefore w:w="619" w:type="dxa"/>
          <w:trHeight w:val="308" w:hRule="atLeast"/>
          <w:jc w:val="center"/>
        </w:trPr>
        <w:tc>
          <w:tcPr>
            <w:tcW w:w="212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2082702</w:t>
            </w:r>
          </w:p>
        </w:tc>
        <w:tc>
          <w:tcPr>
            <w:tcW w:w="3969"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财政对工伤保险基金的补助</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2.95</w:t>
            </w:r>
          </w:p>
        </w:tc>
        <w:tc>
          <w:tcPr>
            <w:tcW w:w="1410"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2.95</w:t>
            </w:r>
          </w:p>
        </w:tc>
        <w:tc>
          <w:tcPr>
            <w:tcW w:w="1885" w:type="dxa"/>
            <w:gridSpan w:val="3"/>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7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Before w:val="1"/>
          <w:wBefore w:w="619" w:type="dxa"/>
          <w:trHeight w:val="308" w:hRule="atLeast"/>
          <w:jc w:val="center"/>
        </w:trPr>
        <w:tc>
          <w:tcPr>
            <w:tcW w:w="212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210</w:t>
            </w:r>
          </w:p>
        </w:tc>
        <w:tc>
          <w:tcPr>
            <w:tcW w:w="3969"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卫生健康支出</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27.06</w:t>
            </w:r>
          </w:p>
        </w:tc>
        <w:tc>
          <w:tcPr>
            <w:tcW w:w="1410"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27.06</w:t>
            </w:r>
          </w:p>
        </w:tc>
        <w:tc>
          <w:tcPr>
            <w:tcW w:w="1885" w:type="dxa"/>
            <w:gridSpan w:val="3"/>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7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Before w:val="1"/>
          <w:wBefore w:w="619" w:type="dxa"/>
          <w:trHeight w:val="308" w:hRule="atLeast"/>
          <w:jc w:val="center"/>
        </w:trPr>
        <w:tc>
          <w:tcPr>
            <w:tcW w:w="212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21011</w:t>
            </w:r>
          </w:p>
        </w:tc>
        <w:tc>
          <w:tcPr>
            <w:tcW w:w="3969"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行政事业单位医疗</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27.06</w:t>
            </w:r>
          </w:p>
        </w:tc>
        <w:tc>
          <w:tcPr>
            <w:tcW w:w="1410"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27.06</w:t>
            </w:r>
          </w:p>
        </w:tc>
        <w:tc>
          <w:tcPr>
            <w:tcW w:w="1885" w:type="dxa"/>
            <w:gridSpan w:val="3"/>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7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Before w:val="1"/>
          <w:wBefore w:w="619" w:type="dxa"/>
          <w:trHeight w:val="308" w:hRule="atLeast"/>
          <w:jc w:val="center"/>
        </w:trPr>
        <w:tc>
          <w:tcPr>
            <w:tcW w:w="212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2101102</w:t>
            </w:r>
          </w:p>
        </w:tc>
        <w:tc>
          <w:tcPr>
            <w:tcW w:w="3969"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事业单位医疗</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27.06</w:t>
            </w:r>
          </w:p>
        </w:tc>
        <w:tc>
          <w:tcPr>
            <w:tcW w:w="1410"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27.06</w:t>
            </w:r>
          </w:p>
        </w:tc>
        <w:tc>
          <w:tcPr>
            <w:tcW w:w="1885" w:type="dxa"/>
            <w:gridSpan w:val="3"/>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7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Before w:val="1"/>
          <w:wBefore w:w="619" w:type="dxa"/>
          <w:trHeight w:val="308" w:hRule="atLeast"/>
          <w:jc w:val="center"/>
        </w:trPr>
        <w:tc>
          <w:tcPr>
            <w:tcW w:w="212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221</w:t>
            </w:r>
          </w:p>
        </w:tc>
        <w:tc>
          <w:tcPr>
            <w:tcW w:w="3969"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住房保障支出</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43.78</w:t>
            </w:r>
          </w:p>
        </w:tc>
        <w:tc>
          <w:tcPr>
            <w:tcW w:w="1410"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43.78</w:t>
            </w:r>
          </w:p>
        </w:tc>
        <w:tc>
          <w:tcPr>
            <w:tcW w:w="1885" w:type="dxa"/>
            <w:gridSpan w:val="3"/>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7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Before w:val="1"/>
          <w:wBefore w:w="619" w:type="dxa"/>
          <w:trHeight w:val="308" w:hRule="atLeast"/>
          <w:jc w:val="center"/>
        </w:trPr>
        <w:tc>
          <w:tcPr>
            <w:tcW w:w="212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22102</w:t>
            </w:r>
          </w:p>
        </w:tc>
        <w:tc>
          <w:tcPr>
            <w:tcW w:w="3969"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住房改革支出</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43.78</w:t>
            </w:r>
          </w:p>
        </w:tc>
        <w:tc>
          <w:tcPr>
            <w:tcW w:w="1410"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43.78</w:t>
            </w:r>
          </w:p>
        </w:tc>
        <w:tc>
          <w:tcPr>
            <w:tcW w:w="1885" w:type="dxa"/>
            <w:gridSpan w:val="3"/>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7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gridBefore w:val="1"/>
          <w:wBefore w:w="619" w:type="dxa"/>
          <w:trHeight w:val="308" w:hRule="atLeast"/>
          <w:jc w:val="center"/>
        </w:trPr>
        <w:tc>
          <w:tcPr>
            <w:tcW w:w="212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2210201</w:t>
            </w:r>
          </w:p>
        </w:tc>
        <w:tc>
          <w:tcPr>
            <w:tcW w:w="3969"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住房公积金</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43.78</w:t>
            </w:r>
          </w:p>
        </w:tc>
        <w:tc>
          <w:tcPr>
            <w:tcW w:w="1410"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43.78</w:t>
            </w:r>
          </w:p>
        </w:tc>
        <w:tc>
          <w:tcPr>
            <w:tcW w:w="1885" w:type="dxa"/>
            <w:gridSpan w:val="3"/>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67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bl>
    <w:p>
      <w:pPr>
        <w:widowControl/>
        <w:jc w:val="center"/>
        <w:rPr>
          <w:rFonts w:ascii="Times New Roman" w:hAnsi="Times New Roman" w:eastAsia="方正小标宋_GBK" w:cs="Times New Roman"/>
          <w:kern w:val="0"/>
          <w:sz w:val="36"/>
          <w:szCs w:val="36"/>
        </w:rPr>
      </w:pPr>
      <w:bookmarkStart w:id="0" w:name="RANGE!A1:F16"/>
    </w:p>
    <w:tbl>
      <w:tblPr>
        <w:tblStyle w:val="6"/>
        <w:tblW w:w="138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1"/>
        <w:gridCol w:w="539"/>
        <w:gridCol w:w="1099"/>
        <w:gridCol w:w="3407"/>
        <w:gridCol w:w="539"/>
        <w:gridCol w:w="1247"/>
        <w:gridCol w:w="1248"/>
        <w:gridCol w:w="1248"/>
        <w:gridCol w:w="1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jc w:val="center"/>
        </w:trPr>
        <w:tc>
          <w:tcPr>
            <w:tcW w:w="2691" w:type="dxa"/>
            <w:tcBorders>
              <w:top w:val="nil"/>
              <w:left w:val="nil"/>
              <w:bottom w:val="nil"/>
              <w:right w:val="nil"/>
            </w:tcBorders>
            <w:shd w:val="clear" w:color="auto" w:fill="auto"/>
            <w:noWrap/>
            <w:vAlign w:val="bottom"/>
          </w:tcPr>
          <w:p>
            <w:pPr>
              <w:widowControl/>
              <w:jc w:val="center"/>
              <w:rPr>
                <w:rFonts w:ascii="Times New Roman" w:hAnsi="Times New Roman" w:eastAsia="Times New Roman" w:cs="Times New Roman"/>
                <w:kern w:val="0"/>
                <w:sz w:val="20"/>
                <w:szCs w:val="20"/>
              </w:rPr>
            </w:pPr>
          </w:p>
        </w:tc>
        <w:tc>
          <w:tcPr>
            <w:tcW w:w="11155" w:type="dxa"/>
            <w:gridSpan w:val="8"/>
            <w:tcBorders>
              <w:top w:val="nil"/>
              <w:left w:val="nil"/>
              <w:bottom w:val="nil"/>
              <w:right w:val="nil"/>
            </w:tcBorders>
            <w:shd w:val="clear" w:color="auto" w:fill="auto"/>
            <w:noWrap/>
            <w:vAlign w:val="bottom"/>
          </w:tcPr>
          <w:p>
            <w:pPr>
              <w:widowControl/>
              <w:jc w:val="center"/>
              <w:rPr>
                <w:rFonts w:hint="eastAsia" w:ascii="方正小标宋简体" w:hAnsi="宋体" w:eastAsia="方正小标宋简体" w:cs="Arial"/>
                <w:color w:val="000000"/>
                <w:kern w:val="0"/>
                <w:sz w:val="20"/>
                <w:szCs w:val="20"/>
              </w:rPr>
            </w:pPr>
            <w:r>
              <w:rPr>
                <w:rFonts w:hint="eastAsia" w:ascii="方正小标宋简体" w:hAnsi="宋体" w:eastAsia="方正小标宋简体" w:cs="Arial"/>
                <w:color w:val="000000"/>
                <w:kern w:val="0"/>
                <w:sz w:val="36"/>
                <w:szCs w:val="30"/>
              </w:rPr>
              <w:t>财政拨款收入支出决算总表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2691" w:type="dxa"/>
            <w:tcBorders>
              <w:top w:val="nil"/>
              <w:left w:val="nil"/>
              <w:bottom w:val="nil"/>
              <w:right w:val="nil"/>
            </w:tcBorders>
            <w:shd w:val="clear" w:color="auto" w:fill="auto"/>
            <w:noWrap/>
            <w:vAlign w:val="bottom"/>
          </w:tcPr>
          <w:p>
            <w:pPr>
              <w:widowControl/>
              <w:jc w:val="center"/>
              <w:rPr>
                <w:rFonts w:hint="eastAsia" w:ascii="Times New Roman" w:hAnsi="Times New Roman" w:cs="Times New Roman"/>
                <w:kern w:val="0"/>
                <w:sz w:val="20"/>
                <w:szCs w:val="20"/>
              </w:rPr>
            </w:pPr>
          </w:p>
        </w:tc>
        <w:tc>
          <w:tcPr>
            <w:tcW w:w="8079" w:type="dxa"/>
            <w:gridSpan w:val="6"/>
            <w:tcBorders>
              <w:top w:val="nil"/>
              <w:left w:val="nil"/>
              <w:bottom w:val="nil"/>
              <w:right w:val="nil"/>
            </w:tcBorders>
            <w:shd w:val="clear" w:color="auto" w:fill="auto"/>
            <w:noWrap/>
            <w:vAlign w:val="bottom"/>
          </w:tcPr>
          <w:p>
            <w:pPr>
              <w:widowControl/>
              <w:jc w:val="center"/>
              <w:rPr>
                <w:rFonts w:ascii="Times New Roman" w:hAnsi="Times New Roman" w:eastAsia="Times New Roman" w:cs="Times New Roman"/>
                <w:kern w:val="0"/>
                <w:sz w:val="20"/>
                <w:szCs w:val="20"/>
              </w:rPr>
            </w:pPr>
          </w:p>
        </w:tc>
        <w:tc>
          <w:tcPr>
            <w:tcW w:w="1248" w:type="dxa"/>
            <w:tcBorders>
              <w:top w:val="nil"/>
              <w:left w:val="nil"/>
              <w:bottom w:val="nil"/>
              <w:right w:val="nil"/>
            </w:tcBorders>
            <w:shd w:val="clear" w:color="auto" w:fill="auto"/>
            <w:noWrap/>
            <w:vAlign w:val="bottom"/>
          </w:tcPr>
          <w:p>
            <w:pPr>
              <w:widowControl/>
              <w:jc w:val="center"/>
              <w:rPr>
                <w:rFonts w:ascii="Times New Roman" w:hAnsi="Times New Roman" w:eastAsia="Times New Roman" w:cs="Times New Roman"/>
                <w:kern w:val="0"/>
                <w:sz w:val="20"/>
                <w:szCs w:val="20"/>
              </w:rPr>
            </w:pPr>
          </w:p>
        </w:tc>
        <w:tc>
          <w:tcPr>
            <w:tcW w:w="1828" w:type="dxa"/>
            <w:tcBorders>
              <w:top w:val="nil"/>
              <w:left w:val="nil"/>
              <w:bottom w:val="nil"/>
              <w:right w:val="nil"/>
            </w:tcBorders>
            <w:shd w:val="clear" w:color="auto" w:fill="auto"/>
            <w:noWrap/>
            <w:vAlign w:val="bottom"/>
          </w:tcPr>
          <w:p>
            <w:pPr>
              <w:widowControl/>
              <w:ind w:right="200"/>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公开04表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4329" w:type="dxa"/>
            <w:gridSpan w:val="3"/>
            <w:tcBorders>
              <w:top w:val="nil"/>
              <w:left w:val="nil"/>
              <w:bottom w:val="single" w:color="auto" w:sz="4" w:space="0"/>
              <w:right w:val="nil"/>
            </w:tcBorders>
            <w:shd w:val="clear" w:color="auto" w:fill="auto"/>
            <w:noWrap/>
            <w:vAlign w:val="bottom"/>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部门：岳阳市教育科学技术研究院</w:t>
            </w:r>
          </w:p>
        </w:tc>
        <w:tc>
          <w:tcPr>
            <w:tcW w:w="3407" w:type="dxa"/>
            <w:tcBorders>
              <w:top w:val="nil"/>
              <w:left w:val="nil"/>
              <w:bottom w:val="single" w:color="auto" w:sz="4" w:space="0"/>
              <w:right w:val="nil"/>
            </w:tcBorders>
            <w:shd w:val="clear" w:color="auto" w:fill="auto"/>
            <w:noWrap/>
            <w:vAlign w:val="bottom"/>
          </w:tcPr>
          <w:p>
            <w:pPr>
              <w:widowControl/>
              <w:jc w:val="center"/>
              <w:rPr>
                <w:rFonts w:hint="eastAsia" w:ascii="宋体" w:hAnsi="宋体" w:eastAsia="宋体" w:cs="Arial"/>
                <w:color w:val="000000"/>
                <w:kern w:val="0"/>
                <w:sz w:val="20"/>
                <w:szCs w:val="20"/>
              </w:rPr>
            </w:pPr>
          </w:p>
        </w:tc>
        <w:tc>
          <w:tcPr>
            <w:tcW w:w="539" w:type="dxa"/>
            <w:tcBorders>
              <w:top w:val="nil"/>
              <w:left w:val="nil"/>
              <w:bottom w:val="single" w:color="auto" w:sz="4" w:space="0"/>
              <w:right w:val="nil"/>
            </w:tcBorders>
            <w:shd w:val="clear" w:color="auto" w:fill="auto"/>
            <w:noWrap/>
            <w:vAlign w:val="bottom"/>
          </w:tcPr>
          <w:p>
            <w:pPr>
              <w:widowControl/>
              <w:jc w:val="center"/>
              <w:rPr>
                <w:rFonts w:ascii="Times New Roman" w:hAnsi="Times New Roman" w:eastAsia="Times New Roman" w:cs="Times New Roman"/>
                <w:kern w:val="0"/>
                <w:sz w:val="20"/>
                <w:szCs w:val="20"/>
              </w:rPr>
            </w:pPr>
          </w:p>
        </w:tc>
        <w:tc>
          <w:tcPr>
            <w:tcW w:w="1247" w:type="dxa"/>
            <w:tcBorders>
              <w:top w:val="nil"/>
              <w:left w:val="nil"/>
              <w:bottom w:val="single" w:color="auto" w:sz="4" w:space="0"/>
              <w:right w:val="nil"/>
            </w:tcBorders>
            <w:shd w:val="clear" w:color="auto" w:fill="auto"/>
            <w:noWrap/>
            <w:vAlign w:val="bottom"/>
          </w:tcPr>
          <w:p>
            <w:pPr>
              <w:widowControl/>
              <w:jc w:val="center"/>
              <w:rPr>
                <w:rFonts w:ascii="Times New Roman" w:hAnsi="Times New Roman" w:eastAsia="Times New Roman" w:cs="Times New Roman"/>
                <w:kern w:val="0"/>
                <w:sz w:val="20"/>
                <w:szCs w:val="20"/>
              </w:rPr>
            </w:pPr>
          </w:p>
        </w:tc>
        <w:tc>
          <w:tcPr>
            <w:tcW w:w="1248" w:type="dxa"/>
            <w:tcBorders>
              <w:top w:val="nil"/>
              <w:left w:val="nil"/>
              <w:bottom w:val="single" w:color="auto" w:sz="4" w:space="0"/>
              <w:right w:val="nil"/>
            </w:tcBorders>
            <w:shd w:val="clear" w:color="auto" w:fill="auto"/>
            <w:noWrap/>
            <w:vAlign w:val="bottom"/>
          </w:tcPr>
          <w:p>
            <w:pPr>
              <w:widowControl/>
              <w:jc w:val="center"/>
              <w:rPr>
                <w:rFonts w:ascii="Times New Roman" w:hAnsi="Times New Roman" w:eastAsia="Times New Roman" w:cs="Times New Roman"/>
                <w:kern w:val="0"/>
                <w:sz w:val="20"/>
                <w:szCs w:val="20"/>
              </w:rPr>
            </w:pPr>
          </w:p>
        </w:tc>
        <w:tc>
          <w:tcPr>
            <w:tcW w:w="1248" w:type="dxa"/>
            <w:tcBorders>
              <w:top w:val="nil"/>
              <w:left w:val="nil"/>
              <w:bottom w:val="single" w:color="auto" w:sz="4" w:space="0"/>
              <w:right w:val="nil"/>
            </w:tcBorders>
            <w:shd w:val="clear" w:color="auto" w:fill="auto"/>
            <w:noWrap/>
            <w:vAlign w:val="bottom"/>
          </w:tcPr>
          <w:p>
            <w:pPr>
              <w:widowControl/>
              <w:jc w:val="center"/>
              <w:rPr>
                <w:rFonts w:ascii="Times New Roman" w:hAnsi="Times New Roman" w:eastAsia="Times New Roman" w:cs="Times New Roman"/>
                <w:kern w:val="0"/>
                <w:sz w:val="20"/>
                <w:szCs w:val="20"/>
              </w:rPr>
            </w:pPr>
          </w:p>
        </w:tc>
        <w:tc>
          <w:tcPr>
            <w:tcW w:w="1828" w:type="dxa"/>
            <w:tcBorders>
              <w:top w:val="nil"/>
              <w:left w:val="nil"/>
              <w:bottom w:val="single" w:color="auto" w:sz="4" w:space="0"/>
              <w:right w:val="nil"/>
            </w:tcBorders>
            <w:shd w:val="clear" w:color="auto" w:fill="auto"/>
            <w:noWrap/>
            <w:vAlign w:val="bottom"/>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4329" w:type="dxa"/>
            <w:gridSpan w:val="3"/>
            <w:tcBorders>
              <w:top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收     入</w:t>
            </w:r>
          </w:p>
        </w:tc>
        <w:tc>
          <w:tcPr>
            <w:tcW w:w="9517" w:type="dxa"/>
            <w:gridSpan w:val="6"/>
            <w:tcBorders>
              <w:top w:val="single" w:color="auto"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2691" w:type="dxa"/>
            <w:vMerge w:val="restart"/>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项目</w:t>
            </w:r>
          </w:p>
        </w:tc>
        <w:tc>
          <w:tcPr>
            <w:tcW w:w="539" w:type="dxa"/>
            <w:vMerge w:val="restart"/>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行次</w:t>
            </w:r>
          </w:p>
        </w:tc>
        <w:tc>
          <w:tcPr>
            <w:tcW w:w="1099" w:type="dxa"/>
            <w:vMerge w:val="restart"/>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金额</w:t>
            </w:r>
          </w:p>
        </w:tc>
        <w:tc>
          <w:tcPr>
            <w:tcW w:w="3407" w:type="dxa"/>
            <w:vMerge w:val="restart"/>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项目</w:t>
            </w:r>
          </w:p>
        </w:tc>
        <w:tc>
          <w:tcPr>
            <w:tcW w:w="539" w:type="dxa"/>
            <w:vMerge w:val="restart"/>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行次</w:t>
            </w:r>
          </w:p>
        </w:tc>
        <w:tc>
          <w:tcPr>
            <w:tcW w:w="1247" w:type="dxa"/>
            <w:vMerge w:val="restart"/>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合计</w:t>
            </w:r>
          </w:p>
        </w:tc>
        <w:tc>
          <w:tcPr>
            <w:tcW w:w="1248" w:type="dxa"/>
            <w:vMerge w:val="restart"/>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一般公共预算财政拨款</w:t>
            </w:r>
          </w:p>
        </w:tc>
        <w:tc>
          <w:tcPr>
            <w:tcW w:w="1248" w:type="dxa"/>
            <w:vMerge w:val="restart"/>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政府性基金预算财政拨款</w:t>
            </w:r>
          </w:p>
        </w:tc>
        <w:tc>
          <w:tcPr>
            <w:tcW w:w="1828" w:type="dxa"/>
            <w:vMerge w:val="restart"/>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国有资本经营预算财政拨款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2691" w:type="dxa"/>
            <w:vMerge w:val="continue"/>
            <w:shd w:val="clear" w:color="auto" w:fill="auto"/>
            <w:vAlign w:val="center"/>
          </w:tcPr>
          <w:p>
            <w:pPr>
              <w:widowControl/>
              <w:jc w:val="center"/>
              <w:rPr>
                <w:rFonts w:ascii="宋体" w:hAnsi="宋体" w:eastAsia="宋体" w:cs="Arial"/>
                <w:color w:val="000000"/>
                <w:kern w:val="0"/>
                <w:sz w:val="22"/>
              </w:rPr>
            </w:pPr>
          </w:p>
        </w:tc>
        <w:tc>
          <w:tcPr>
            <w:tcW w:w="539" w:type="dxa"/>
            <w:vMerge w:val="continue"/>
            <w:shd w:val="clear" w:color="auto" w:fill="auto"/>
            <w:vAlign w:val="center"/>
          </w:tcPr>
          <w:p>
            <w:pPr>
              <w:widowControl/>
              <w:jc w:val="center"/>
              <w:rPr>
                <w:rFonts w:ascii="宋体" w:hAnsi="宋体" w:eastAsia="宋体" w:cs="Arial"/>
                <w:color w:val="000000"/>
                <w:kern w:val="0"/>
                <w:sz w:val="22"/>
              </w:rPr>
            </w:pPr>
          </w:p>
        </w:tc>
        <w:tc>
          <w:tcPr>
            <w:tcW w:w="1099" w:type="dxa"/>
            <w:vMerge w:val="continue"/>
            <w:shd w:val="clear" w:color="auto" w:fill="auto"/>
            <w:vAlign w:val="center"/>
          </w:tcPr>
          <w:p>
            <w:pPr>
              <w:widowControl/>
              <w:jc w:val="center"/>
              <w:rPr>
                <w:rFonts w:ascii="宋体" w:hAnsi="宋体" w:eastAsia="宋体" w:cs="Arial"/>
                <w:color w:val="000000"/>
                <w:kern w:val="0"/>
                <w:sz w:val="22"/>
              </w:rPr>
            </w:pPr>
          </w:p>
        </w:tc>
        <w:tc>
          <w:tcPr>
            <w:tcW w:w="3407" w:type="dxa"/>
            <w:vMerge w:val="continue"/>
            <w:shd w:val="clear" w:color="auto" w:fill="auto"/>
            <w:vAlign w:val="center"/>
          </w:tcPr>
          <w:p>
            <w:pPr>
              <w:widowControl/>
              <w:jc w:val="center"/>
              <w:rPr>
                <w:rFonts w:ascii="宋体" w:hAnsi="宋体" w:eastAsia="宋体" w:cs="Arial"/>
                <w:color w:val="000000"/>
                <w:kern w:val="0"/>
                <w:sz w:val="22"/>
              </w:rPr>
            </w:pPr>
          </w:p>
        </w:tc>
        <w:tc>
          <w:tcPr>
            <w:tcW w:w="539" w:type="dxa"/>
            <w:vMerge w:val="continue"/>
            <w:shd w:val="clear" w:color="auto" w:fill="auto"/>
            <w:vAlign w:val="center"/>
          </w:tcPr>
          <w:p>
            <w:pPr>
              <w:widowControl/>
              <w:jc w:val="center"/>
              <w:rPr>
                <w:rFonts w:ascii="宋体" w:hAnsi="宋体" w:eastAsia="宋体" w:cs="Arial"/>
                <w:color w:val="000000"/>
                <w:kern w:val="0"/>
                <w:sz w:val="22"/>
              </w:rPr>
            </w:pPr>
          </w:p>
        </w:tc>
        <w:tc>
          <w:tcPr>
            <w:tcW w:w="1247" w:type="dxa"/>
            <w:vMerge w:val="continue"/>
            <w:shd w:val="clear" w:color="auto" w:fill="auto"/>
            <w:vAlign w:val="center"/>
          </w:tcPr>
          <w:p>
            <w:pPr>
              <w:widowControl/>
              <w:jc w:val="center"/>
              <w:rPr>
                <w:rFonts w:ascii="宋体" w:hAnsi="宋体" w:eastAsia="宋体" w:cs="Arial"/>
                <w:color w:val="000000"/>
                <w:kern w:val="0"/>
                <w:sz w:val="22"/>
              </w:rPr>
            </w:pPr>
          </w:p>
        </w:tc>
        <w:tc>
          <w:tcPr>
            <w:tcW w:w="1248" w:type="dxa"/>
            <w:vMerge w:val="continue"/>
            <w:shd w:val="clear" w:color="auto" w:fill="auto"/>
            <w:vAlign w:val="center"/>
          </w:tcPr>
          <w:p>
            <w:pPr>
              <w:widowControl/>
              <w:jc w:val="center"/>
              <w:rPr>
                <w:rFonts w:ascii="宋体" w:hAnsi="宋体" w:eastAsia="宋体" w:cs="Arial"/>
                <w:color w:val="000000"/>
                <w:kern w:val="0"/>
                <w:sz w:val="22"/>
              </w:rPr>
            </w:pPr>
          </w:p>
        </w:tc>
        <w:tc>
          <w:tcPr>
            <w:tcW w:w="1248" w:type="dxa"/>
            <w:vMerge w:val="continue"/>
            <w:shd w:val="clear" w:color="auto" w:fill="auto"/>
            <w:vAlign w:val="center"/>
          </w:tcPr>
          <w:p>
            <w:pPr>
              <w:widowControl/>
              <w:jc w:val="center"/>
              <w:rPr>
                <w:rFonts w:ascii="宋体" w:hAnsi="宋体" w:eastAsia="宋体" w:cs="Arial"/>
                <w:color w:val="000000"/>
                <w:kern w:val="0"/>
                <w:sz w:val="22"/>
              </w:rPr>
            </w:pPr>
          </w:p>
        </w:tc>
        <w:tc>
          <w:tcPr>
            <w:tcW w:w="1828" w:type="dxa"/>
            <w:vMerge w:val="continue"/>
            <w:shd w:val="clear" w:color="auto" w:fill="auto"/>
            <w:vAlign w:val="center"/>
          </w:tcPr>
          <w:p>
            <w:pPr>
              <w:widowControl/>
              <w:jc w:val="center"/>
              <w:rPr>
                <w:rFonts w:ascii="宋体" w:hAnsi="宋体" w:eastAsia="宋体" w:cs="Arial"/>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691"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栏次</w:t>
            </w:r>
          </w:p>
        </w:tc>
        <w:tc>
          <w:tcPr>
            <w:tcW w:w="539" w:type="dxa"/>
            <w:shd w:val="clear" w:color="auto" w:fill="auto"/>
            <w:noWrap/>
            <w:vAlign w:val="center"/>
          </w:tcPr>
          <w:p>
            <w:pPr>
              <w:widowControl/>
              <w:jc w:val="center"/>
              <w:rPr>
                <w:rFonts w:hint="eastAsia" w:ascii="宋体" w:hAnsi="宋体" w:eastAsia="宋体" w:cs="Arial"/>
                <w:color w:val="000000"/>
                <w:kern w:val="0"/>
                <w:sz w:val="22"/>
              </w:rPr>
            </w:pPr>
          </w:p>
        </w:tc>
        <w:tc>
          <w:tcPr>
            <w:tcW w:w="109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w:t>
            </w:r>
          </w:p>
        </w:tc>
        <w:tc>
          <w:tcPr>
            <w:tcW w:w="340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栏次</w:t>
            </w:r>
          </w:p>
        </w:tc>
        <w:tc>
          <w:tcPr>
            <w:tcW w:w="539" w:type="dxa"/>
            <w:shd w:val="clear" w:color="auto" w:fill="auto"/>
            <w:noWrap/>
            <w:vAlign w:val="center"/>
          </w:tcPr>
          <w:p>
            <w:pPr>
              <w:widowControl/>
              <w:jc w:val="center"/>
              <w:rPr>
                <w:rFonts w:hint="eastAsia" w:ascii="宋体" w:hAnsi="宋体" w:eastAsia="宋体" w:cs="Arial"/>
                <w:color w:val="000000"/>
                <w:kern w:val="0"/>
                <w:sz w:val="22"/>
              </w:rPr>
            </w:pPr>
          </w:p>
        </w:tc>
        <w:tc>
          <w:tcPr>
            <w:tcW w:w="124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w:t>
            </w:r>
          </w:p>
        </w:tc>
        <w:tc>
          <w:tcPr>
            <w:tcW w:w="182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691"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一、一般公共预算财政拨款</w:t>
            </w: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w:t>
            </w:r>
          </w:p>
        </w:tc>
        <w:tc>
          <w:tcPr>
            <w:tcW w:w="109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1,376.11</w:t>
            </w:r>
          </w:p>
        </w:tc>
        <w:tc>
          <w:tcPr>
            <w:tcW w:w="340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一、一般公共服务支出</w:t>
            </w: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33</w:t>
            </w:r>
          </w:p>
        </w:tc>
        <w:tc>
          <w:tcPr>
            <w:tcW w:w="124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82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691"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二、政府性基金预算财政拨款</w:t>
            </w: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w:t>
            </w:r>
          </w:p>
        </w:tc>
        <w:tc>
          <w:tcPr>
            <w:tcW w:w="109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340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二、外交支出</w:t>
            </w: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34</w:t>
            </w:r>
          </w:p>
        </w:tc>
        <w:tc>
          <w:tcPr>
            <w:tcW w:w="124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82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691"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三、国有资本经营财政拨款</w:t>
            </w: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w:t>
            </w:r>
          </w:p>
        </w:tc>
        <w:tc>
          <w:tcPr>
            <w:tcW w:w="109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340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三、国防支出</w:t>
            </w: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35</w:t>
            </w:r>
          </w:p>
        </w:tc>
        <w:tc>
          <w:tcPr>
            <w:tcW w:w="124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82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691" w:type="dxa"/>
            <w:shd w:val="clear" w:color="auto" w:fill="auto"/>
            <w:noWrap/>
            <w:vAlign w:val="center"/>
          </w:tcPr>
          <w:p>
            <w:pPr>
              <w:widowControl/>
              <w:jc w:val="center"/>
              <w:rPr>
                <w:rFonts w:hint="eastAsia" w:ascii="宋体" w:hAnsi="宋体" w:eastAsia="宋体" w:cs="Arial"/>
                <w:color w:val="000000"/>
                <w:kern w:val="0"/>
                <w:sz w:val="22"/>
              </w:rPr>
            </w:pP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w:t>
            </w:r>
          </w:p>
        </w:tc>
        <w:tc>
          <w:tcPr>
            <w:tcW w:w="1099" w:type="dxa"/>
            <w:shd w:val="clear" w:color="auto" w:fill="auto"/>
            <w:noWrap/>
            <w:vAlign w:val="center"/>
          </w:tcPr>
          <w:p>
            <w:pPr>
              <w:widowControl/>
              <w:jc w:val="center"/>
              <w:rPr>
                <w:rFonts w:hint="eastAsia" w:ascii="宋体" w:hAnsi="宋体" w:eastAsia="宋体" w:cs="Arial"/>
                <w:color w:val="000000"/>
                <w:kern w:val="0"/>
                <w:sz w:val="22"/>
              </w:rPr>
            </w:pPr>
          </w:p>
        </w:tc>
        <w:tc>
          <w:tcPr>
            <w:tcW w:w="340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四、公共安全支出</w:t>
            </w: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36</w:t>
            </w:r>
          </w:p>
        </w:tc>
        <w:tc>
          <w:tcPr>
            <w:tcW w:w="124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82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691" w:type="dxa"/>
            <w:shd w:val="clear" w:color="auto" w:fill="auto"/>
            <w:noWrap/>
            <w:vAlign w:val="center"/>
          </w:tcPr>
          <w:p>
            <w:pPr>
              <w:widowControl/>
              <w:jc w:val="center"/>
              <w:rPr>
                <w:rFonts w:hint="eastAsia" w:ascii="宋体" w:hAnsi="宋体" w:eastAsia="宋体" w:cs="Arial"/>
                <w:color w:val="000000"/>
                <w:kern w:val="0"/>
                <w:sz w:val="22"/>
              </w:rPr>
            </w:pP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5</w:t>
            </w:r>
          </w:p>
        </w:tc>
        <w:tc>
          <w:tcPr>
            <w:tcW w:w="1099" w:type="dxa"/>
            <w:shd w:val="clear" w:color="auto" w:fill="auto"/>
            <w:noWrap/>
            <w:vAlign w:val="center"/>
          </w:tcPr>
          <w:p>
            <w:pPr>
              <w:widowControl/>
              <w:jc w:val="center"/>
              <w:rPr>
                <w:rFonts w:hint="eastAsia" w:ascii="宋体" w:hAnsi="宋体" w:eastAsia="宋体" w:cs="Arial"/>
                <w:color w:val="000000"/>
                <w:kern w:val="0"/>
                <w:sz w:val="22"/>
              </w:rPr>
            </w:pPr>
          </w:p>
        </w:tc>
        <w:tc>
          <w:tcPr>
            <w:tcW w:w="340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五、教育支出</w:t>
            </w: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37</w:t>
            </w:r>
          </w:p>
        </w:tc>
        <w:tc>
          <w:tcPr>
            <w:tcW w:w="124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1,138.64</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1,138.64</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82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691" w:type="dxa"/>
            <w:shd w:val="clear" w:color="auto" w:fill="auto"/>
            <w:noWrap/>
            <w:vAlign w:val="center"/>
          </w:tcPr>
          <w:p>
            <w:pPr>
              <w:widowControl/>
              <w:jc w:val="center"/>
              <w:rPr>
                <w:rFonts w:hint="eastAsia" w:ascii="宋体" w:hAnsi="宋体" w:eastAsia="宋体" w:cs="Arial"/>
                <w:color w:val="000000"/>
                <w:kern w:val="0"/>
                <w:sz w:val="22"/>
              </w:rPr>
            </w:pP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6</w:t>
            </w:r>
          </w:p>
        </w:tc>
        <w:tc>
          <w:tcPr>
            <w:tcW w:w="1099" w:type="dxa"/>
            <w:shd w:val="clear" w:color="auto" w:fill="auto"/>
            <w:noWrap/>
            <w:vAlign w:val="center"/>
          </w:tcPr>
          <w:p>
            <w:pPr>
              <w:widowControl/>
              <w:jc w:val="center"/>
              <w:rPr>
                <w:rFonts w:hint="eastAsia" w:ascii="宋体" w:hAnsi="宋体" w:eastAsia="宋体" w:cs="Arial"/>
                <w:color w:val="000000"/>
                <w:kern w:val="0"/>
                <w:sz w:val="22"/>
              </w:rPr>
            </w:pPr>
          </w:p>
        </w:tc>
        <w:tc>
          <w:tcPr>
            <w:tcW w:w="340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六、科学技术支出</w:t>
            </w: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38</w:t>
            </w:r>
          </w:p>
        </w:tc>
        <w:tc>
          <w:tcPr>
            <w:tcW w:w="124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82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691" w:type="dxa"/>
            <w:shd w:val="clear" w:color="auto" w:fill="auto"/>
            <w:noWrap/>
            <w:vAlign w:val="center"/>
          </w:tcPr>
          <w:p>
            <w:pPr>
              <w:widowControl/>
              <w:jc w:val="center"/>
              <w:rPr>
                <w:rFonts w:hint="eastAsia" w:ascii="宋体" w:hAnsi="宋体" w:eastAsia="宋体" w:cs="Arial"/>
                <w:color w:val="000000"/>
                <w:kern w:val="0"/>
                <w:sz w:val="22"/>
              </w:rPr>
            </w:pP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7</w:t>
            </w:r>
          </w:p>
        </w:tc>
        <w:tc>
          <w:tcPr>
            <w:tcW w:w="1099" w:type="dxa"/>
            <w:shd w:val="clear" w:color="auto" w:fill="auto"/>
            <w:noWrap/>
            <w:vAlign w:val="center"/>
          </w:tcPr>
          <w:p>
            <w:pPr>
              <w:widowControl/>
              <w:jc w:val="center"/>
              <w:rPr>
                <w:rFonts w:hint="eastAsia" w:ascii="宋体" w:hAnsi="宋体" w:eastAsia="宋体" w:cs="Arial"/>
                <w:color w:val="000000"/>
                <w:kern w:val="0"/>
                <w:sz w:val="22"/>
              </w:rPr>
            </w:pPr>
          </w:p>
        </w:tc>
        <w:tc>
          <w:tcPr>
            <w:tcW w:w="340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七、文化旅游体育与传媒支出</w:t>
            </w: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39</w:t>
            </w:r>
          </w:p>
        </w:tc>
        <w:tc>
          <w:tcPr>
            <w:tcW w:w="124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82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691" w:type="dxa"/>
            <w:shd w:val="clear" w:color="auto" w:fill="auto"/>
            <w:noWrap/>
            <w:vAlign w:val="center"/>
          </w:tcPr>
          <w:p>
            <w:pPr>
              <w:widowControl/>
              <w:jc w:val="center"/>
              <w:rPr>
                <w:rFonts w:hint="eastAsia" w:ascii="宋体" w:hAnsi="宋体" w:eastAsia="宋体" w:cs="Arial"/>
                <w:color w:val="000000"/>
                <w:kern w:val="0"/>
                <w:sz w:val="22"/>
              </w:rPr>
            </w:pP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8</w:t>
            </w:r>
          </w:p>
        </w:tc>
        <w:tc>
          <w:tcPr>
            <w:tcW w:w="1099" w:type="dxa"/>
            <w:shd w:val="clear" w:color="auto" w:fill="auto"/>
            <w:noWrap/>
            <w:vAlign w:val="center"/>
          </w:tcPr>
          <w:p>
            <w:pPr>
              <w:widowControl/>
              <w:jc w:val="center"/>
              <w:rPr>
                <w:rFonts w:hint="eastAsia" w:ascii="宋体" w:hAnsi="宋体" w:eastAsia="宋体" w:cs="Arial"/>
                <w:color w:val="000000"/>
                <w:kern w:val="0"/>
                <w:sz w:val="22"/>
              </w:rPr>
            </w:pPr>
          </w:p>
        </w:tc>
        <w:tc>
          <w:tcPr>
            <w:tcW w:w="340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八、社会保障和就业支出</w:t>
            </w: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40</w:t>
            </w:r>
          </w:p>
        </w:tc>
        <w:tc>
          <w:tcPr>
            <w:tcW w:w="124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75.49</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75.49</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82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691" w:type="dxa"/>
            <w:shd w:val="clear" w:color="auto" w:fill="auto"/>
            <w:noWrap/>
            <w:vAlign w:val="center"/>
          </w:tcPr>
          <w:p>
            <w:pPr>
              <w:widowControl/>
              <w:jc w:val="center"/>
              <w:rPr>
                <w:rFonts w:hint="eastAsia" w:ascii="宋体" w:hAnsi="宋体" w:eastAsia="宋体" w:cs="Arial"/>
                <w:color w:val="000000"/>
                <w:kern w:val="0"/>
                <w:sz w:val="22"/>
              </w:rPr>
            </w:pP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9</w:t>
            </w:r>
          </w:p>
        </w:tc>
        <w:tc>
          <w:tcPr>
            <w:tcW w:w="1099" w:type="dxa"/>
            <w:shd w:val="clear" w:color="auto" w:fill="auto"/>
            <w:noWrap/>
            <w:vAlign w:val="center"/>
          </w:tcPr>
          <w:p>
            <w:pPr>
              <w:widowControl/>
              <w:jc w:val="center"/>
              <w:rPr>
                <w:rFonts w:hint="eastAsia" w:ascii="宋体" w:hAnsi="宋体" w:eastAsia="宋体" w:cs="Arial"/>
                <w:color w:val="000000"/>
                <w:kern w:val="0"/>
                <w:sz w:val="22"/>
              </w:rPr>
            </w:pPr>
          </w:p>
        </w:tc>
        <w:tc>
          <w:tcPr>
            <w:tcW w:w="340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九、卫生健康支出</w:t>
            </w: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41</w:t>
            </w:r>
          </w:p>
        </w:tc>
        <w:tc>
          <w:tcPr>
            <w:tcW w:w="124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27.06</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27.06</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82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691" w:type="dxa"/>
            <w:shd w:val="clear" w:color="auto" w:fill="auto"/>
            <w:noWrap/>
            <w:vAlign w:val="center"/>
          </w:tcPr>
          <w:p>
            <w:pPr>
              <w:widowControl/>
              <w:jc w:val="center"/>
              <w:rPr>
                <w:rFonts w:hint="eastAsia" w:ascii="宋体" w:hAnsi="宋体" w:eastAsia="宋体" w:cs="Arial"/>
                <w:color w:val="000000"/>
                <w:kern w:val="0"/>
                <w:sz w:val="22"/>
              </w:rPr>
            </w:pP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10</w:t>
            </w:r>
          </w:p>
        </w:tc>
        <w:tc>
          <w:tcPr>
            <w:tcW w:w="1099" w:type="dxa"/>
            <w:shd w:val="clear" w:color="auto" w:fill="auto"/>
            <w:noWrap/>
            <w:vAlign w:val="center"/>
          </w:tcPr>
          <w:p>
            <w:pPr>
              <w:widowControl/>
              <w:jc w:val="center"/>
              <w:rPr>
                <w:rFonts w:hint="eastAsia" w:ascii="宋体" w:hAnsi="宋体" w:eastAsia="宋体" w:cs="Arial"/>
                <w:color w:val="000000"/>
                <w:kern w:val="0"/>
                <w:sz w:val="22"/>
              </w:rPr>
            </w:pPr>
          </w:p>
        </w:tc>
        <w:tc>
          <w:tcPr>
            <w:tcW w:w="340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十、节能环保支出</w:t>
            </w: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42</w:t>
            </w:r>
          </w:p>
        </w:tc>
        <w:tc>
          <w:tcPr>
            <w:tcW w:w="124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82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691" w:type="dxa"/>
            <w:shd w:val="clear" w:color="auto" w:fill="auto"/>
            <w:noWrap/>
            <w:vAlign w:val="center"/>
          </w:tcPr>
          <w:p>
            <w:pPr>
              <w:widowControl/>
              <w:jc w:val="center"/>
              <w:rPr>
                <w:rFonts w:hint="eastAsia" w:ascii="宋体" w:hAnsi="宋体" w:eastAsia="宋体" w:cs="Arial"/>
                <w:color w:val="000000"/>
                <w:kern w:val="0"/>
                <w:sz w:val="22"/>
              </w:rPr>
            </w:pP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11</w:t>
            </w:r>
          </w:p>
        </w:tc>
        <w:tc>
          <w:tcPr>
            <w:tcW w:w="1099" w:type="dxa"/>
            <w:shd w:val="clear" w:color="auto" w:fill="auto"/>
            <w:noWrap/>
            <w:vAlign w:val="center"/>
          </w:tcPr>
          <w:p>
            <w:pPr>
              <w:widowControl/>
              <w:jc w:val="center"/>
              <w:rPr>
                <w:rFonts w:hint="eastAsia" w:ascii="宋体" w:hAnsi="宋体" w:eastAsia="宋体" w:cs="Arial"/>
                <w:color w:val="000000"/>
                <w:kern w:val="0"/>
                <w:sz w:val="22"/>
              </w:rPr>
            </w:pPr>
          </w:p>
        </w:tc>
        <w:tc>
          <w:tcPr>
            <w:tcW w:w="340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十一、城乡社区支出</w:t>
            </w: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43</w:t>
            </w:r>
          </w:p>
        </w:tc>
        <w:tc>
          <w:tcPr>
            <w:tcW w:w="124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82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691" w:type="dxa"/>
            <w:shd w:val="clear" w:color="auto" w:fill="auto"/>
            <w:noWrap/>
            <w:vAlign w:val="center"/>
          </w:tcPr>
          <w:p>
            <w:pPr>
              <w:widowControl/>
              <w:jc w:val="center"/>
              <w:rPr>
                <w:rFonts w:hint="eastAsia" w:ascii="宋体" w:hAnsi="宋体" w:eastAsia="宋体" w:cs="Arial"/>
                <w:color w:val="000000"/>
                <w:kern w:val="0"/>
                <w:sz w:val="22"/>
              </w:rPr>
            </w:pP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12</w:t>
            </w:r>
          </w:p>
        </w:tc>
        <w:tc>
          <w:tcPr>
            <w:tcW w:w="1099" w:type="dxa"/>
            <w:shd w:val="clear" w:color="auto" w:fill="auto"/>
            <w:noWrap/>
            <w:vAlign w:val="center"/>
          </w:tcPr>
          <w:p>
            <w:pPr>
              <w:widowControl/>
              <w:jc w:val="center"/>
              <w:rPr>
                <w:rFonts w:hint="eastAsia" w:ascii="宋体" w:hAnsi="宋体" w:eastAsia="宋体" w:cs="Arial"/>
                <w:color w:val="000000"/>
                <w:kern w:val="0"/>
                <w:sz w:val="22"/>
              </w:rPr>
            </w:pPr>
          </w:p>
        </w:tc>
        <w:tc>
          <w:tcPr>
            <w:tcW w:w="340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十二、农林水支出</w:t>
            </w: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44</w:t>
            </w:r>
          </w:p>
        </w:tc>
        <w:tc>
          <w:tcPr>
            <w:tcW w:w="124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82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691" w:type="dxa"/>
            <w:shd w:val="clear" w:color="auto" w:fill="auto"/>
            <w:noWrap/>
            <w:vAlign w:val="center"/>
          </w:tcPr>
          <w:p>
            <w:pPr>
              <w:widowControl/>
              <w:jc w:val="center"/>
              <w:rPr>
                <w:rFonts w:hint="eastAsia" w:ascii="宋体" w:hAnsi="宋体" w:eastAsia="宋体" w:cs="Arial"/>
                <w:color w:val="000000"/>
                <w:kern w:val="0"/>
                <w:sz w:val="22"/>
              </w:rPr>
            </w:pP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13</w:t>
            </w:r>
          </w:p>
        </w:tc>
        <w:tc>
          <w:tcPr>
            <w:tcW w:w="1099" w:type="dxa"/>
            <w:shd w:val="clear" w:color="auto" w:fill="auto"/>
            <w:noWrap/>
            <w:vAlign w:val="center"/>
          </w:tcPr>
          <w:p>
            <w:pPr>
              <w:widowControl/>
              <w:jc w:val="center"/>
              <w:rPr>
                <w:rFonts w:hint="eastAsia" w:ascii="宋体" w:hAnsi="宋体" w:eastAsia="宋体" w:cs="Arial"/>
                <w:color w:val="000000"/>
                <w:kern w:val="0"/>
                <w:sz w:val="22"/>
              </w:rPr>
            </w:pPr>
          </w:p>
        </w:tc>
        <w:tc>
          <w:tcPr>
            <w:tcW w:w="340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十三、交通运输支出</w:t>
            </w: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45</w:t>
            </w:r>
          </w:p>
        </w:tc>
        <w:tc>
          <w:tcPr>
            <w:tcW w:w="124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82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691" w:type="dxa"/>
            <w:shd w:val="clear" w:color="auto" w:fill="auto"/>
            <w:noWrap/>
            <w:vAlign w:val="center"/>
          </w:tcPr>
          <w:p>
            <w:pPr>
              <w:widowControl/>
              <w:jc w:val="center"/>
              <w:rPr>
                <w:rFonts w:hint="eastAsia" w:ascii="宋体" w:hAnsi="宋体" w:eastAsia="宋体" w:cs="Arial"/>
                <w:color w:val="000000"/>
                <w:kern w:val="0"/>
                <w:sz w:val="22"/>
              </w:rPr>
            </w:pP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14</w:t>
            </w:r>
          </w:p>
        </w:tc>
        <w:tc>
          <w:tcPr>
            <w:tcW w:w="1099" w:type="dxa"/>
            <w:shd w:val="clear" w:color="auto" w:fill="auto"/>
            <w:noWrap/>
            <w:vAlign w:val="center"/>
          </w:tcPr>
          <w:p>
            <w:pPr>
              <w:widowControl/>
              <w:jc w:val="center"/>
              <w:rPr>
                <w:rFonts w:hint="eastAsia" w:ascii="宋体" w:hAnsi="宋体" w:eastAsia="宋体" w:cs="Arial"/>
                <w:color w:val="000000"/>
                <w:kern w:val="0"/>
                <w:sz w:val="22"/>
              </w:rPr>
            </w:pPr>
          </w:p>
        </w:tc>
        <w:tc>
          <w:tcPr>
            <w:tcW w:w="340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十四、资源勘探工业信息等支出</w:t>
            </w: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46</w:t>
            </w:r>
          </w:p>
        </w:tc>
        <w:tc>
          <w:tcPr>
            <w:tcW w:w="124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82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691" w:type="dxa"/>
            <w:shd w:val="clear" w:color="auto" w:fill="auto"/>
            <w:noWrap/>
            <w:vAlign w:val="center"/>
          </w:tcPr>
          <w:p>
            <w:pPr>
              <w:widowControl/>
              <w:jc w:val="center"/>
              <w:rPr>
                <w:rFonts w:hint="eastAsia" w:ascii="宋体" w:hAnsi="宋体" w:eastAsia="宋体" w:cs="Arial"/>
                <w:color w:val="000000"/>
                <w:kern w:val="0"/>
                <w:sz w:val="22"/>
              </w:rPr>
            </w:pP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15</w:t>
            </w:r>
          </w:p>
        </w:tc>
        <w:tc>
          <w:tcPr>
            <w:tcW w:w="1099" w:type="dxa"/>
            <w:shd w:val="clear" w:color="auto" w:fill="auto"/>
            <w:noWrap/>
            <w:vAlign w:val="center"/>
          </w:tcPr>
          <w:p>
            <w:pPr>
              <w:widowControl/>
              <w:jc w:val="center"/>
              <w:rPr>
                <w:rFonts w:hint="eastAsia" w:ascii="宋体" w:hAnsi="宋体" w:eastAsia="宋体" w:cs="Arial"/>
                <w:color w:val="000000"/>
                <w:kern w:val="0"/>
                <w:sz w:val="22"/>
              </w:rPr>
            </w:pPr>
          </w:p>
        </w:tc>
        <w:tc>
          <w:tcPr>
            <w:tcW w:w="340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十五、商业服务业等支出</w:t>
            </w: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47</w:t>
            </w:r>
          </w:p>
        </w:tc>
        <w:tc>
          <w:tcPr>
            <w:tcW w:w="124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82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691" w:type="dxa"/>
            <w:shd w:val="clear" w:color="auto" w:fill="auto"/>
            <w:noWrap/>
            <w:vAlign w:val="center"/>
          </w:tcPr>
          <w:p>
            <w:pPr>
              <w:widowControl/>
              <w:jc w:val="center"/>
              <w:rPr>
                <w:rFonts w:hint="eastAsia" w:ascii="宋体" w:hAnsi="宋体" w:eastAsia="宋体" w:cs="Arial"/>
                <w:color w:val="000000"/>
                <w:kern w:val="0"/>
                <w:sz w:val="22"/>
              </w:rPr>
            </w:pP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16</w:t>
            </w:r>
          </w:p>
        </w:tc>
        <w:tc>
          <w:tcPr>
            <w:tcW w:w="1099" w:type="dxa"/>
            <w:shd w:val="clear" w:color="auto" w:fill="auto"/>
            <w:noWrap/>
            <w:vAlign w:val="center"/>
          </w:tcPr>
          <w:p>
            <w:pPr>
              <w:widowControl/>
              <w:jc w:val="center"/>
              <w:rPr>
                <w:rFonts w:hint="eastAsia" w:ascii="宋体" w:hAnsi="宋体" w:eastAsia="宋体" w:cs="Arial"/>
                <w:color w:val="000000"/>
                <w:kern w:val="0"/>
                <w:sz w:val="22"/>
              </w:rPr>
            </w:pPr>
          </w:p>
        </w:tc>
        <w:tc>
          <w:tcPr>
            <w:tcW w:w="340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十六、金融支出</w:t>
            </w: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48</w:t>
            </w:r>
          </w:p>
        </w:tc>
        <w:tc>
          <w:tcPr>
            <w:tcW w:w="124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82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691" w:type="dxa"/>
            <w:shd w:val="clear" w:color="auto" w:fill="auto"/>
            <w:noWrap/>
            <w:vAlign w:val="center"/>
          </w:tcPr>
          <w:p>
            <w:pPr>
              <w:widowControl/>
              <w:jc w:val="center"/>
              <w:rPr>
                <w:rFonts w:hint="eastAsia" w:ascii="宋体" w:hAnsi="宋体" w:eastAsia="宋体" w:cs="Arial"/>
                <w:color w:val="000000"/>
                <w:kern w:val="0"/>
                <w:sz w:val="22"/>
              </w:rPr>
            </w:pP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17</w:t>
            </w:r>
          </w:p>
        </w:tc>
        <w:tc>
          <w:tcPr>
            <w:tcW w:w="1099" w:type="dxa"/>
            <w:shd w:val="clear" w:color="auto" w:fill="auto"/>
            <w:noWrap/>
            <w:vAlign w:val="center"/>
          </w:tcPr>
          <w:p>
            <w:pPr>
              <w:widowControl/>
              <w:jc w:val="center"/>
              <w:rPr>
                <w:rFonts w:hint="eastAsia" w:ascii="宋体" w:hAnsi="宋体" w:eastAsia="宋体" w:cs="Arial"/>
                <w:color w:val="000000"/>
                <w:kern w:val="0"/>
                <w:sz w:val="22"/>
              </w:rPr>
            </w:pPr>
          </w:p>
        </w:tc>
        <w:tc>
          <w:tcPr>
            <w:tcW w:w="340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十七、援助其他地区支出</w:t>
            </w: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49</w:t>
            </w:r>
          </w:p>
        </w:tc>
        <w:tc>
          <w:tcPr>
            <w:tcW w:w="124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82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2691" w:type="dxa"/>
            <w:shd w:val="clear" w:color="auto" w:fill="auto"/>
            <w:noWrap/>
            <w:vAlign w:val="center"/>
          </w:tcPr>
          <w:p>
            <w:pPr>
              <w:widowControl/>
              <w:jc w:val="center"/>
              <w:rPr>
                <w:rFonts w:hint="eastAsia" w:ascii="宋体" w:hAnsi="宋体" w:eastAsia="宋体" w:cs="Arial"/>
                <w:color w:val="000000"/>
                <w:kern w:val="0"/>
                <w:sz w:val="22"/>
              </w:rPr>
            </w:pP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18</w:t>
            </w:r>
          </w:p>
        </w:tc>
        <w:tc>
          <w:tcPr>
            <w:tcW w:w="1099" w:type="dxa"/>
            <w:shd w:val="clear" w:color="auto" w:fill="auto"/>
            <w:noWrap/>
            <w:vAlign w:val="center"/>
          </w:tcPr>
          <w:p>
            <w:pPr>
              <w:widowControl/>
              <w:jc w:val="center"/>
              <w:rPr>
                <w:rFonts w:hint="eastAsia" w:ascii="宋体" w:hAnsi="宋体" w:eastAsia="宋体" w:cs="Arial"/>
                <w:color w:val="000000"/>
                <w:kern w:val="0"/>
                <w:sz w:val="22"/>
              </w:rPr>
            </w:pPr>
          </w:p>
        </w:tc>
        <w:tc>
          <w:tcPr>
            <w:tcW w:w="340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十八、自然资源海洋气象等支出</w:t>
            </w: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50</w:t>
            </w:r>
          </w:p>
        </w:tc>
        <w:tc>
          <w:tcPr>
            <w:tcW w:w="124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82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691" w:type="dxa"/>
            <w:shd w:val="clear" w:color="auto" w:fill="auto"/>
            <w:noWrap/>
            <w:vAlign w:val="center"/>
          </w:tcPr>
          <w:p>
            <w:pPr>
              <w:widowControl/>
              <w:jc w:val="center"/>
              <w:rPr>
                <w:rFonts w:hint="eastAsia" w:ascii="宋体" w:hAnsi="宋体" w:eastAsia="宋体" w:cs="Arial"/>
                <w:color w:val="000000"/>
                <w:kern w:val="0"/>
                <w:sz w:val="22"/>
              </w:rPr>
            </w:pP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19</w:t>
            </w:r>
          </w:p>
        </w:tc>
        <w:tc>
          <w:tcPr>
            <w:tcW w:w="1099" w:type="dxa"/>
            <w:shd w:val="clear" w:color="auto" w:fill="auto"/>
            <w:noWrap/>
            <w:vAlign w:val="center"/>
          </w:tcPr>
          <w:p>
            <w:pPr>
              <w:widowControl/>
              <w:jc w:val="center"/>
              <w:rPr>
                <w:rFonts w:hint="eastAsia" w:ascii="宋体" w:hAnsi="宋体" w:eastAsia="宋体" w:cs="Arial"/>
                <w:color w:val="000000"/>
                <w:kern w:val="0"/>
                <w:sz w:val="22"/>
              </w:rPr>
            </w:pPr>
          </w:p>
        </w:tc>
        <w:tc>
          <w:tcPr>
            <w:tcW w:w="340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十九、住房保障支出</w:t>
            </w: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51</w:t>
            </w:r>
          </w:p>
        </w:tc>
        <w:tc>
          <w:tcPr>
            <w:tcW w:w="124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43.78</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43.78</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82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691" w:type="dxa"/>
            <w:shd w:val="clear" w:color="auto" w:fill="auto"/>
            <w:noWrap/>
            <w:vAlign w:val="center"/>
          </w:tcPr>
          <w:p>
            <w:pPr>
              <w:widowControl/>
              <w:jc w:val="center"/>
              <w:rPr>
                <w:rFonts w:hint="eastAsia" w:ascii="宋体" w:hAnsi="宋体" w:eastAsia="宋体" w:cs="Arial"/>
                <w:color w:val="000000"/>
                <w:kern w:val="0"/>
                <w:sz w:val="22"/>
              </w:rPr>
            </w:pP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20</w:t>
            </w:r>
          </w:p>
        </w:tc>
        <w:tc>
          <w:tcPr>
            <w:tcW w:w="1099" w:type="dxa"/>
            <w:shd w:val="clear" w:color="auto" w:fill="auto"/>
            <w:noWrap/>
            <w:vAlign w:val="center"/>
          </w:tcPr>
          <w:p>
            <w:pPr>
              <w:widowControl/>
              <w:jc w:val="center"/>
              <w:rPr>
                <w:rFonts w:hint="eastAsia" w:ascii="宋体" w:hAnsi="宋体" w:eastAsia="宋体" w:cs="Arial"/>
                <w:color w:val="000000"/>
                <w:kern w:val="0"/>
                <w:sz w:val="22"/>
              </w:rPr>
            </w:pPr>
          </w:p>
        </w:tc>
        <w:tc>
          <w:tcPr>
            <w:tcW w:w="340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二十、粮油物资储备支出</w:t>
            </w: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52</w:t>
            </w:r>
          </w:p>
        </w:tc>
        <w:tc>
          <w:tcPr>
            <w:tcW w:w="124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82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691" w:type="dxa"/>
            <w:shd w:val="clear" w:color="auto" w:fill="auto"/>
            <w:noWrap/>
            <w:vAlign w:val="center"/>
          </w:tcPr>
          <w:p>
            <w:pPr>
              <w:widowControl/>
              <w:jc w:val="center"/>
              <w:rPr>
                <w:rFonts w:hint="eastAsia" w:ascii="宋体" w:hAnsi="宋体" w:eastAsia="宋体" w:cs="Arial"/>
                <w:color w:val="000000"/>
                <w:kern w:val="0"/>
                <w:sz w:val="22"/>
              </w:rPr>
            </w:pP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21</w:t>
            </w:r>
          </w:p>
        </w:tc>
        <w:tc>
          <w:tcPr>
            <w:tcW w:w="1099" w:type="dxa"/>
            <w:shd w:val="clear" w:color="auto" w:fill="auto"/>
            <w:noWrap/>
            <w:vAlign w:val="center"/>
          </w:tcPr>
          <w:p>
            <w:pPr>
              <w:widowControl/>
              <w:jc w:val="center"/>
              <w:rPr>
                <w:rFonts w:hint="eastAsia" w:ascii="宋体" w:hAnsi="宋体" w:eastAsia="宋体" w:cs="Arial"/>
                <w:color w:val="000000"/>
                <w:kern w:val="0"/>
                <w:sz w:val="22"/>
              </w:rPr>
            </w:pPr>
          </w:p>
        </w:tc>
        <w:tc>
          <w:tcPr>
            <w:tcW w:w="340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二十一、国有资本经营预算支出</w:t>
            </w: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53</w:t>
            </w:r>
          </w:p>
        </w:tc>
        <w:tc>
          <w:tcPr>
            <w:tcW w:w="124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82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691" w:type="dxa"/>
            <w:shd w:val="clear" w:color="auto" w:fill="auto"/>
            <w:noWrap/>
            <w:vAlign w:val="center"/>
          </w:tcPr>
          <w:p>
            <w:pPr>
              <w:widowControl/>
              <w:jc w:val="center"/>
              <w:rPr>
                <w:rFonts w:hint="eastAsia" w:ascii="宋体" w:hAnsi="宋体" w:eastAsia="宋体" w:cs="Arial"/>
                <w:color w:val="000000"/>
                <w:kern w:val="0"/>
                <w:sz w:val="22"/>
              </w:rPr>
            </w:pP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22</w:t>
            </w:r>
          </w:p>
        </w:tc>
        <w:tc>
          <w:tcPr>
            <w:tcW w:w="1099" w:type="dxa"/>
            <w:shd w:val="clear" w:color="auto" w:fill="auto"/>
            <w:noWrap/>
            <w:vAlign w:val="center"/>
          </w:tcPr>
          <w:p>
            <w:pPr>
              <w:widowControl/>
              <w:jc w:val="center"/>
              <w:rPr>
                <w:rFonts w:hint="eastAsia" w:ascii="宋体" w:hAnsi="宋体" w:eastAsia="宋体" w:cs="Arial"/>
                <w:color w:val="000000"/>
                <w:kern w:val="0"/>
                <w:sz w:val="22"/>
              </w:rPr>
            </w:pPr>
          </w:p>
        </w:tc>
        <w:tc>
          <w:tcPr>
            <w:tcW w:w="340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二十二、灾害防治及应急管理支出</w:t>
            </w: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54</w:t>
            </w:r>
          </w:p>
        </w:tc>
        <w:tc>
          <w:tcPr>
            <w:tcW w:w="124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82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691" w:type="dxa"/>
            <w:shd w:val="clear" w:color="auto" w:fill="auto"/>
            <w:noWrap/>
            <w:vAlign w:val="center"/>
          </w:tcPr>
          <w:p>
            <w:pPr>
              <w:widowControl/>
              <w:jc w:val="center"/>
              <w:rPr>
                <w:rFonts w:hint="eastAsia" w:ascii="宋体" w:hAnsi="宋体" w:eastAsia="宋体" w:cs="Arial"/>
                <w:color w:val="000000"/>
                <w:kern w:val="0"/>
                <w:sz w:val="22"/>
              </w:rPr>
            </w:pP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23</w:t>
            </w:r>
          </w:p>
        </w:tc>
        <w:tc>
          <w:tcPr>
            <w:tcW w:w="1099" w:type="dxa"/>
            <w:shd w:val="clear" w:color="auto" w:fill="auto"/>
            <w:noWrap/>
            <w:vAlign w:val="center"/>
          </w:tcPr>
          <w:p>
            <w:pPr>
              <w:widowControl/>
              <w:jc w:val="center"/>
              <w:rPr>
                <w:rFonts w:hint="eastAsia" w:ascii="宋体" w:hAnsi="宋体" w:eastAsia="宋体" w:cs="Arial"/>
                <w:color w:val="000000"/>
                <w:kern w:val="0"/>
                <w:sz w:val="22"/>
              </w:rPr>
            </w:pPr>
          </w:p>
        </w:tc>
        <w:tc>
          <w:tcPr>
            <w:tcW w:w="340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二十三、其他支出</w:t>
            </w: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55</w:t>
            </w:r>
          </w:p>
        </w:tc>
        <w:tc>
          <w:tcPr>
            <w:tcW w:w="124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82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691" w:type="dxa"/>
            <w:shd w:val="clear" w:color="auto" w:fill="auto"/>
            <w:noWrap/>
            <w:vAlign w:val="center"/>
          </w:tcPr>
          <w:p>
            <w:pPr>
              <w:widowControl/>
              <w:jc w:val="center"/>
              <w:rPr>
                <w:rFonts w:hint="eastAsia" w:ascii="宋体" w:hAnsi="宋体" w:eastAsia="宋体" w:cs="Arial"/>
                <w:b/>
                <w:bCs/>
                <w:color w:val="000000"/>
                <w:kern w:val="0"/>
                <w:sz w:val="20"/>
                <w:szCs w:val="20"/>
              </w:rPr>
            </w:pP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24</w:t>
            </w:r>
          </w:p>
        </w:tc>
        <w:tc>
          <w:tcPr>
            <w:tcW w:w="1099" w:type="dxa"/>
            <w:shd w:val="clear" w:color="auto" w:fill="auto"/>
            <w:noWrap/>
            <w:vAlign w:val="center"/>
          </w:tcPr>
          <w:p>
            <w:pPr>
              <w:widowControl/>
              <w:jc w:val="center"/>
              <w:rPr>
                <w:rFonts w:hint="eastAsia" w:ascii="宋体" w:hAnsi="宋体" w:eastAsia="宋体" w:cs="Arial"/>
                <w:color w:val="000000"/>
                <w:kern w:val="0"/>
                <w:sz w:val="22"/>
              </w:rPr>
            </w:pPr>
          </w:p>
        </w:tc>
        <w:tc>
          <w:tcPr>
            <w:tcW w:w="340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二十四、债务还本支出</w:t>
            </w: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56</w:t>
            </w:r>
          </w:p>
        </w:tc>
        <w:tc>
          <w:tcPr>
            <w:tcW w:w="124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82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691" w:type="dxa"/>
            <w:shd w:val="clear" w:color="auto" w:fill="auto"/>
            <w:noWrap/>
            <w:vAlign w:val="center"/>
          </w:tcPr>
          <w:p>
            <w:pPr>
              <w:widowControl/>
              <w:jc w:val="center"/>
              <w:rPr>
                <w:rFonts w:hint="eastAsia" w:ascii="宋体" w:hAnsi="宋体" w:eastAsia="宋体" w:cs="Arial"/>
                <w:color w:val="000000"/>
                <w:kern w:val="0"/>
                <w:sz w:val="20"/>
                <w:szCs w:val="20"/>
              </w:rPr>
            </w:pP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25</w:t>
            </w:r>
          </w:p>
        </w:tc>
        <w:tc>
          <w:tcPr>
            <w:tcW w:w="1099" w:type="dxa"/>
            <w:shd w:val="clear" w:color="auto" w:fill="auto"/>
            <w:noWrap/>
            <w:vAlign w:val="center"/>
          </w:tcPr>
          <w:p>
            <w:pPr>
              <w:widowControl/>
              <w:jc w:val="center"/>
              <w:rPr>
                <w:rFonts w:hint="eastAsia" w:ascii="宋体" w:hAnsi="宋体" w:eastAsia="宋体" w:cs="Arial"/>
                <w:color w:val="000000"/>
                <w:kern w:val="0"/>
                <w:sz w:val="22"/>
              </w:rPr>
            </w:pPr>
          </w:p>
        </w:tc>
        <w:tc>
          <w:tcPr>
            <w:tcW w:w="340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二十五、债务付息支出</w:t>
            </w: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57</w:t>
            </w:r>
          </w:p>
        </w:tc>
        <w:tc>
          <w:tcPr>
            <w:tcW w:w="124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82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691" w:type="dxa"/>
            <w:shd w:val="clear" w:color="auto" w:fill="auto"/>
            <w:noWrap/>
            <w:vAlign w:val="center"/>
          </w:tcPr>
          <w:p>
            <w:pPr>
              <w:widowControl/>
              <w:jc w:val="center"/>
              <w:rPr>
                <w:rFonts w:hint="eastAsia" w:ascii="宋体" w:hAnsi="宋体" w:eastAsia="宋体" w:cs="Arial"/>
                <w:color w:val="000000"/>
                <w:kern w:val="0"/>
                <w:sz w:val="20"/>
                <w:szCs w:val="20"/>
              </w:rPr>
            </w:pP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26</w:t>
            </w:r>
          </w:p>
        </w:tc>
        <w:tc>
          <w:tcPr>
            <w:tcW w:w="1099" w:type="dxa"/>
            <w:shd w:val="clear" w:color="auto" w:fill="auto"/>
            <w:noWrap/>
            <w:vAlign w:val="center"/>
          </w:tcPr>
          <w:p>
            <w:pPr>
              <w:widowControl/>
              <w:jc w:val="center"/>
              <w:rPr>
                <w:rFonts w:hint="eastAsia" w:ascii="宋体" w:hAnsi="宋体" w:eastAsia="宋体" w:cs="Arial"/>
                <w:color w:val="000000"/>
                <w:kern w:val="0"/>
                <w:sz w:val="22"/>
              </w:rPr>
            </w:pPr>
          </w:p>
        </w:tc>
        <w:tc>
          <w:tcPr>
            <w:tcW w:w="340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二十六、抗疫特别国债安排的支出</w:t>
            </w: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58</w:t>
            </w:r>
          </w:p>
        </w:tc>
        <w:tc>
          <w:tcPr>
            <w:tcW w:w="124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82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691" w:type="dxa"/>
            <w:shd w:val="clear" w:color="auto" w:fill="auto"/>
            <w:noWrap/>
            <w:vAlign w:val="center"/>
          </w:tcPr>
          <w:p>
            <w:pPr>
              <w:widowControl/>
              <w:jc w:val="center"/>
              <w:rPr>
                <w:rFonts w:hint="eastAsia" w:ascii="宋体" w:hAnsi="宋体" w:eastAsia="宋体" w:cs="Arial"/>
                <w:b/>
                <w:bCs/>
                <w:color w:val="000000"/>
                <w:kern w:val="0"/>
                <w:sz w:val="22"/>
              </w:rPr>
            </w:pPr>
            <w:r>
              <w:rPr>
                <w:rFonts w:hint="eastAsia" w:ascii="宋体" w:hAnsi="宋体" w:eastAsia="宋体" w:cs="Arial"/>
                <w:b/>
                <w:bCs/>
                <w:color w:val="000000"/>
                <w:kern w:val="0"/>
                <w:sz w:val="22"/>
              </w:rPr>
              <w:t>本年收入合计</w:t>
            </w: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27</w:t>
            </w:r>
          </w:p>
        </w:tc>
        <w:tc>
          <w:tcPr>
            <w:tcW w:w="109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1,376.11</w:t>
            </w:r>
          </w:p>
        </w:tc>
        <w:tc>
          <w:tcPr>
            <w:tcW w:w="3407" w:type="dxa"/>
            <w:shd w:val="clear" w:color="auto" w:fill="auto"/>
            <w:noWrap/>
            <w:vAlign w:val="center"/>
          </w:tcPr>
          <w:p>
            <w:pPr>
              <w:widowControl/>
              <w:jc w:val="center"/>
              <w:rPr>
                <w:rFonts w:hint="eastAsia" w:ascii="宋体" w:hAnsi="宋体" w:eastAsia="宋体" w:cs="Arial"/>
                <w:b/>
                <w:bCs/>
                <w:color w:val="000000"/>
                <w:kern w:val="0"/>
                <w:sz w:val="22"/>
              </w:rPr>
            </w:pPr>
            <w:r>
              <w:rPr>
                <w:rFonts w:hint="eastAsia" w:ascii="宋体" w:hAnsi="宋体" w:eastAsia="宋体" w:cs="Arial"/>
                <w:b/>
                <w:bCs/>
                <w:color w:val="000000"/>
                <w:kern w:val="0"/>
                <w:sz w:val="22"/>
              </w:rPr>
              <w:t>本年支出合计</w:t>
            </w: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59</w:t>
            </w:r>
          </w:p>
        </w:tc>
        <w:tc>
          <w:tcPr>
            <w:tcW w:w="124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1,284.97</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1,284.97</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82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691"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年初财政拨款结转和结余</w:t>
            </w: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28</w:t>
            </w:r>
          </w:p>
        </w:tc>
        <w:tc>
          <w:tcPr>
            <w:tcW w:w="109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30.00</w:t>
            </w:r>
          </w:p>
        </w:tc>
        <w:tc>
          <w:tcPr>
            <w:tcW w:w="340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年末财政拨款结转和结余</w:t>
            </w: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60</w:t>
            </w:r>
          </w:p>
        </w:tc>
        <w:tc>
          <w:tcPr>
            <w:tcW w:w="124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121.14</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121.14</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82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691"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一般公共预算财政拨款</w:t>
            </w: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29</w:t>
            </w:r>
          </w:p>
        </w:tc>
        <w:tc>
          <w:tcPr>
            <w:tcW w:w="109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30.00</w:t>
            </w:r>
          </w:p>
        </w:tc>
        <w:tc>
          <w:tcPr>
            <w:tcW w:w="3407" w:type="dxa"/>
            <w:shd w:val="clear" w:color="auto" w:fill="auto"/>
            <w:noWrap/>
            <w:vAlign w:val="center"/>
          </w:tcPr>
          <w:p>
            <w:pPr>
              <w:widowControl/>
              <w:jc w:val="center"/>
              <w:rPr>
                <w:rFonts w:hint="eastAsia" w:ascii="宋体" w:hAnsi="宋体" w:eastAsia="宋体" w:cs="Arial"/>
                <w:color w:val="000000"/>
                <w:kern w:val="0"/>
                <w:sz w:val="22"/>
              </w:rPr>
            </w:pP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61</w:t>
            </w:r>
          </w:p>
        </w:tc>
        <w:tc>
          <w:tcPr>
            <w:tcW w:w="1247" w:type="dxa"/>
            <w:shd w:val="clear" w:color="auto" w:fill="auto"/>
            <w:noWrap/>
            <w:vAlign w:val="center"/>
          </w:tcPr>
          <w:p>
            <w:pPr>
              <w:widowControl/>
              <w:tabs>
                <w:tab w:val="left" w:pos="484"/>
              </w:tabs>
              <w:jc w:val="left"/>
              <w:rPr>
                <w:rFonts w:hint="eastAsia" w:ascii="宋体" w:hAnsi="宋体" w:eastAsia="宋体" w:cs="Arial"/>
                <w:color w:val="000000"/>
                <w:kern w:val="0"/>
                <w:sz w:val="22"/>
                <w:lang w:eastAsia="zh-CN"/>
              </w:rPr>
            </w:pPr>
            <w:r>
              <w:rPr>
                <w:rFonts w:hint="eastAsia" w:ascii="宋体" w:hAnsi="宋体" w:eastAsia="宋体" w:cs="Arial"/>
                <w:color w:val="000000"/>
                <w:kern w:val="0"/>
                <w:sz w:val="22"/>
                <w:lang w:eastAsia="zh-CN"/>
              </w:rPr>
              <w:tab/>
            </w:r>
          </w:p>
        </w:tc>
        <w:tc>
          <w:tcPr>
            <w:tcW w:w="1248" w:type="dxa"/>
            <w:shd w:val="clear" w:color="auto" w:fill="auto"/>
            <w:noWrap/>
            <w:vAlign w:val="center"/>
          </w:tcPr>
          <w:p>
            <w:pPr>
              <w:widowControl/>
              <w:jc w:val="center"/>
              <w:rPr>
                <w:rFonts w:hint="eastAsia" w:ascii="宋体" w:hAnsi="宋体" w:eastAsia="宋体" w:cs="Arial"/>
                <w:color w:val="000000"/>
                <w:kern w:val="0"/>
                <w:sz w:val="22"/>
              </w:rPr>
            </w:pPr>
          </w:p>
        </w:tc>
        <w:tc>
          <w:tcPr>
            <w:tcW w:w="1248" w:type="dxa"/>
            <w:shd w:val="clear" w:color="auto" w:fill="auto"/>
            <w:noWrap/>
            <w:vAlign w:val="center"/>
          </w:tcPr>
          <w:p>
            <w:pPr>
              <w:widowControl/>
              <w:jc w:val="center"/>
              <w:rPr>
                <w:rFonts w:hint="eastAsia" w:ascii="宋体" w:hAnsi="宋体" w:eastAsia="宋体" w:cs="Arial"/>
                <w:color w:val="000000"/>
                <w:kern w:val="0"/>
                <w:sz w:val="22"/>
              </w:rPr>
            </w:pPr>
          </w:p>
        </w:tc>
        <w:tc>
          <w:tcPr>
            <w:tcW w:w="1828" w:type="dxa"/>
            <w:shd w:val="clear" w:color="auto" w:fill="auto"/>
            <w:noWrap/>
            <w:vAlign w:val="center"/>
          </w:tcPr>
          <w:p>
            <w:pPr>
              <w:widowControl/>
              <w:jc w:val="center"/>
              <w:rPr>
                <w:rFonts w:hint="eastAsia" w:ascii="宋体" w:hAnsi="宋体" w:eastAsia="宋体" w:cs="Arial"/>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691"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政府性基金预算财政拨款</w:t>
            </w: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30</w:t>
            </w:r>
          </w:p>
        </w:tc>
        <w:tc>
          <w:tcPr>
            <w:tcW w:w="109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3407" w:type="dxa"/>
            <w:shd w:val="clear" w:color="auto" w:fill="auto"/>
            <w:noWrap/>
            <w:vAlign w:val="center"/>
          </w:tcPr>
          <w:p>
            <w:pPr>
              <w:widowControl/>
              <w:jc w:val="center"/>
              <w:rPr>
                <w:rFonts w:hint="eastAsia" w:ascii="宋体" w:hAnsi="宋体" w:eastAsia="宋体" w:cs="Arial"/>
                <w:color w:val="000000"/>
                <w:kern w:val="0"/>
                <w:sz w:val="22"/>
              </w:rPr>
            </w:pP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62</w:t>
            </w:r>
          </w:p>
        </w:tc>
        <w:tc>
          <w:tcPr>
            <w:tcW w:w="1247" w:type="dxa"/>
            <w:shd w:val="clear" w:color="auto" w:fill="auto"/>
            <w:noWrap/>
            <w:vAlign w:val="center"/>
          </w:tcPr>
          <w:p>
            <w:pPr>
              <w:widowControl/>
              <w:jc w:val="center"/>
              <w:rPr>
                <w:rFonts w:hint="eastAsia" w:ascii="宋体" w:hAnsi="宋体" w:eastAsia="宋体" w:cs="Arial"/>
                <w:color w:val="000000"/>
                <w:kern w:val="0"/>
                <w:sz w:val="22"/>
              </w:rPr>
            </w:pPr>
          </w:p>
        </w:tc>
        <w:tc>
          <w:tcPr>
            <w:tcW w:w="1248" w:type="dxa"/>
            <w:shd w:val="clear" w:color="auto" w:fill="auto"/>
            <w:noWrap/>
            <w:vAlign w:val="center"/>
          </w:tcPr>
          <w:p>
            <w:pPr>
              <w:widowControl/>
              <w:jc w:val="center"/>
              <w:rPr>
                <w:rFonts w:hint="eastAsia" w:ascii="宋体" w:hAnsi="宋体" w:eastAsia="宋体" w:cs="Arial"/>
                <w:color w:val="000000"/>
                <w:kern w:val="0"/>
                <w:sz w:val="22"/>
              </w:rPr>
            </w:pPr>
          </w:p>
        </w:tc>
        <w:tc>
          <w:tcPr>
            <w:tcW w:w="1248" w:type="dxa"/>
            <w:shd w:val="clear" w:color="auto" w:fill="auto"/>
            <w:noWrap/>
            <w:vAlign w:val="center"/>
          </w:tcPr>
          <w:p>
            <w:pPr>
              <w:widowControl/>
              <w:jc w:val="center"/>
              <w:rPr>
                <w:rFonts w:hint="eastAsia" w:ascii="宋体" w:hAnsi="宋体" w:eastAsia="宋体" w:cs="Arial"/>
                <w:color w:val="000000"/>
                <w:kern w:val="0"/>
                <w:sz w:val="22"/>
              </w:rPr>
            </w:pPr>
          </w:p>
        </w:tc>
        <w:tc>
          <w:tcPr>
            <w:tcW w:w="1828" w:type="dxa"/>
            <w:shd w:val="clear" w:color="auto" w:fill="auto"/>
            <w:noWrap/>
            <w:vAlign w:val="center"/>
          </w:tcPr>
          <w:p>
            <w:pPr>
              <w:widowControl/>
              <w:jc w:val="center"/>
              <w:rPr>
                <w:rFonts w:hint="eastAsia" w:ascii="宋体" w:hAnsi="宋体" w:eastAsia="宋体" w:cs="Arial"/>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691"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国有资本经营预算财政拨款</w:t>
            </w: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31</w:t>
            </w:r>
          </w:p>
        </w:tc>
        <w:tc>
          <w:tcPr>
            <w:tcW w:w="109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3407" w:type="dxa"/>
            <w:shd w:val="clear" w:color="auto" w:fill="auto"/>
            <w:noWrap/>
            <w:vAlign w:val="center"/>
          </w:tcPr>
          <w:p>
            <w:pPr>
              <w:widowControl/>
              <w:jc w:val="center"/>
              <w:rPr>
                <w:rFonts w:hint="eastAsia" w:ascii="宋体" w:hAnsi="宋体" w:eastAsia="宋体" w:cs="Arial"/>
                <w:color w:val="000000"/>
                <w:kern w:val="0"/>
                <w:sz w:val="22"/>
              </w:rPr>
            </w:pP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63</w:t>
            </w:r>
          </w:p>
        </w:tc>
        <w:tc>
          <w:tcPr>
            <w:tcW w:w="1247" w:type="dxa"/>
            <w:shd w:val="clear" w:color="auto" w:fill="auto"/>
            <w:noWrap/>
            <w:vAlign w:val="center"/>
          </w:tcPr>
          <w:p>
            <w:pPr>
              <w:widowControl/>
              <w:jc w:val="center"/>
              <w:rPr>
                <w:rFonts w:hint="eastAsia" w:ascii="宋体" w:hAnsi="宋体" w:eastAsia="宋体" w:cs="Arial"/>
                <w:color w:val="000000"/>
                <w:kern w:val="0"/>
                <w:sz w:val="22"/>
              </w:rPr>
            </w:pPr>
          </w:p>
        </w:tc>
        <w:tc>
          <w:tcPr>
            <w:tcW w:w="1248" w:type="dxa"/>
            <w:shd w:val="clear" w:color="auto" w:fill="auto"/>
            <w:noWrap/>
            <w:vAlign w:val="center"/>
          </w:tcPr>
          <w:p>
            <w:pPr>
              <w:widowControl/>
              <w:jc w:val="center"/>
              <w:rPr>
                <w:rFonts w:hint="eastAsia" w:ascii="宋体" w:hAnsi="宋体" w:eastAsia="宋体" w:cs="Arial"/>
                <w:color w:val="000000"/>
                <w:kern w:val="0"/>
                <w:sz w:val="22"/>
              </w:rPr>
            </w:pPr>
          </w:p>
        </w:tc>
        <w:tc>
          <w:tcPr>
            <w:tcW w:w="1248" w:type="dxa"/>
            <w:shd w:val="clear" w:color="auto" w:fill="auto"/>
            <w:noWrap/>
            <w:vAlign w:val="center"/>
          </w:tcPr>
          <w:p>
            <w:pPr>
              <w:widowControl/>
              <w:jc w:val="center"/>
              <w:rPr>
                <w:rFonts w:hint="eastAsia" w:ascii="宋体" w:hAnsi="宋体" w:eastAsia="宋体" w:cs="Arial"/>
                <w:color w:val="000000"/>
                <w:kern w:val="0"/>
                <w:sz w:val="22"/>
              </w:rPr>
            </w:pPr>
          </w:p>
        </w:tc>
        <w:tc>
          <w:tcPr>
            <w:tcW w:w="1828" w:type="dxa"/>
            <w:shd w:val="clear" w:color="auto" w:fill="auto"/>
            <w:noWrap/>
            <w:vAlign w:val="center"/>
          </w:tcPr>
          <w:p>
            <w:pPr>
              <w:widowControl/>
              <w:jc w:val="center"/>
              <w:rPr>
                <w:rFonts w:hint="eastAsia" w:ascii="宋体" w:hAnsi="宋体" w:eastAsia="宋体" w:cs="Arial"/>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691" w:type="dxa"/>
            <w:shd w:val="clear" w:color="auto" w:fill="auto"/>
            <w:noWrap/>
            <w:vAlign w:val="center"/>
          </w:tcPr>
          <w:p>
            <w:pPr>
              <w:widowControl/>
              <w:jc w:val="center"/>
              <w:rPr>
                <w:rFonts w:hint="eastAsia"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32</w:t>
            </w:r>
          </w:p>
        </w:tc>
        <w:tc>
          <w:tcPr>
            <w:tcW w:w="109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1,406.11</w:t>
            </w:r>
          </w:p>
        </w:tc>
        <w:tc>
          <w:tcPr>
            <w:tcW w:w="3407" w:type="dxa"/>
            <w:shd w:val="clear" w:color="auto" w:fill="auto"/>
            <w:noWrap/>
            <w:vAlign w:val="center"/>
          </w:tcPr>
          <w:p>
            <w:pPr>
              <w:widowControl/>
              <w:jc w:val="center"/>
              <w:rPr>
                <w:rFonts w:hint="eastAsia"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539"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64</w:t>
            </w:r>
          </w:p>
        </w:tc>
        <w:tc>
          <w:tcPr>
            <w:tcW w:w="1247"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1,406.11</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1,406.11</w:t>
            </w:r>
          </w:p>
        </w:tc>
        <w:tc>
          <w:tcPr>
            <w:tcW w:w="124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828" w:type="dxa"/>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left"/>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br w:type="page"/>
      </w:r>
    </w:p>
    <w:bookmarkEnd w:id="0"/>
    <w:tbl>
      <w:tblPr>
        <w:tblStyle w:val="6"/>
        <w:tblW w:w="12651" w:type="dxa"/>
        <w:jc w:val="center"/>
        <w:tblInd w:w="0" w:type="dxa"/>
        <w:tblLayout w:type="fixed"/>
        <w:tblCellMar>
          <w:top w:w="0" w:type="dxa"/>
          <w:left w:w="108" w:type="dxa"/>
          <w:bottom w:w="0" w:type="dxa"/>
          <w:right w:w="108" w:type="dxa"/>
        </w:tblCellMar>
      </w:tblPr>
      <w:tblGrid>
        <w:gridCol w:w="1349"/>
        <w:gridCol w:w="340"/>
        <w:gridCol w:w="340"/>
        <w:gridCol w:w="3940"/>
        <w:gridCol w:w="2260"/>
        <w:gridCol w:w="2260"/>
        <w:gridCol w:w="2162"/>
      </w:tblGrid>
      <w:tr>
        <w:tblPrEx>
          <w:tblLayout w:type="fixed"/>
          <w:tblCellMar>
            <w:top w:w="0" w:type="dxa"/>
            <w:left w:w="108" w:type="dxa"/>
            <w:bottom w:w="0" w:type="dxa"/>
            <w:right w:w="108" w:type="dxa"/>
          </w:tblCellMar>
        </w:tblPrEx>
        <w:trPr>
          <w:trHeight w:val="255" w:hRule="atLeast"/>
          <w:jc w:val="center"/>
        </w:trPr>
        <w:tc>
          <w:tcPr>
            <w:tcW w:w="12651" w:type="dxa"/>
            <w:gridSpan w:val="7"/>
            <w:tcBorders>
              <w:top w:val="nil"/>
              <w:left w:val="nil"/>
              <w:bottom w:val="nil"/>
              <w:right w:val="nil"/>
            </w:tcBorders>
            <w:shd w:val="clear" w:color="auto" w:fill="auto"/>
            <w:noWrap/>
            <w:vAlign w:val="bottom"/>
          </w:tcPr>
          <w:p>
            <w:pPr>
              <w:widowControl/>
              <w:jc w:val="center"/>
              <w:rPr>
                <w:rFonts w:hint="eastAsia" w:ascii="方正小标宋简体" w:hAnsi="宋体" w:eastAsia="方正小标宋简体" w:cs="Arial"/>
                <w:color w:val="000000"/>
                <w:kern w:val="0"/>
                <w:sz w:val="20"/>
                <w:szCs w:val="20"/>
              </w:rPr>
            </w:pPr>
            <w:r>
              <w:rPr>
                <w:rFonts w:ascii="Times New Roman" w:hAnsi="Times New Roman" w:eastAsia="仿宋_GB2312" w:cs="Times New Roman"/>
                <w:bCs/>
                <w:kern w:val="0"/>
                <w:szCs w:val="21"/>
              </w:rPr>
              <w:br w:type="page"/>
            </w:r>
            <w:r>
              <w:rPr>
                <w:rFonts w:hint="eastAsia" w:ascii="方正小标宋简体" w:hAnsi="宋体" w:eastAsia="方正小标宋简体" w:cs="Arial"/>
                <w:color w:val="000000"/>
                <w:kern w:val="0"/>
                <w:sz w:val="36"/>
                <w:szCs w:val="30"/>
              </w:rPr>
              <w:t>一般公共预算财政拨款支出决算表</w:t>
            </w:r>
          </w:p>
        </w:tc>
      </w:tr>
      <w:tr>
        <w:tblPrEx>
          <w:tblLayout w:type="fixed"/>
          <w:tblCellMar>
            <w:top w:w="0" w:type="dxa"/>
            <w:left w:w="108" w:type="dxa"/>
            <w:bottom w:w="0" w:type="dxa"/>
            <w:right w:w="108" w:type="dxa"/>
          </w:tblCellMar>
        </w:tblPrEx>
        <w:trPr>
          <w:trHeight w:val="255" w:hRule="atLeast"/>
          <w:jc w:val="center"/>
        </w:trPr>
        <w:tc>
          <w:tcPr>
            <w:tcW w:w="1349" w:type="dxa"/>
            <w:tcBorders>
              <w:top w:val="nil"/>
              <w:left w:val="nil"/>
              <w:bottom w:val="nil"/>
              <w:right w:val="nil"/>
            </w:tcBorders>
            <w:shd w:val="clear" w:color="auto" w:fill="auto"/>
            <w:noWrap/>
            <w:vAlign w:val="bottom"/>
          </w:tcPr>
          <w:p>
            <w:pPr>
              <w:widowControl/>
              <w:jc w:val="left"/>
              <w:rPr>
                <w:rFonts w:ascii="Times New Roman" w:hAnsi="Times New Roman" w:cs="Times New Roman"/>
                <w:kern w:val="0"/>
                <w:sz w:val="20"/>
                <w:szCs w:val="20"/>
              </w:rPr>
            </w:pPr>
          </w:p>
        </w:tc>
        <w:tc>
          <w:tcPr>
            <w:tcW w:w="340"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340"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3940"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2260"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2260"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2162" w:type="dxa"/>
            <w:tcBorders>
              <w:top w:val="nil"/>
              <w:left w:val="nil"/>
              <w:bottom w:val="nil"/>
              <w:right w:val="nil"/>
            </w:tcBorders>
            <w:shd w:val="clear" w:color="auto" w:fill="auto"/>
            <w:noWrap/>
            <w:vAlign w:val="bottom"/>
          </w:tcPr>
          <w:p>
            <w:pPr>
              <w:widowControl/>
              <w:jc w:val="right"/>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公开05表</w:t>
            </w:r>
          </w:p>
        </w:tc>
      </w:tr>
      <w:tr>
        <w:tblPrEx>
          <w:tblLayout w:type="fixed"/>
          <w:tblCellMar>
            <w:top w:w="0" w:type="dxa"/>
            <w:left w:w="108" w:type="dxa"/>
            <w:bottom w:w="0" w:type="dxa"/>
            <w:right w:w="108" w:type="dxa"/>
          </w:tblCellMar>
        </w:tblPrEx>
        <w:trPr>
          <w:trHeight w:val="255" w:hRule="atLeast"/>
          <w:jc w:val="center"/>
        </w:trPr>
        <w:tc>
          <w:tcPr>
            <w:tcW w:w="5969" w:type="dxa"/>
            <w:gridSpan w:val="4"/>
            <w:tcBorders>
              <w:top w:val="nil"/>
              <w:left w:val="nil"/>
              <w:bottom w:val="nil"/>
              <w:right w:val="nil"/>
            </w:tcBorders>
            <w:shd w:val="clear" w:color="auto" w:fill="auto"/>
            <w:noWrap/>
            <w:vAlign w:val="bottom"/>
          </w:tcPr>
          <w:p>
            <w:pPr>
              <w:widowControl/>
              <w:jc w:val="left"/>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部门：岳阳市教育科学技术研究院</w:t>
            </w:r>
          </w:p>
        </w:tc>
        <w:tc>
          <w:tcPr>
            <w:tcW w:w="2260" w:type="dxa"/>
            <w:tcBorders>
              <w:top w:val="nil"/>
              <w:left w:val="nil"/>
              <w:bottom w:val="nil"/>
              <w:right w:val="nil"/>
            </w:tcBorders>
            <w:shd w:val="clear" w:color="auto" w:fill="auto"/>
            <w:noWrap/>
            <w:vAlign w:val="bottom"/>
          </w:tcPr>
          <w:p>
            <w:pPr>
              <w:widowControl/>
              <w:jc w:val="left"/>
              <w:rPr>
                <w:rFonts w:hint="eastAsia" w:ascii="宋体" w:hAnsi="宋体" w:eastAsia="宋体" w:cs="Arial"/>
                <w:color w:val="000000"/>
                <w:kern w:val="0"/>
                <w:sz w:val="20"/>
                <w:szCs w:val="20"/>
              </w:rPr>
            </w:pPr>
          </w:p>
        </w:tc>
        <w:tc>
          <w:tcPr>
            <w:tcW w:w="2260"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2162" w:type="dxa"/>
            <w:tcBorders>
              <w:top w:val="nil"/>
              <w:left w:val="nil"/>
              <w:bottom w:val="nil"/>
              <w:right w:val="nil"/>
            </w:tcBorders>
            <w:shd w:val="clear" w:color="auto" w:fill="auto"/>
            <w:noWrap/>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Layout w:type="fixed"/>
          <w:tblCellMar>
            <w:top w:w="0" w:type="dxa"/>
            <w:left w:w="108" w:type="dxa"/>
            <w:bottom w:w="0" w:type="dxa"/>
            <w:right w:w="108" w:type="dxa"/>
          </w:tblCellMar>
        </w:tblPrEx>
        <w:trPr>
          <w:trHeight w:val="308" w:hRule="atLeast"/>
          <w:jc w:val="center"/>
        </w:trPr>
        <w:tc>
          <w:tcPr>
            <w:tcW w:w="596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项目</w:t>
            </w:r>
          </w:p>
        </w:tc>
        <w:tc>
          <w:tcPr>
            <w:tcW w:w="668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本年支出</w:t>
            </w:r>
          </w:p>
        </w:tc>
      </w:tr>
      <w:tr>
        <w:tblPrEx>
          <w:tblLayout w:type="fixed"/>
          <w:tblCellMar>
            <w:top w:w="0" w:type="dxa"/>
            <w:left w:w="108" w:type="dxa"/>
            <w:bottom w:w="0" w:type="dxa"/>
            <w:right w:w="108" w:type="dxa"/>
          </w:tblCellMar>
        </w:tblPrEx>
        <w:trPr>
          <w:trHeight w:val="312" w:hRule="atLeast"/>
          <w:jc w:val="center"/>
        </w:trPr>
        <w:tc>
          <w:tcPr>
            <w:tcW w:w="2029"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3940"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科目名称</w:t>
            </w:r>
          </w:p>
        </w:tc>
        <w:tc>
          <w:tcPr>
            <w:tcW w:w="226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小计</w:t>
            </w:r>
          </w:p>
        </w:tc>
        <w:tc>
          <w:tcPr>
            <w:tcW w:w="226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基本支出</w:t>
            </w:r>
          </w:p>
        </w:tc>
        <w:tc>
          <w:tcPr>
            <w:tcW w:w="2162"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项目支出</w:t>
            </w:r>
          </w:p>
        </w:tc>
      </w:tr>
      <w:tr>
        <w:tblPrEx>
          <w:tblLayout w:type="fixed"/>
          <w:tblCellMar>
            <w:top w:w="0" w:type="dxa"/>
            <w:left w:w="108" w:type="dxa"/>
            <w:bottom w:w="0" w:type="dxa"/>
            <w:right w:w="108" w:type="dxa"/>
          </w:tblCellMar>
        </w:tblPrEx>
        <w:trPr>
          <w:trHeight w:val="312" w:hRule="atLeast"/>
          <w:jc w:val="center"/>
        </w:trPr>
        <w:tc>
          <w:tcPr>
            <w:tcW w:w="2029"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p>
        </w:tc>
        <w:tc>
          <w:tcPr>
            <w:tcW w:w="3940" w:type="dxa"/>
            <w:vMerge w:val="continue"/>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p>
        </w:tc>
        <w:tc>
          <w:tcPr>
            <w:tcW w:w="2260" w:type="dxa"/>
            <w:vMerge w:val="continue"/>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p>
        </w:tc>
        <w:tc>
          <w:tcPr>
            <w:tcW w:w="2260" w:type="dxa"/>
            <w:vMerge w:val="continue"/>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p>
        </w:tc>
        <w:tc>
          <w:tcPr>
            <w:tcW w:w="2162" w:type="dxa"/>
            <w:vMerge w:val="continue"/>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p>
        </w:tc>
      </w:tr>
      <w:tr>
        <w:tblPrEx>
          <w:tblLayout w:type="fixed"/>
          <w:tblCellMar>
            <w:top w:w="0" w:type="dxa"/>
            <w:left w:w="108" w:type="dxa"/>
            <w:bottom w:w="0" w:type="dxa"/>
            <w:right w:w="108" w:type="dxa"/>
          </w:tblCellMar>
        </w:tblPrEx>
        <w:trPr>
          <w:trHeight w:val="312" w:hRule="atLeast"/>
          <w:jc w:val="center"/>
        </w:trPr>
        <w:tc>
          <w:tcPr>
            <w:tcW w:w="2029"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p>
        </w:tc>
        <w:tc>
          <w:tcPr>
            <w:tcW w:w="3940" w:type="dxa"/>
            <w:vMerge w:val="continue"/>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p>
        </w:tc>
        <w:tc>
          <w:tcPr>
            <w:tcW w:w="2260" w:type="dxa"/>
            <w:vMerge w:val="continue"/>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p>
        </w:tc>
        <w:tc>
          <w:tcPr>
            <w:tcW w:w="2260" w:type="dxa"/>
            <w:vMerge w:val="continue"/>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p>
        </w:tc>
        <w:tc>
          <w:tcPr>
            <w:tcW w:w="2162" w:type="dxa"/>
            <w:vMerge w:val="continue"/>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p>
        </w:tc>
      </w:tr>
      <w:tr>
        <w:tblPrEx>
          <w:tblLayout w:type="fixed"/>
          <w:tblCellMar>
            <w:top w:w="0" w:type="dxa"/>
            <w:left w:w="108" w:type="dxa"/>
            <w:bottom w:w="0" w:type="dxa"/>
            <w:right w:w="108" w:type="dxa"/>
          </w:tblCellMar>
        </w:tblPrEx>
        <w:trPr>
          <w:trHeight w:val="308" w:hRule="atLeast"/>
          <w:jc w:val="center"/>
        </w:trPr>
        <w:tc>
          <w:tcPr>
            <w:tcW w:w="5969"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栏次</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w:t>
            </w:r>
          </w:p>
        </w:tc>
        <w:tc>
          <w:tcPr>
            <w:tcW w:w="2162"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w:t>
            </w:r>
          </w:p>
        </w:tc>
      </w:tr>
      <w:tr>
        <w:tblPrEx>
          <w:tblLayout w:type="fixed"/>
          <w:tblCellMar>
            <w:top w:w="0" w:type="dxa"/>
            <w:left w:w="108" w:type="dxa"/>
            <w:bottom w:w="0" w:type="dxa"/>
            <w:right w:w="108" w:type="dxa"/>
          </w:tblCellMar>
        </w:tblPrEx>
        <w:trPr>
          <w:trHeight w:val="308" w:hRule="atLeast"/>
          <w:jc w:val="center"/>
        </w:trPr>
        <w:tc>
          <w:tcPr>
            <w:tcW w:w="5969"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合计</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b/>
                <w:bCs/>
                <w:color w:val="000000"/>
                <w:kern w:val="0"/>
                <w:sz w:val="22"/>
              </w:rPr>
            </w:pPr>
            <w:r>
              <w:rPr>
                <w:rFonts w:hint="eastAsia" w:ascii="宋体" w:hAnsi="宋体" w:eastAsia="宋体" w:cs="Arial"/>
                <w:b/>
                <w:bCs/>
                <w:color w:val="000000"/>
                <w:kern w:val="0"/>
                <w:sz w:val="22"/>
              </w:rPr>
              <w:t>1,284.97</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b/>
                <w:bCs/>
                <w:color w:val="000000"/>
                <w:kern w:val="0"/>
                <w:sz w:val="22"/>
              </w:rPr>
            </w:pPr>
            <w:r>
              <w:rPr>
                <w:rFonts w:hint="eastAsia" w:ascii="宋体" w:hAnsi="宋体" w:eastAsia="宋体" w:cs="Arial"/>
                <w:b/>
                <w:bCs/>
                <w:color w:val="000000"/>
                <w:kern w:val="0"/>
                <w:sz w:val="22"/>
              </w:rPr>
              <w:t>926.97</w:t>
            </w:r>
          </w:p>
        </w:tc>
        <w:tc>
          <w:tcPr>
            <w:tcW w:w="2162"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b/>
                <w:bCs/>
                <w:color w:val="000000"/>
                <w:kern w:val="0"/>
                <w:sz w:val="22"/>
              </w:rPr>
            </w:pPr>
            <w:r>
              <w:rPr>
                <w:rFonts w:hint="eastAsia" w:ascii="宋体" w:hAnsi="宋体" w:eastAsia="宋体" w:cs="Arial"/>
                <w:b/>
                <w:bCs/>
                <w:color w:val="000000"/>
                <w:kern w:val="0"/>
                <w:sz w:val="22"/>
              </w:rPr>
              <w:t>358.00</w:t>
            </w:r>
          </w:p>
        </w:tc>
      </w:tr>
      <w:tr>
        <w:tblPrEx>
          <w:tblLayout w:type="fixed"/>
          <w:tblCellMar>
            <w:top w:w="0" w:type="dxa"/>
            <w:left w:w="108" w:type="dxa"/>
            <w:bottom w:w="0" w:type="dxa"/>
            <w:right w:w="108" w:type="dxa"/>
          </w:tblCellMar>
        </w:tblPrEx>
        <w:trPr>
          <w:trHeight w:val="308" w:hRule="atLeast"/>
          <w:jc w:val="center"/>
        </w:trPr>
        <w:tc>
          <w:tcPr>
            <w:tcW w:w="2029"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205</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教育支出</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1,138.64</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780.64</w:t>
            </w:r>
          </w:p>
        </w:tc>
        <w:tc>
          <w:tcPr>
            <w:tcW w:w="2162"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358.00</w:t>
            </w:r>
          </w:p>
        </w:tc>
      </w:tr>
      <w:tr>
        <w:tblPrEx>
          <w:tblLayout w:type="fixed"/>
          <w:tblCellMar>
            <w:top w:w="0" w:type="dxa"/>
            <w:left w:w="108" w:type="dxa"/>
            <w:bottom w:w="0" w:type="dxa"/>
            <w:right w:w="108" w:type="dxa"/>
          </w:tblCellMar>
        </w:tblPrEx>
        <w:trPr>
          <w:trHeight w:val="308" w:hRule="atLeast"/>
          <w:jc w:val="center"/>
        </w:trPr>
        <w:tc>
          <w:tcPr>
            <w:tcW w:w="2029"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20501</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教育管理事务</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249.31</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249.31</w:t>
            </w:r>
          </w:p>
        </w:tc>
        <w:tc>
          <w:tcPr>
            <w:tcW w:w="2162"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308" w:hRule="atLeast"/>
          <w:jc w:val="center"/>
        </w:trPr>
        <w:tc>
          <w:tcPr>
            <w:tcW w:w="2029"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2050199</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其他教育管理事务支出</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249.31</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249.31</w:t>
            </w:r>
          </w:p>
        </w:tc>
        <w:tc>
          <w:tcPr>
            <w:tcW w:w="2162"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308" w:hRule="atLeast"/>
          <w:jc w:val="center"/>
        </w:trPr>
        <w:tc>
          <w:tcPr>
            <w:tcW w:w="2029"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20502</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普通教育</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228.00</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228.00</w:t>
            </w:r>
          </w:p>
        </w:tc>
        <w:tc>
          <w:tcPr>
            <w:tcW w:w="2162"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308" w:hRule="atLeast"/>
          <w:jc w:val="center"/>
        </w:trPr>
        <w:tc>
          <w:tcPr>
            <w:tcW w:w="2029"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2050299</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其他普通教育支出</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228.00</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228.00</w:t>
            </w:r>
          </w:p>
        </w:tc>
        <w:tc>
          <w:tcPr>
            <w:tcW w:w="2162"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308" w:hRule="atLeast"/>
          <w:jc w:val="center"/>
        </w:trPr>
        <w:tc>
          <w:tcPr>
            <w:tcW w:w="2029"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20509</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教育费附加安排的支出</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661.33</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303.33</w:t>
            </w:r>
          </w:p>
        </w:tc>
        <w:tc>
          <w:tcPr>
            <w:tcW w:w="2162"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358.00</w:t>
            </w:r>
          </w:p>
        </w:tc>
      </w:tr>
      <w:tr>
        <w:tblPrEx>
          <w:tblLayout w:type="fixed"/>
          <w:tblCellMar>
            <w:top w:w="0" w:type="dxa"/>
            <w:left w:w="108" w:type="dxa"/>
            <w:bottom w:w="0" w:type="dxa"/>
            <w:right w:w="108" w:type="dxa"/>
          </w:tblCellMar>
        </w:tblPrEx>
        <w:trPr>
          <w:trHeight w:val="308" w:hRule="atLeast"/>
          <w:jc w:val="center"/>
        </w:trPr>
        <w:tc>
          <w:tcPr>
            <w:tcW w:w="2029"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2050999</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其他教育费附加安排的支出</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661.33</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303.33</w:t>
            </w:r>
          </w:p>
        </w:tc>
        <w:tc>
          <w:tcPr>
            <w:tcW w:w="2162"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358.00</w:t>
            </w:r>
          </w:p>
        </w:tc>
      </w:tr>
      <w:tr>
        <w:tblPrEx>
          <w:tblLayout w:type="fixed"/>
          <w:tblCellMar>
            <w:top w:w="0" w:type="dxa"/>
            <w:left w:w="108" w:type="dxa"/>
            <w:bottom w:w="0" w:type="dxa"/>
            <w:right w:w="108" w:type="dxa"/>
          </w:tblCellMar>
        </w:tblPrEx>
        <w:trPr>
          <w:trHeight w:val="308" w:hRule="atLeast"/>
          <w:jc w:val="center"/>
        </w:trPr>
        <w:tc>
          <w:tcPr>
            <w:tcW w:w="2029"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208</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社会保障和就业支出</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75.49</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75.49</w:t>
            </w:r>
          </w:p>
        </w:tc>
        <w:tc>
          <w:tcPr>
            <w:tcW w:w="2162"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308" w:hRule="atLeast"/>
          <w:jc w:val="center"/>
        </w:trPr>
        <w:tc>
          <w:tcPr>
            <w:tcW w:w="2029"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20805</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行政事业单位养老支出</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58.37</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58.37</w:t>
            </w:r>
          </w:p>
        </w:tc>
        <w:tc>
          <w:tcPr>
            <w:tcW w:w="2162"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308" w:hRule="atLeast"/>
          <w:jc w:val="center"/>
        </w:trPr>
        <w:tc>
          <w:tcPr>
            <w:tcW w:w="2029"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2080505</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机关事业单位基本养老保险缴费支出</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58.37</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58.37</w:t>
            </w:r>
          </w:p>
        </w:tc>
        <w:tc>
          <w:tcPr>
            <w:tcW w:w="2162"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308" w:hRule="atLeast"/>
          <w:jc w:val="center"/>
        </w:trPr>
        <w:tc>
          <w:tcPr>
            <w:tcW w:w="2029"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20808</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抚恤</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10.79</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10.79</w:t>
            </w:r>
          </w:p>
        </w:tc>
        <w:tc>
          <w:tcPr>
            <w:tcW w:w="2162"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308" w:hRule="atLeast"/>
          <w:jc w:val="center"/>
        </w:trPr>
        <w:tc>
          <w:tcPr>
            <w:tcW w:w="2029"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2080899</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其他优抚支出</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10.79</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10.79</w:t>
            </w:r>
          </w:p>
        </w:tc>
        <w:tc>
          <w:tcPr>
            <w:tcW w:w="2162"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308" w:hRule="atLeast"/>
          <w:jc w:val="center"/>
        </w:trPr>
        <w:tc>
          <w:tcPr>
            <w:tcW w:w="2029"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20811</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残疾人事业</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3.38</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3.38</w:t>
            </w:r>
          </w:p>
        </w:tc>
        <w:tc>
          <w:tcPr>
            <w:tcW w:w="2162"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308" w:hRule="atLeast"/>
          <w:jc w:val="center"/>
        </w:trPr>
        <w:tc>
          <w:tcPr>
            <w:tcW w:w="2029"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2081199</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其他残疾人事业支出</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3.38</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3.38</w:t>
            </w:r>
          </w:p>
        </w:tc>
        <w:tc>
          <w:tcPr>
            <w:tcW w:w="2162"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308" w:hRule="atLeast"/>
          <w:jc w:val="center"/>
        </w:trPr>
        <w:tc>
          <w:tcPr>
            <w:tcW w:w="2029"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20827</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财政对其他社会保险基金的补助</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2.95</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2.95</w:t>
            </w:r>
          </w:p>
        </w:tc>
        <w:tc>
          <w:tcPr>
            <w:tcW w:w="2162"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308" w:hRule="atLeast"/>
          <w:jc w:val="center"/>
        </w:trPr>
        <w:tc>
          <w:tcPr>
            <w:tcW w:w="2029"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2082702</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财政对工伤保险基金的补助</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2.95</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2.95</w:t>
            </w:r>
          </w:p>
        </w:tc>
        <w:tc>
          <w:tcPr>
            <w:tcW w:w="2162"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308" w:hRule="atLeast"/>
          <w:jc w:val="center"/>
        </w:trPr>
        <w:tc>
          <w:tcPr>
            <w:tcW w:w="2029"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210</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卫生健康支出</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27.06</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27.06</w:t>
            </w:r>
          </w:p>
        </w:tc>
        <w:tc>
          <w:tcPr>
            <w:tcW w:w="2162"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308" w:hRule="atLeast"/>
          <w:jc w:val="center"/>
        </w:trPr>
        <w:tc>
          <w:tcPr>
            <w:tcW w:w="2029"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21011</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行政事业单位医疗</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27.06</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27.06</w:t>
            </w:r>
          </w:p>
        </w:tc>
        <w:tc>
          <w:tcPr>
            <w:tcW w:w="2162"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308" w:hRule="atLeast"/>
          <w:jc w:val="center"/>
        </w:trPr>
        <w:tc>
          <w:tcPr>
            <w:tcW w:w="2029"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2101102</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事业单位医疗</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27.06</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27.06</w:t>
            </w:r>
          </w:p>
        </w:tc>
        <w:tc>
          <w:tcPr>
            <w:tcW w:w="2162"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308" w:hRule="atLeast"/>
          <w:jc w:val="center"/>
        </w:trPr>
        <w:tc>
          <w:tcPr>
            <w:tcW w:w="2029"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221</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住房保障支出</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43.78</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43.78</w:t>
            </w:r>
          </w:p>
        </w:tc>
        <w:tc>
          <w:tcPr>
            <w:tcW w:w="2162"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308" w:hRule="atLeast"/>
          <w:jc w:val="center"/>
        </w:trPr>
        <w:tc>
          <w:tcPr>
            <w:tcW w:w="2029"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22102</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住房改革支出</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43.78</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43.78</w:t>
            </w:r>
          </w:p>
        </w:tc>
        <w:tc>
          <w:tcPr>
            <w:tcW w:w="2162"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308" w:hRule="atLeast"/>
          <w:jc w:val="center"/>
        </w:trPr>
        <w:tc>
          <w:tcPr>
            <w:tcW w:w="2029"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2210201</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住房公积金</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43.78</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43.78</w:t>
            </w:r>
          </w:p>
        </w:tc>
        <w:tc>
          <w:tcPr>
            <w:tcW w:w="2162"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308" w:hRule="atLeast"/>
          <w:jc w:val="center"/>
        </w:trPr>
        <w:tc>
          <w:tcPr>
            <w:tcW w:w="12651" w:type="dxa"/>
            <w:gridSpan w:val="7"/>
            <w:tcBorders>
              <w:top w:val="nil"/>
              <w:left w:val="nil"/>
              <w:bottom w:val="nil"/>
              <w:right w:val="nil"/>
            </w:tcBorders>
            <w:shd w:val="clear" w:color="auto" w:fill="auto"/>
            <w:noWrap/>
            <w:vAlign w:val="center"/>
          </w:tcPr>
          <w:p>
            <w:pPr>
              <w:widowControl/>
              <w:jc w:val="center"/>
              <w:rPr>
                <w:rFonts w:hint="eastAsia" w:ascii="宋体" w:hAnsi="宋体" w:eastAsia="宋体" w:cs="Arial"/>
                <w:color w:val="000000"/>
                <w:kern w:val="0"/>
                <w:sz w:val="22"/>
              </w:rPr>
            </w:pPr>
          </w:p>
        </w:tc>
      </w:tr>
    </w:tbl>
    <w:p>
      <w:pPr>
        <w:widowControl/>
        <w:jc w:val="center"/>
        <w:rPr>
          <w:rFonts w:ascii="Times New Roman" w:hAnsi="Times New Roman" w:eastAsia="仿宋_GB2312" w:cs="Times New Roman"/>
          <w:bCs/>
          <w:kern w:val="0"/>
          <w:szCs w:val="21"/>
        </w:rPr>
      </w:pPr>
    </w:p>
    <w:tbl>
      <w:tblPr>
        <w:tblStyle w:val="6"/>
        <w:tblW w:w="13983" w:type="dxa"/>
        <w:jc w:val="center"/>
        <w:tblInd w:w="0" w:type="dxa"/>
        <w:tblLayout w:type="fixed"/>
        <w:tblCellMar>
          <w:top w:w="0" w:type="dxa"/>
          <w:left w:w="108" w:type="dxa"/>
          <w:bottom w:w="0" w:type="dxa"/>
          <w:right w:w="108" w:type="dxa"/>
        </w:tblCellMar>
      </w:tblPr>
      <w:tblGrid>
        <w:gridCol w:w="991"/>
        <w:gridCol w:w="2563"/>
        <w:gridCol w:w="1095"/>
        <w:gridCol w:w="1093"/>
        <w:gridCol w:w="2205"/>
        <w:gridCol w:w="956"/>
        <w:gridCol w:w="956"/>
        <w:gridCol w:w="2696"/>
        <w:gridCol w:w="1428"/>
      </w:tblGrid>
      <w:tr>
        <w:tblPrEx>
          <w:tblLayout w:type="fixed"/>
          <w:tblCellMar>
            <w:top w:w="0" w:type="dxa"/>
            <w:left w:w="108" w:type="dxa"/>
            <w:bottom w:w="0" w:type="dxa"/>
            <w:right w:w="108" w:type="dxa"/>
          </w:tblCellMar>
        </w:tblPrEx>
        <w:trPr>
          <w:trHeight w:val="382" w:hRule="atLeast"/>
          <w:jc w:val="center"/>
        </w:trPr>
        <w:tc>
          <w:tcPr>
            <w:tcW w:w="13983" w:type="dxa"/>
            <w:gridSpan w:val="9"/>
            <w:tcBorders>
              <w:top w:val="nil"/>
              <w:left w:val="nil"/>
              <w:bottom w:val="nil"/>
            </w:tcBorders>
            <w:shd w:val="clear" w:color="auto" w:fill="auto"/>
            <w:noWrap/>
            <w:vAlign w:val="bottom"/>
          </w:tcPr>
          <w:p>
            <w:pPr>
              <w:widowControl/>
              <w:jc w:val="center"/>
              <w:rPr>
                <w:rFonts w:hint="eastAsia" w:ascii="方正小标宋简体" w:hAnsi="宋体" w:eastAsia="方正小标宋简体" w:cs="Arial"/>
                <w:color w:val="000000"/>
                <w:kern w:val="0"/>
                <w:sz w:val="18"/>
                <w:szCs w:val="18"/>
              </w:rPr>
            </w:pPr>
            <w:r>
              <w:rPr>
                <w:rFonts w:ascii="Times New Roman" w:hAnsi="Times New Roman" w:eastAsia="仿宋_GB2312" w:cs="Times New Roman"/>
                <w:bCs/>
                <w:kern w:val="0"/>
                <w:szCs w:val="21"/>
              </w:rPr>
              <w:br w:type="page"/>
            </w:r>
            <w:r>
              <w:rPr>
                <w:rFonts w:hint="eastAsia" w:ascii="方正小标宋简体" w:hAnsi="宋体" w:eastAsia="方正小标宋简体" w:cs="Arial"/>
                <w:color w:val="000000"/>
                <w:kern w:val="0"/>
                <w:sz w:val="36"/>
                <w:szCs w:val="30"/>
              </w:rPr>
              <w:t>一般公共预算财政拨款基本支出决算表</w:t>
            </w:r>
          </w:p>
        </w:tc>
      </w:tr>
      <w:tr>
        <w:tblPrEx>
          <w:tblLayout w:type="fixed"/>
          <w:tblCellMar>
            <w:top w:w="0" w:type="dxa"/>
            <w:left w:w="108" w:type="dxa"/>
            <w:bottom w:w="0" w:type="dxa"/>
            <w:right w:w="108" w:type="dxa"/>
          </w:tblCellMar>
        </w:tblPrEx>
        <w:trPr>
          <w:trHeight w:val="382" w:hRule="atLeast"/>
          <w:jc w:val="center"/>
        </w:trPr>
        <w:tc>
          <w:tcPr>
            <w:tcW w:w="991"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2563"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095"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093"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2205"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95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95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269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428" w:type="dxa"/>
            <w:tcBorders>
              <w:top w:val="nil"/>
              <w:left w:val="nil"/>
              <w:bottom w:val="nil"/>
              <w:right w:val="nil"/>
            </w:tcBorders>
            <w:shd w:val="clear" w:color="auto" w:fill="auto"/>
            <w:noWrap/>
            <w:vAlign w:val="bottom"/>
          </w:tcPr>
          <w:p>
            <w:pPr>
              <w:widowControl/>
              <w:jc w:val="righ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公开06表</w:t>
            </w:r>
          </w:p>
        </w:tc>
      </w:tr>
      <w:tr>
        <w:tblPrEx>
          <w:tblLayout w:type="fixed"/>
          <w:tblCellMar>
            <w:top w:w="0" w:type="dxa"/>
            <w:left w:w="108" w:type="dxa"/>
            <w:bottom w:w="0" w:type="dxa"/>
            <w:right w:w="108" w:type="dxa"/>
          </w:tblCellMar>
        </w:tblPrEx>
        <w:trPr>
          <w:trHeight w:val="382" w:hRule="atLeast"/>
          <w:jc w:val="center"/>
        </w:trPr>
        <w:tc>
          <w:tcPr>
            <w:tcW w:w="3554" w:type="dxa"/>
            <w:gridSpan w:val="2"/>
            <w:tcBorders>
              <w:top w:val="nil"/>
              <w:left w:val="nil"/>
              <w:bottom w:val="nil"/>
              <w:right w:val="nil"/>
            </w:tcBorders>
            <w:shd w:val="clear" w:color="auto" w:fill="auto"/>
            <w:noWrap/>
            <w:vAlign w:val="bottom"/>
          </w:tcPr>
          <w:p>
            <w:pPr>
              <w:widowControl/>
              <w:jc w:val="left"/>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部门：岳阳市教育科学技术研究院</w:t>
            </w:r>
          </w:p>
        </w:tc>
        <w:tc>
          <w:tcPr>
            <w:tcW w:w="1095" w:type="dxa"/>
            <w:tcBorders>
              <w:top w:val="nil"/>
              <w:left w:val="nil"/>
              <w:bottom w:val="nil"/>
              <w:right w:val="nil"/>
            </w:tcBorders>
            <w:shd w:val="clear" w:color="auto" w:fill="auto"/>
            <w:noWrap/>
            <w:vAlign w:val="bottom"/>
          </w:tcPr>
          <w:p>
            <w:pPr>
              <w:widowControl/>
              <w:jc w:val="left"/>
              <w:rPr>
                <w:rFonts w:hint="eastAsia" w:ascii="宋体" w:hAnsi="宋体" w:eastAsia="宋体" w:cs="Arial"/>
                <w:color w:val="000000"/>
                <w:kern w:val="0"/>
                <w:sz w:val="20"/>
                <w:szCs w:val="20"/>
              </w:rPr>
            </w:pPr>
          </w:p>
        </w:tc>
        <w:tc>
          <w:tcPr>
            <w:tcW w:w="1093"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2205"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95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95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269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428" w:type="dxa"/>
            <w:tcBorders>
              <w:top w:val="nil"/>
              <w:left w:val="nil"/>
              <w:bottom w:val="nil"/>
              <w:right w:val="nil"/>
            </w:tcBorders>
            <w:shd w:val="clear" w:color="auto" w:fill="auto"/>
            <w:noWrap/>
            <w:vAlign w:val="bottom"/>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金额单位：万元</w:t>
            </w:r>
          </w:p>
        </w:tc>
      </w:tr>
      <w:tr>
        <w:tblPrEx>
          <w:tblLayout w:type="fixed"/>
          <w:tblCellMar>
            <w:top w:w="0" w:type="dxa"/>
            <w:left w:w="108" w:type="dxa"/>
            <w:bottom w:w="0" w:type="dxa"/>
            <w:right w:w="108" w:type="dxa"/>
          </w:tblCellMar>
        </w:tblPrEx>
        <w:trPr>
          <w:trHeight w:val="462" w:hRule="atLeast"/>
          <w:jc w:val="center"/>
        </w:trPr>
        <w:tc>
          <w:tcPr>
            <w:tcW w:w="464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人员经费</w:t>
            </w:r>
          </w:p>
        </w:tc>
        <w:tc>
          <w:tcPr>
            <w:tcW w:w="9334" w:type="dxa"/>
            <w:gridSpan w:val="6"/>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公用经费</w:t>
            </w:r>
          </w:p>
        </w:tc>
      </w:tr>
      <w:tr>
        <w:tblPrEx>
          <w:tblLayout w:type="fixed"/>
          <w:tblCellMar>
            <w:top w:w="0" w:type="dxa"/>
            <w:left w:w="108" w:type="dxa"/>
            <w:bottom w:w="0" w:type="dxa"/>
            <w:right w:w="108" w:type="dxa"/>
          </w:tblCellMar>
        </w:tblPrEx>
        <w:trPr>
          <w:trHeight w:val="468" w:hRule="atLeast"/>
          <w:jc w:val="center"/>
        </w:trPr>
        <w:tc>
          <w:tcPr>
            <w:tcW w:w="9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科目编码</w:t>
            </w:r>
          </w:p>
        </w:tc>
        <w:tc>
          <w:tcPr>
            <w:tcW w:w="2563"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科目名称</w:t>
            </w:r>
          </w:p>
        </w:tc>
        <w:tc>
          <w:tcPr>
            <w:tcW w:w="109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决算数</w:t>
            </w:r>
          </w:p>
        </w:tc>
        <w:tc>
          <w:tcPr>
            <w:tcW w:w="1093"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科目编码</w:t>
            </w:r>
          </w:p>
        </w:tc>
        <w:tc>
          <w:tcPr>
            <w:tcW w:w="220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科目名称</w:t>
            </w:r>
          </w:p>
        </w:tc>
        <w:tc>
          <w:tcPr>
            <w:tcW w:w="95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决算数</w:t>
            </w:r>
          </w:p>
        </w:tc>
        <w:tc>
          <w:tcPr>
            <w:tcW w:w="95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科目编码</w:t>
            </w:r>
          </w:p>
        </w:tc>
        <w:tc>
          <w:tcPr>
            <w:tcW w:w="269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科目名称</w:t>
            </w:r>
          </w:p>
        </w:tc>
        <w:tc>
          <w:tcPr>
            <w:tcW w:w="142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决算数</w:t>
            </w:r>
          </w:p>
        </w:tc>
      </w:tr>
      <w:tr>
        <w:tblPrEx>
          <w:tblLayout w:type="fixed"/>
          <w:tblCellMar>
            <w:top w:w="0" w:type="dxa"/>
            <w:left w:w="108" w:type="dxa"/>
            <w:bottom w:w="0" w:type="dxa"/>
            <w:right w:w="108" w:type="dxa"/>
          </w:tblCellMar>
        </w:tblPrEx>
        <w:trPr>
          <w:trHeight w:val="468" w:hRule="atLeast"/>
          <w:jc w:val="center"/>
        </w:trPr>
        <w:tc>
          <w:tcPr>
            <w:tcW w:w="9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2563"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109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1093"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220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95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95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269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1428"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r>
      <w:tr>
        <w:tblPrEx>
          <w:tblLayout w:type="fixed"/>
          <w:tblCellMar>
            <w:top w:w="0" w:type="dxa"/>
            <w:left w:w="108" w:type="dxa"/>
            <w:bottom w:w="0" w:type="dxa"/>
            <w:right w:w="108" w:type="dxa"/>
          </w:tblCellMar>
        </w:tblPrEx>
        <w:trPr>
          <w:trHeight w:val="462" w:hRule="atLeast"/>
          <w:jc w:val="center"/>
        </w:trPr>
        <w:tc>
          <w:tcPr>
            <w:tcW w:w="9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301</w:t>
            </w:r>
          </w:p>
        </w:tc>
        <w:tc>
          <w:tcPr>
            <w:tcW w:w="256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工资福利支出</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628.90</w:t>
            </w:r>
          </w:p>
        </w:tc>
        <w:tc>
          <w:tcPr>
            <w:tcW w:w="109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302</w:t>
            </w:r>
          </w:p>
        </w:tc>
        <w:tc>
          <w:tcPr>
            <w:tcW w:w="2205"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商品和服务支出</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158.43</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307</w:t>
            </w:r>
          </w:p>
        </w:tc>
        <w:tc>
          <w:tcPr>
            <w:tcW w:w="269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债务利息及费用支出</w:t>
            </w:r>
          </w:p>
        </w:tc>
        <w:tc>
          <w:tcPr>
            <w:tcW w:w="1428"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462" w:hRule="atLeast"/>
          <w:jc w:val="center"/>
        </w:trPr>
        <w:tc>
          <w:tcPr>
            <w:tcW w:w="9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30101</w:t>
            </w:r>
          </w:p>
        </w:tc>
        <w:tc>
          <w:tcPr>
            <w:tcW w:w="256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基本工资</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236.77</w:t>
            </w:r>
          </w:p>
        </w:tc>
        <w:tc>
          <w:tcPr>
            <w:tcW w:w="109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30201</w:t>
            </w:r>
          </w:p>
        </w:tc>
        <w:tc>
          <w:tcPr>
            <w:tcW w:w="2205"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办公费</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0.57</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30701</w:t>
            </w:r>
          </w:p>
        </w:tc>
        <w:tc>
          <w:tcPr>
            <w:tcW w:w="269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国内债务付息</w:t>
            </w:r>
          </w:p>
        </w:tc>
        <w:tc>
          <w:tcPr>
            <w:tcW w:w="1428"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462" w:hRule="atLeast"/>
          <w:jc w:val="center"/>
        </w:trPr>
        <w:tc>
          <w:tcPr>
            <w:tcW w:w="9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30102</w:t>
            </w:r>
          </w:p>
        </w:tc>
        <w:tc>
          <w:tcPr>
            <w:tcW w:w="256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津贴补贴</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09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30202</w:t>
            </w:r>
          </w:p>
        </w:tc>
        <w:tc>
          <w:tcPr>
            <w:tcW w:w="2205"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印刷费</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5.72</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30702</w:t>
            </w:r>
          </w:p>
        </w:tc>
        <w:tc>
          <w:tcPr>
            <w:tcW w:w="269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国外债务付息</w:t>
            </w:r>
          </w:p>
        </w:tc>
        <w:tc>
          <w:tcPr>
            <w:tcW w:w="1428"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462" w:hRule="atLeast"/>
          <w:jc w:val="center"/>
        </w:trPr>
        <w:tc>
          <w:tcPr>
            <w:tcW w:w="9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30103</w:t>
            </w:r>
          </w:p>
        </w:tc>
        <w:tc>
          <w:tcPr>
            <w:tcW w:w="256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奖金</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09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30203</w:t>
            </w:r>
          </w:p>
        </w:tc>
        <w:tc>
          <w:tcPr>
            <w:tcW w:w="2205"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咨询费</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310</w:t>
            </w:r>
          </w:p>
        </w:tc>
        <w:tc>
          <w:tcPr>
            <w:tcW w:w="269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资本性支出</w:t>
            </w:r>
          </w:p>
        </w:tc>
        <w:tc>
          <w:tcPr>
            <w:tcW w:w="1428"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462" w:hRule="atLeast"/>
          <w:jc w:val="center"/>
        </w:trPr>
        <w:tc>
          <w:tcPr>
            <w:tcW w:w="9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30106</w:t>
            </w:r>
          </w:p>
        </w:tc>
        <w:tc>
          <w:tcPr>
            <w:tcW w:w="256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伙食补助费</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13.20</w:t>
            </w:r>
          </w:p>
        </w:tc>
        <w:tc>
          <w:tcPr>
            <w:tcW w:w="109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30204</w:t>
            </w:r>
          </w:p>
        </w:tc>
        <w:tc>
          <w:tcPr>
            <w:tcW w:w="2205"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手续费</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4.30</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31001</w:t>
            </w:r>
          </w:p>
        </w:tc>
        <w:tc>
          <w:tcPr>
            <w:tcW w:w="269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房屋建筑物购建</w:t>
            </w:r>
          </w:p>
        </w:tc>
        <w:tc>
          <w:tcPr>
            <w:tcW w:w="1428"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462" w:hRule="atLeast"/>
          <w:jc w:val="center"/>
        </w:trPr>
        <w:tc>
          <w:tcPr>
            <w:tcW w:w="9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30107</w:t>
            </w:r>
          </w:p>
        </w:tc>
        <w:tc>
          <w:tcPr>
            <w:tcW w:w="256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绩效工资</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159.54</w:t>
            </w:r>
          </w:p>
        </w:tc>
        <w:tc>
          <w:tcPr>
            <w:tcW w:w="109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30205</w:t>
            </w:r>
          </w:p>
        </w:tc>
        <w:tc>
          <w:tcPr>
            <w:tcW w:w="2205"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水费</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31002</w:t>
            </w:r>
          </w:p>
        </w:tc>
        <w:tc>
          <w:tcPr>
            <w:tcW w:w="269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办公设备购置</w:t>
            </w:r>
          </w:p>
        </w:tc>
        <w:tc>
          <w:tcPr>
            <w:tcW w:w="1428"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462" w:hRule="atLeast"/>
          <w:jc w:val="center"/>
        </w:trPr>
        <w:tc>
          <w:tcPr>
            <w:tcW w:w="9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30108</w:t>
            </w:r>
          </w:p>
        </w:tc>
        <w:tc>
          <w:tcPr>
            <w:tcW w:w="256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机关事业单位基本养老保险缴费</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58.37</w:t>
            </w:r>
          </w:p>
        </w:tc>
        <w:tc>
          <w:tcPr>
            <w:tcW w:w="109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30206</w:t>
            </w:r>
          </w:p>
        </w:tc>
        <w:tc>
          <w:tcPr>
            <w:tcW w:w="2205"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电费</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31003</w:t>
            </w:r>
          </w:p>
        </w:tc>
        <w:tc>
          <w:tcPr>
            <w:tcW w:w="269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专用设备购置</w:t>
            </w:r>
            <w:r>
              <w:rPr>
                <w:rFonts w:ascii="宋体" w:hAnsi="宋体" w:eastAsia="宋体" w:cs="Arial"/>
                <w:color w:val="000000"/>
                <w:kern w:val="0"/>
                <w:sz w:val="30"/>
                <w:szCs w:val="30"/>
              </w:rPr>
              <w:t xml:space="preserve"> </w:t>
            </w:r>
          </w:p>
        </w:tc>
        <w:tc>
          <w:tcPr>
            <w:tcW w:w="1428"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462" w:hRule="atLeast"/>
          <w:jc w:val="center"/>
        </w:trPr>
        <w:tc>
          <w:tcPr>
            <w:tcW w:w="9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30109</w:t>
            </w:r>
          </w:p>
        </w:tc>
        <w:tc>
          <w:tcPr>
            <w:tcW w:w="256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职业年金缴费</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3.40</w:t>
            </w:r>
          </w:p>
        </w:tc>
        <w:tc>
          <w:tcPr>
            <w:tcW w:w="109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30207</w:t>
            </w:r>
          </w:p>
        </w:tc>
        <w:tc>
          <w:tcPr>
            <w:tcW w:w="2205"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邮电费</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0.18</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31005</w:t>
            </w:r>
          </w:p>
        </w:tc>
        <w:tc>
          <w:tcPr>
            <w:tcW w:w="269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基础设施建设</w:t>
            </w:r>
          </w:p>
        </w:tc>
        <w:tc>
          <w:tcPr>
            <w:tcW w:w="1428"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462" w:hRule="atLeast"/>
          <w:jc w:val="center"/>
        </w:trPr>
        <w:tc>
          <w:tcPr>
            <w:tcW w:w="9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30110</w:t>
            </w:r>
          </w:p>
        </w:tc>
        <w:tc>
          <w:tcPr>
            <w:tcW w:w="256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职工基本医疗保险缴费</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39.44</w:t>
            </w:r>
          </w:p>
        </w:tc>
        <w:tc>
          <w:tcPr>
            <w:tcW w:w="109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30208</w:t>
            </w:r>
          </w:p>
        </w:tc>
        <w:tc>
          <w:tcPr>
            <w:tcW w:w="2205"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取暖费</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31006</w:t>
            </w:r>
          </w:p>
        </w:tc>
        <w:tc>
          <w:tcPr>
            <w:tcW w:w="269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大型修缮</w:t>
            </w:r>
          </w:p>
        </w:tc>
        <w:tc>
          <w:tcPr>
            <w:tcW w:w="1428"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462" w:hRule="atLeast"/>
          <w:jc w:val="center"/>
        </w:trPr>
        <w:tc>
          <w:tcPr>
            <w:tcW w:w="9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30111</w:t>
            </w:r>
          </w:p>
        </w:tc>
        <w:tc>
          <w:tcPr>
            <w:tcW w:w="256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公务员医疗补助缴费</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31.13</w:t>
            </w:r>
          </w:p>
        </w:tc>
        <w:tc>
          <w:tcPr>
            <w:tcW w:w="109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30209</w:t>
            </w:r>
          </w:p>
        </w:tc>
        <w:tc>
          <w:tcPr>
            <w:tcW w:w="2205"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物业管理费</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23.00</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31007</w:t>
            </w:r>
          </w:p>
        </w:tc>
        <w:tc>
          <w:tcPr>
            <w:tcW w:w="269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信息网络及软件购置更新</w:t>
            </w:r>
          </w:p>
        </w:tc>
        <w:tc>
          <w:tcPr>
            <w:tcW w:w="1428"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462" w:hRule="atLeast"/>
          <w:jc w:val="center"/>
        </w:trPr>
        <w:tc>
          <w:tcPr>
            <w:tcW w:w="9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30112</w:t>
            </w:r>
          </w:p>
        </w:tc>
        <w:tc>
          <w:tcPr>
            <w:tcW w:w="256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其他社会保障缴费</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33.39</w:t>
            </w:r>
          </w:p>
        </w:tc>
        <w:tc>
          <w:tcPr>
            <w:tcW w:w="109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30211</w:t>
            </w:r>
          </w:p>
        </w:tc>
        <w:tc>
          <w:tcPr>
            <w:tcW w:w="2205"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差旅费</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3.14</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31008</w:t>
            </w:r>
          </w:p>
        </w:tc>
        <w:tc>
          <w:tcPr>
            <w:tcW w:w="269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物资储备</w:t>
            </w:r>
          </w:p>
        </w:tc>
        <w:tc>
          <w:tcPr>
            <w:tcW w:w="1428"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462" w:hRule="atLeast"/>
          <w:jc w:val="center"/>
        </w:trPr>
        <w:tc>
          <w:tcPr>
            <w:tcW w:w="9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30113</w:t>
            </w:r>
          </w:p>
        </w:tc>
        <w:tc>
          <w:tcPr>
            <w:tcW w:w="256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住房公积金</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43.78</w:t>
            </w:r>
          </w:p>
        </w:tc>
        <w:tc>
          <w:tcPr>
            <w:tcW w:w="109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30212</w:t>
            </w:r>
          </w:p>
        </w:tc>
        <w:tc>
          <w:tcPr>
            <w:tcW w:w="2205"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因公出国（境）费用</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31009</w:t>
            </w:r>
          </w:p>
        </w:tc>
        <w:tc>
          <w:tcPr>
            <w:tcW w:w="269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土地补偿</w:t>
            </w:r>
          </w:p>
        </w:tc>
        <w:tc>
          <w:tcPr>
            <w:tcW w:w="1428"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462" w:hRule="atLeast"/>
          <w:jc w:val="center"/>
        </w:trPr>
        <w:tc>
          <w:tcPr>
            <w:tcW w:w="9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30114</w:t>
            </w:r>
          </w:p>
        </w:tc>
        <w:tc>
          <w:tcPr>
            <w:tcW w:w="256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医疗费</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09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30213</w:t>
            </w:r>
          </w:p>
        </w:tc>
        <w:tc>
          <w:tcPr>
            <w:tcW w:w="2205"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维修（护）费</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4.57</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31010</w:t>
            </w:r>
          </w:p>
        </w:tc>
        <w:tc>
          <w:tcPr>
            <w:tcW w:w="269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安置补助</w:t>
            </w:r>
          </w:p>
        </w:tc>
        <w:tc>
          <w:tcPr>
            <w:tcW w:w="1428"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462" w:hRule="atLeast"/>
          <w:jc w:val="center"/>
        </w:trPr>
        <w:tc>
          <w:tcPr>
            <w:tcW w:w="9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30199</w:t>
            </w:r>
          </w:p>
        </w:tc>
        <w:tc>
          <w:tcPr>
            <w:tcW w:w="256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其他工资福利支出</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9.89</w:t>
            </w:r>
          </w:p>
        </w:tc>
        <w:tc>
          <w:tcPr>
            <w:tcW w:w="109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30214</w:t>
            </w:r>
          </w:p>
        </w:tc>
        <w:tc>
          <w:tcPr>
            <w:tcW w:w="2205"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租赁费</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31011</w:t>
            </w:r>
          </w:p>
        </w:tc>
        <w:tc>
          <w:tcPr>
            <w:tcW w:w="269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地上附着物和青苗补偿</w:t>
            </w:r>
          </w:p>
        </w:tc>
        <w:tc>
          <w:tcPr>
            <w:tcW w:w="1428"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462" w:hRule="atLeast"/>
          <w:jc w:val="center"/>
        </w:trPr>
        <w:tc>
          <w:tcPr>
            <w:tcW w:w="9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303</w:t>
            </w:r>
          </w:p>
        </w:tc>
        <w:tc>
          <w:tcPr>
            <w:tcW w:w="256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对个人和家庭的补助</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139.63</w:t>
            </w:r>
          </w:p>
        </w:tc>
        <w:tc>
          <w:tcPr>
            <w:tcW w:w="109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30215</w:t>
            </w:r>
          </w:p>
        </w:tc>
        <w:tc>
          <w:tcPr>
            <w:tcW w:w="2205"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会议费</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31012</w:t>
            </w:r>
          </w:p>
        </w:tc>
        <w:tc>
          <w:tcPr>
            <w:tcW w:w="269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拆迁补偿</w:t>
            </w:r>
          </w:p>
        </w:tc>
        <w:tc>
          <w:tcPr>
            <w:tcW w:w="1428"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462" w:hRule="atLeast"/>
          <w:jc w:val="center"/>
        </w:trPr>
        <w:tc>
          <w:tcPr>
            <w:tcW w:w="9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30301</w:t>
            </w:r>
          </w:p>
        </w:tc>
        <w:tc>
          <w:tcPr>
            <w:tcW w:w="256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离休费</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09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30216</w:t>
            </w:r>
          </w:p>
        </w:tc>
        <w:tc>
          <w:tcPr>
            <w:tcW w:w="2205"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培训费</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0.18</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31013</w:t>
            </w:r>
          </w:p>
        </w:tc>
        <w:tc>
          <w:tcPr>
            <w:tcW w:w="269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公务用车购置</w:t>
            </w:r>
          </w:p>
        </w:tc>
        <w:tc>
          <w:tcPr>
            <w:tcW w:w="1428"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462" w:hRule="atLeast"/>
          <w:jc w:val="center"/>
        </w:trPr>
        <w:tc>
          <w:tcPr>
            <w:tcW w:w="9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30302</w:t>
            </w:r>
          </w:p>
        </w:tc>
        <w:tc>
          <w:tcPr>
            <w:tcW w:w="256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退休费</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09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30217</w:t>
            </w:r>
          </w:p>
        </w:tc>
        <w:tc>
          <w:tcPr>
            <w:tcW w:w="2205"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公务接待费</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0.09</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31019</w:t>
            </w:r>
          </w:p>
        </w:tc>
        <w:tc>
          <w:tcPr>
            <w:tcW w:w="269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其他交通工具购置</w:t>
            </w:r>
          </w:p>
        </w:tc>
        <w:tc>
          <w:tcPr>
            <w:tcW w:w="1428"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462" w:hRule="atLeast"/>
          <w:jc w:val="center"/>
        </w:trPr>
        <w:tc>
          <w:tcPr>
            <w:tcW w:w="9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30303</w:t>
            </w:r>
          </w:p>
        </w:tc>
        <w:tc>
          <w:tcPr>
            <w:tcW w:w="256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退职（役）费</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09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30218</w:t>
            </w:r>
          </w:p>
        </w:tc>
        <w:tc>
          <w:tcPr>
            <w:tcW w:w="2205"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专用材料费</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107.00</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31021</w:t>
            </w:r>
          </w:p>
        </w:tc>
        <w:tc>
          <w:tcPr>
            <w:tcW w:w="269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文物和陈列品购置</w:t>
            </w:r>
          </w:p>
        </w:tc>
        <w:tc>
          <w:tcPr>
            <w:tcW w:w="1428"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462" w:hRule="atLeast"/>
          <w:jc w:val="center"/>
        </w:trPr>
        <w:tc>
          <w:tcPr>
            <w:tcW w:w="9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30304</w:t>
            </w:r>
          </w:p>
        </w:tc>
        <w:tc>
          <w:tcPr>
            <w:tcW w:w="256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抚恤金</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10.79</w:t>
            </w:r>
          </w:p>
        </w:tc>
        <w:tc>
          <w:tcPr>
            <w:tcW w:w="109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30224</w:t>
            </w:r>
          </w:p>
        </w:tc>
        <w:tc>
          <w:tcPr>
            <w:tcW w:w="2205"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被装购置费</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31022</w:t>
            </w:r>
          </w:p>
        </w:tc>
        <w:tc>
          <w:tcPr>
            <w:tcW w:w="269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无形资产购置</w:t>
            </w:r>
          </w:p>
        </w:tc>
        <w:tc>
          <w:tcPr>
            <w:tcW w:w="1428"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462" w:hRule="atLeast"/>
          <w:jc w:val="center"/>
        </w:trPr>
        <w:tc>
          <w:tcPr>
            <w:tcW w:w="9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30305</w:t>
            </w:r>
          </w:p>
        </w:tc>
        <w:tc>
          <w:tcPr>
            <w:tcW w:w="256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生活补助</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128.85</w:t>
            </w:r>
          </w:p>
        </w:tc>
        <w:tc>
          <w:tcPr>
            <w:tcW w:w="109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30225</w:t>
            </w:r>
          </w:p>
        </w:tc>
        <w:tc>
          <w:tcPr>
            <w:tcW w:w="2205"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专用燃料费</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31099</w:t>
            </w:r>
          </w:p>
        </w:tc>
        <w:tc>
          <w:tcPr>
            <w:tcW w:w="269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其他资本性支出</w:t>
            </w:r>
          </w:p>
        </w:tc>
        <w:tc>
          <w:tcPr>
            <w:tcW w:w="1428"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462" w:hRule="atLeast"/>
          <w:jc w:val="center"/>
        </w:trPr>
        <w:tc>
          <w:tcPr>
            <w:tcW w:w="9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30306</w:t>
            </w:r>
          </w:p>
        </w:tc>
        <w:tc>
          <w:tcPr>
            <w:tcW w:w="256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救济费</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09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30226</w:t>
            </w:r>
          </w:p>
        </w:tc>
        <w:tc>
          <w:tcPr>
            <w:tcW w:w="2205"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劳务费</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6.46</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399</w:t>
            </w:r>
          </w:p>
        </w:tc>
        <w:tc>
          <w:tcPr>
            <w:tcW w:w="269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其他支出</w:t>
            </w:r>
          </w:p>
        </w:tc>
        <w:tc>
          <w:tcPr>
            <w:tcW w:w="1428"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462" w:hRule="atLeast"/>
          <w:jc w:val="center"/>
        </w:trPr>
        <w:tc>
          <w:tcPr>
            <w:tcW w:w="9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30307</w:t>
            </w:r>
          </w:p>
        </w:tc>
        <w:tc>
          <w:tcPr>
            <w:tcW w:w="256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医疗费补助</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09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30227</w:t>
            </w:r>
          </w:p>
        </w:tc>
        <w:tc>
          <w:tcPr>
            <w:tcW w:w="2205"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委托业务费</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39906</w:t>
            </w:r>
          </w:p>
        </w:tc>
        <w:tc>
          <w:tcPr>
            <w:tcW w:w="269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赠与</w:t>
            </w:r>
          </w:p>
        </w:tc>
        <w:tc>
          <w:tcPr>
            <w:tcW w:w="1428"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462" w:hRule="atLeast"/>
          <w:jc w:val="center"/>
        </w:trPr>
        <w:tc>
          <w:tcPr>
            <w:tcW w:w="9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30308</w:t>
            </w:r>
          </w:p>
        </w:tc>
        <w:tc>
          <w:tcPr>
            <w:tcW w:w="256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助学金</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09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30228</w:t>
            </w:r>
          </w:p>
        </w:tc>
        <w:tc>
          <w:tcPr>
            <w:tcW w:w="2205"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工会经费</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2.79</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39907</w:t>
            </w:r>
          </w:p>
        </w:tc>
        <w:tc>
          <w:tcPr>
            <w:tcW w:w="269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国家赔偿费用支出</w:t>
            </w:r>
          </w:p>
        </w:tc>
        <w:tc>
          <w:tcPr>
            <w:tcW w:w="1428"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462" w:hRule="atLeast"/>
          <w:jc w:val="center"/>
        </w:trPr>
        <w:tc>
          <w:tcPr>
            <w:tcW w:w="9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30309</w:t>
            </w:r>
          </w:p>
        </w:tc>
        <w:tc>
          <w:tcPr>
            <w:tcW w:w="256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奖励金</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09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30229</w:t>
            </w:r>
          </w:p>
        </w:tc>
        <w:tc>
          <w:tcPr>
            <w:tcW w:w="2205"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福利费</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39908</w:t>
            </w:r>
          </w:p>
        </w:tc>
        <w:tc>
          <w:tcPr>
            <w:tcW w:w="269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对民间非营利组织和群众性自治组织补贴</w:t>
            </w:r>
          </w:p>
        </w:tc>
        <w:tc>
          <w:tcPr>
            <w:tcW w:w="1428"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462" w:hRule="atLeast"/>
          <w:jc w:val="center"/>
        </w:trPr>
        <w:tc>
          <w:tcPr>
            <w:tcW w:w="9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30310</w:t>
            </w:r>
          </w:p>
        </w:tc>
        <w:tc>
          <w:tcPr>
            <w:tcW w:w="256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个人农业生产补贴</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09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30231</w:t>
            </w:r>
          </w:p>
        </w:tc>
        <w:tc>
          <w:tcPr>
            <w:tcW w:w="2205"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公务用车运行维护费</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39999</w:t>
            </w:r>
          </w:p>
        </w:tc>
        <w:tc>
          <w:tcPr>
            <w:tcW w:w="269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其他支出</w:t>
            </w:r>
          </w:p>
        </w:tc>
        <w:tc>
          <w:tcPr>
            <w:tcW w:w="1428"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r>
      <w:tr>
        <w:tblPrEx>
          <w:tblLayout w:type="fixed"/>
          <w:tblCellMar>
            <w:top w:w="0" w:type="dxa"/>
            <w:left w:w="108" w:type="dxa"/>
            <w:bottom w:w="0" w:type="dxa"/>
            <w:right w:w="108" w:type="dxa"/>
          </w:tblCellMar>
        </w:tblPrEx>
        <w:trPr>
          <w:trHeight w:val="462" w:hRule="atLeast"/>
          <w:jc w:val="center"/>
        </w:trPr>
        <w:tc>
          <w:tcPr>
            <w:tcW w:w="9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30311</w:t>
            </w:r>
          </w:p>
        </w:tc>
        <w:tc>
          <w:tcPr>
            <w:tcW w:w="256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代缴社会保险费</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09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30239</w:t>
            </w:r>
          </w:p>
        </w:tc>
        <w:tc>
          <w:tcPr>
            <w:tcW w:w="2205"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其他交通费用</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0.44</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269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1428"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　</w:t>
            </w:r>
          </w:p>
        </w:tc>
      </w:tr>
      <w:tr>
        <w:tblPrEx>
          <w:tblLayout w:type="fixed"/>
          <w:tblCellMar>
            <w:top w:w="0" w:type="dxa"/>
            <w:left w:w="108" w:type="dxa"/>
            <w:bottom w:w="0" w:type="dxa"/>
            <w:right w:w="108" w:type="dxa"/>
          </w:tblCellMar>
        </w:tblPrEx>
        <w:trPr>
          <w:trHeight w:val="462" w:hRule="atLeast"/>
          <w:jc w:val="center"/>
        </w:trPr>
        <w:tc>
          <w:tcPr>
            <w:tcW w:w="9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30399</w:t>
            </w:r>
          </w:p>
        </w:tc>
        <w:tc>
          <w:tcPr>
            <w:tcW w:w="256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其他对个人和家庭的补助</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09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30240</w:t>
            </w:r>
          </w:p>
        </w:tc>
        <w:tc>
          <w:tcPr>
            <w:tcW w:w="2205"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xml:space="preserve">  税金及附加费用</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269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1428"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　</w:t>
            </w:r>
          </w:p>
        </w:tc>
      </w:tr>
      <w:tr>
        <w:tblPrEx>
          <w:tblLayout w:type="fixed"/>
          <w:tblCellMar>
            <w:top w:w="0" w:type="dxa"/>
            <w:left w:w="108" w:type="dxa"/>
            <w:bottom w:w="0" w:type="dxa"/>
            <w:right w:w="108" w:type="dxa"/>
          </w:tblCellMar>
        </w:tblPrEx>
        <w:trPr>
          <w:trHeight w:val="462" w:hRule="atLeast"/>
          <w:jc w:val="center"/>
        </w:trPr>
        <w:tc>
          <w:tcPr>
            <w:tcW w:w="9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256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1093"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30299</w:t>
            </w:r>
          </w:p>
        </w:tc>
        <w:tc>
          <w:tcPr>
            <w:tcW w:w="2205"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其他商品和服务支出</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95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2696" w:type="dxa"/>
            <w:tcBorders>
              <w:top w:val="nil"/>
              <w:left w:val="nil"/>
              <w:bottom w:val="single" w:color="000000" w:sz="4" w:space="0"/>
              <w:right w:val="single" w:color="000000" w:sz="4" w:space="0"/>
            </w:tcBorders>
            <w:shd w:val="clear" w:color="auto" w:fill="auto"/>
            <w:noWrap/>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　</w:t>
            </w:r>
          </w:p>
        </w:tc>
        <w:tc>
          <w:tcPr>
            <w:tcW w:w="1428"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　</w:t>
            </w:r>
          </w:p>
        </w:tc>
      </w:tr>
      <w:tr>
        <w:tblPrEx>
          <w:tblLayout w:type="fixed"/>
          <w:tblCellMar>
            <w:top w:w="0" w:type="dxa"/>
            <w:left w:w="108" w:type="dxa"/>
            <w:bottom w:w="0" w:type="dxa"/>
            <w:right w:w="108" w:type="dxa"/>
          </w:tblCellMar>
        </w:tblPrEx>
        <w:trPr>
          <w:trHeight w:val="462" w:hRule="atLeast"/>
          <w:jc w:val="center"/>
        </w:trPr>
        <w:tc>
          <w:tcPr>
            <w:tcW w:w="3554"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人员经费合计</w:t>
            </w:r>
          </w:p>
        </w:tc>
        <w:tc>
          <w:tcPr>
            <w:tcW w:w="1095"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768.54</w:t>
            </w:r>
          </w:p>
        </w:tc>
        <w:tc>
          <w:tcPr>
            <w:tcW w:w="7906" w:type="dxa"/>
            <w:gridSpan w:val="5"/>
            <w:tcBorders>
              <w:top w:val="nil"/>
              <w:left w:val="nil"/>
              <w:bottom w:val="single" w:color="000000" w:sz="4" w:space="0"/>
              <w:right w:val="single" w:color="000000" w:sz="4" w:space="0"/>
            </w:tcBorders>
            <w:shd w:val="clear" w:color="auto" w:fill="auto"/>
            <w:noWrap/>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公用经费合计</w:t>
            </w:r>
          </w:p>
        </w:tc>
        <w:tc>
          <w:tcPr>
            <w:tcW w:w="1428" w:type="dxa"/>
            <w:tcBorders>
              <w:top w:val="nil"/>
              <w:left w:val="nil"/>
              <w:bottom w:val="single" w:color="000000" w:sz="4" w:space="0"/>
              <w:right w:val="single" w:color="000000"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158.43</w:t>
            </w:r>
          </w:p>
        </w:tc>
      </w:tr>
    </w:tbl>
    <w:p>
      <w:pPr>
        <w:widowControl/>
        <w:jc w:val="left"/>
        <w:rPr>
          <w:rFonts w:ascii="Times New Roman" w:hAnsi="Times New Roman" w:eastAsia="方正小标宋_GBK" w:cs="Times New Roman"/>
          <w:color w:val="000000"/>
          <w:kern w:val="0"/>
          <w:sz w:val="36"/>
          <w:szCs w:val="36"/>
        </w:rPr>
      </w:pPr>
    </w:p>
    <w:p>
      <w:pPr>
        <w:widowControl/>
        <w:jc w:val="left"/>
        <w:rPr>
          <w:rFonts w:ascii="Times New Roman" w:hAnsi="Times New Roman" w:eastAsia="方正小标宋_GBK" w:cs="Times New Roman"/>
          <w:color w:val="000000"/>
          <w:kern w:val="0"/>
          <w:sz w:val="36"/>
          <w:szCs w:val="36"/>
        </w:rPr>
      </w:pPr>
    </w:p>
    <w:p>
      <w:pPr>
        <w:widowControl/>
        <w:jc w:val="left"/>
        <w:rPr>
          <w:rFonts w:ascii="Times New Roman" w:hAnsi="Times New Roman" w:eastAsia="方正小标宋_GBK" w:cs="Times New Roman"/>
          <w:color w:val="000000"/>
          <w:kern w:val="0"/>
          <w:sz w:val="36"/>
          <w:szCs w:val="36"/>
        </w:rPr>
      </w:pPr>
    </w:p>
    <w:p>
      <w:pPr>
        <w:widowControl/>
        <w:jc w:val="left"/>
        <w:rPr>
          <w:rFonts w:ascii="Times New Roman" w:hAnsi="Times New Roman" w:eastAsia="方正小标宋_GBK" w:cs="Times New Roman"/>
          <w:color w:val="000000"/>
          <w:kern w:val="0"/>
          <w:sz w:val="36"/>
          <w:szCs w:val="36"/>
        </w:rPr>
      </w:pPr>
    </w:p>
    <w:p>
      <w:pPr>
        <w:widowControl/>
        <w:jc w:val="left"/>
        <w:rPr>
          <w:rFonts w:ascii="Times New Roman" w:hAnsi="Times New Roman" w:eastAsia="方正小标宋_GBK" w:cs="Times New Roman"/>
          <w:color w:val="000000"/>
          <w:kern w:val="0"/>
          <w:sz w:val="36"/>
          <w:szCs w:val="36"/>
        </w:rPr>
      </w:pPr>
    </w:p>
    <w:p>
      <w:pPr>
        <w:widowControl/>
        <w:jc w:val="left"/>
        <w:rPr>
          <w:rFonts w:ascii="Times New Roman" w:hAnsi="Times New Roman" w:eastAsia="方正小标宋_GBK" w:cs="Times New Roman"/>
          <w:color w:val="000000"/>
          <w:kern w:val="0"/>
          <w:sz w:val="36"/>
          <w:szCs w:val="36"/>
        </w:rPr>
      </w:pPr>
    </w:p>
    <w:p>
      <w:pPr>
        <w:widowControl/>
        <w:jc w:val="left"/>
        <w:rPr>
          <w:rFonts w:hint="eastAsia" w:ascii="Times New Roman" w:hAnsi="Times New Roman" w:eastAsia="方正小标宋_GBK" w:cs="Times New Roman"/>
          <w:color w:val="000000"/>
          <w:kern w:val="0"/>
          <w:sz w:val="36"/>
          <w:szCs w:val="36"/>
        </w:rPr>
      </w:pPr>
    </w:p>
    <w:tbl>
      <w:tblPr>
        <w:tblStyle w:val="6"/>
        <w:tblW w:w="138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1111"/>
        <w:gridCol w:w="1112"/>
        <w:gridCol w:w="1100"/>
        <w:gridCol w:w="1100"/>
        <w:gridCol w:w="1206"/>
        <w:gridCol w:w="1100"/>
        <w:gridCol w:w="1100"/>
        <w:gridCol w:w="1100"/>
        <w:gridCol w:w="1100"/>
        <w:gridCol w:w="1101"/>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13816" w:type="dxa"/>
            <w:gridSpan w:val="12"/>
            <w:tcBorders>
              <w:top w:val="nil"/>
              <w:left w:val="nil"/>
              <w:bottom w:val="nil"/>
              <w:right w:val="nil"/>
            </w:tcBorders>
            <w:shd w:val="clear" w:color="auto" w:fill="auto"/>
            <w:noWrap/>
            <w:vAlign w:val="bottom"/>
          </w:tcPr>
          <w:p>
            <w:pPr>
              <w:widowControl/>
              <w:jc w:val="center"/>
              <w:rPr>
                <w:rFonts w:ascii="Times New Roman" w:hAnsi="Times New Roman" w:eastAsia="Times New Roman" w:cs="Times New Roman"/>
                <w:kern w:val="0"/>
                <w:sz w:val="20"/>
                <w:szCs w:val="20"/>
              </w:rPr>
            </w:pPr>
            <w:r>
              <w:rPr>
                <w:rFonts w:hint="eastAsia" w:ascii="方正小标宋简体" w:hAnsi="宋体" w:eastAsia="方正小标宋简体" w:cs="Arial"/>
                <w:color w:val="000000"/>
                <w:kern w:val="0"/>
                <w:sz w:val="40"/>
                <w:szCs w:val="44"/>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1111"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111"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112"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100"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b/>
                <w:kern w:val="0"/>
                <w:sz w:val="20"/>
                <w:szCs w:val="20"/>
              </w:rPr>
            </w:pPr>
          </w:p>
        </w:tc>
        <w:tc>
          <w:tcPr>
            <w:tcW w:w="1100"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b/>
                <w:kern w:val="0"/>
                <w:sz w:val="20"/>
                <w:szCs w:val="20"/>
              </w:rPr>
            </w:pPr>
          </w:p>
        </w:tc>
        <w:tc>
          <w:tcPr>
            <w:tcW w:w="120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100"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100"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100"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100"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101"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575" w:type="dxa"/>
            <w:tcBorders>
              <w:top w:val="nil"/>
              <w:left w:val="nil"/>
              <w:bottom w:val="nil"/>
              <w:right w:val="nil"/>
            </w:tcBorders>
            <w:shd w:val="clear" w:color="auto" w:fill="auto"/>
            <w:noWrap/>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公开07表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3334" w:type="dxa"/>
            <w:gridSpan w:val="3"/>
            <w:tcBorders>
              <w:top w:val="nil"/>
              <w:left w:val="nil"/>
              <w:bottom w:val="single" w:color="auto" w:sz="4" w:space="0"/>
              <w:right w:val="nil"/>
            </w:tcBorders>
            <w:shd w:val="clear" w:color="auto" w:fill="auto"/>
            <w:noWrap/>
            <w:vAlign w:val="bottom"/>
          </w:tcPr>
          <w:p>
            <w:pPr>
              <w:widowControl/>
              <w:jc w:val="left"/>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部门：岳阳市教育科学技术研究院</w:t>
            </w:r>
          </w:p>
        </w:tc>
        <w:tc>
          <w:tcPr>
            <w:tcW w:w="1100" w:type="dxa"/>
            <w:tcBorders>
              <w:top w:val="nil"/>
              <w:left w:val="nil"/>
              <w:bottom w:val="single" w:color="auto" w:sz="4" w:space="0"/>
              <w:right w:val="nil"/>
            </w:tcBorders>
            <w:shd w:val="clear" w:color="auto" w:fill="auto"/>
            <w:noWrap/>
            <w:vAlign w:val="bottom"/>
          </w:tcPr>
          <w:p>
            <w:pPr>
              <w:widowControl/>
              <w:jc w:val="left"/>
              <w:rPr>
                <w:rFonts w:hint="eastAsia" w:ascii="宋体" w:hAnsi="宋体" w:eastAsia="宋体" w:cs="Arial"/>
                <w:b/>
                <w:color w:val="000000"/>
                <w:kern w:val="0"/>
                <w:sz w:val="20"/>
                <w:szCs w:val="20"/>
              </w:rPr>
            </w:pPr>
          </w:p>
        </w:tc>
        <w:tc>
          <w:tcPr>
            <w:tcW w:w="1100"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b/>
                <w:kern w:val="0"/>
                <w:sz w:val="20"/>
                <w:szCs w:val="20"/>
              </w:rPr>
            </w:pPr>
          </w:p>
        </w:tc>
        <w:tc>
          <w:tcPr>
            <w:tcW w:w="1206"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100"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100"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100"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100"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101"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575" w:type="dxa"/>
            <w:tcBorders>
              <w:top w:val="nil"/>
              <w:left w:val="nil"/>
              <w:bottom w:val="single" w:color="auto" w:sz="4" w:space="0"/>
              <w:right w:val="nil"/>
            </w:tcBorders>
            <w:shd w:val="clear" w:color="auto" w:fill="auto"/>
            <w:noWrap/>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jc w:val="center"/>
        </w:trPr>
        <w:tc>
          <w:tcPr>
            <w:tcW w:w="6740" w:type="dxa"/>
            <w:gridSpan w:val="6"/>
            <w:tcBorders>
              <w:top w:val="single" w:color="auto" w:sz="4" w:space="0"/>
            </w:tcBorders>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预算数</w:t>
            </w:r>
          </w:p>
        </w:tc>
        <w:tc>
          <w:tcPr>
            <w:tcW w:w="7076" w:type="dxa"/>
            <w:gridSpan w:val="6"/>
            <w:tcBorders>
              <w:top w:val="single" w:color="auto" w:sz="4" w:space="0"/>
            </w:tcBorders>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jc w:val="center"/>
        </w:trPr>
        <w:tc>
          <w:tcPr>
            <w:tcW w:w="1111" w:type="dxa"/>
            <w:vMerge w:val="restart"/>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合计</w:t>
            </w:r>
          </w:p>
        </w:tc>
        <w:tc>
          <w:tcPr>
            <w:tcW w:w="1111" w:type="dxa"/>
            <w:vMerge w:val="restart"/>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因公出国（境）费</w:t>
            </w:r>
          </w:p>
        </w:tc>
        <w:tc>
          <w:tcPr>
            <w:tcW w:w="3312" w:type="dxa"/>
            <w:gridSpan w:val="3"/>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公务用车购置及运行费</w:t>
            </w:r>
          </w:p>
        </w:tc>
        <w:tc>
          <w:tcPr>
            <w:tcW w:w="1206" w:type="dxa"/>
            <w:vMerge w:val="restart"/>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公务接待费</w:t>
            </w:r>
          </w:p>
        </w:tc>
        <w:tc>
          <w:tcPr>
            <w:tcW w:w="1100" w:type="dxa"/>
            <w:vMerge w:val="restart"/>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合计</w:t>
            </w:r>
          </w:p>
        </w:tc>
        <w:tc>
          <w:tcPr>
            <w:tcW w:w="1100" w:type="dxa"/>
            <w:vMerge w:val="restart"/>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因公出国（境）费</w:t>
            </w:r>
          </w:p>
        </w:tc>
        <w:tc>
          <w:tcPr>
            <w:tcW w:w="3301" w:type="dxa"/>
            <w:gridSpan w:val="3"/>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公务用车购置及运行费</w:t>
            </w:r>
          </w:p>
        </w:tc>
        <w:tc>
          <w:tcPr>
            <w:tcW w:w="1575" w:type="dxa"/>
            <w:vMerge w:val="restart"/>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1" w:hRule="atLeast"/>
          <w:jc w:val="center"/>
        </w:trPr>
        <w:tc>
          <w:tcPr>
            <w:tcW w:w="1111" w:type="dxa"/>
            <w:vMerge w:val="continue"/>
            <w:tcBorders>
              <w:bottom w:val="single" w:color="auto" w:sz="4" w:space="0"/>
            </w:tcBorders>
            <w:shd w:val="clear" w:color="auto" w:fill="auto"/>
            <w:vAlign w:val="center"/>
          </w:tcPr>
          <w:p>
            <w:pPr>
              <w:widowControl/>
              <w:jc w:val="left"/>
              <w:rPr>
                <w:rFonts w:ascii="宋体" w:hAnsi="宋体" w:eastAsia="宋体" w:cs="Arial"/>
                <w:color w:val="000000"/>
                <w:kern w:val="0"/>
                <w:sz w:val="22"/>
              </w:rPr>
            </w:pPr>
          </w:p>
        </w:tc>
        <w:tc>
          <w:tcPr>
            <w:tcW w:w="1111" w:type="dxa"/>
            <w:vMerge w:val="continue"/>
            <w:tcBorders>
              <w:bottom w:val="single" w:color="auto" w:sz="4" w:space="0"/>
            </w:tcBorders>
            <w:shd w:val="clear" w:color="auto" w:fill="auto"/>
            <w:vAlign w:val="center"/>
          </w:tcPr>
          <w:p>
            <w:pPr>
              <w:widowControl/>
              <w:jc w:val="left"/>
              <w:rPr>
                <w:rFonts w:ascii="宋体" w:hAnsi="宋体" w:eastAsia="宋体" w:cs="Arial"/>
                <w:color w:val="000000"/>
                <w:kern w:val="0"/>
                <w:sz w:val="22"/>
              </w:rPr>
            </w:pPr>
          </w:p>
        </w:tc>
        <w:tc>
          <w:tcPr>
            <w:tcW w:w="1112" w:type="dxa"/>
            <w:tcBorders>
              <w:bottom w:val="single" w:color="auto" w:sz="4" w:space="0"/>
            </w:tcBorders>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小计</w:t>
            </w:r>
          </w:p>
        </w:tc>
        <w:tc>
          <w:tcPr>
            <w:tcW w:w="1100" w:type="dxa"/>
            <w:tcBorders>
              <w:bottom w:val="single" w:color="auto" w:sz="4" w:space="0"/>
            </w:tcBorders>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公务用车购置费</w:t>
            </w:r>
          </w:p>
        </w:tc>
        <w:tc>
          <w:tcPr>
            <w:tcW w:w="1100" w:type="dxa"/>
            <w:tcBorders>
              <w:bottom w:val="single" w:color="auto" w:sz="4" w:space="0"/>
            </w:tcBorders>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公务用车运行费</w:t>
            </w:r>
          </w:p>
        </w:tc>
        <w:tc>
          <w:tcPr>
            <w:tcW w:w="1206" w:type="dxa"/>
            <w:vMerge w:val="continue"/>
            <w:tcBorders>
              <w:bottom w:val="single" w:color="auto" w:sz="4" w:space="0"/>
            </w:tcBorders>
            <w:shd w:val="clear" w:color="auto" w:fill="auto"/>
            <w:vAlign w:val="center"/>
          </w:tcPr>
          <w:p>
            <w:pPr>
              <w:widowControl/>
              <w:jc w:val="left"/>
              <w:rPr>
                <w:rFonts w:ascii="宋体" w:hAnsi="宋体" w:eastAsia="宋体" w:cs="Arial"/>
                <w:color w:val="000000"/>
                <w:kern w:val="0"/>
                <w:sz w:val="22"/>
              </w:rPr>
            </w:pPr>
          </w:p>
        </w:tc>
        <w:tc>
          <w:tcPr>
            <w:tcW w:w="1100" w:type="dxa"/>
            <w:vMerge w:val="continue"/>
            <w:tcBorders>
              <w:bottom w:val="single" w:color="auto" w:sz="4" w:space="0"/>
            </w:tcBorders>
            <w:shd w:val="clear" w:color="auto" w:fill="auto"/>
            <w:vAlign w:val="center"/>
          </w:tcPr>
          <w:p>
            <w:pPr>
              <w:widowControl/>
              <w:jc w:val="left"/>
              <w:rPr>
                <w:rFonts w:ascii="宋体" w:hAnsi="宋体" w:eastAsia="宋体" w:cs="Arial"/>
                <w:color w:val="000000"/>
                <w:kern w:val="0"/>
                <w:sz w:val="22"/>
              </w:rPr>
            </w:pPr>
          </w:p>
        </w:tc>
        <w:tc>
          <w:tcPr>
            <w:tcW w:w="1100" w:type="dxa"/>
            <w:vMerge w:val="continue"/>
            <w:tcBorders>
              <w:bottom w:val="single" w:color="auto" w:sz="4" w:space="0"/>
            </w:tcBorders>
            <w:shd w:val="clear" w:color="auto" w:fill="auto"/>
            <w:vAlign w:val="center"/>
          </w:tcPr>
          <w:p>
            <w:pPr>
              <w:widowControl/>
              <w:jc w:val="left"/>
              <w:rPr>
                <w:rFonts w:ascii="宋体" w:hAnsi="宋体" w:eastAsia="宋体" w:cs="Arial"/>
                <w:color w:val="000000"/>
                <w:kern w:val="0"/>
                <w:sz w:val="22"/>
              </w:rPr>
            </w:pPr>
          </w:p>
        </w:tc>
        <w:tc>
          <w:tcPr>
            <w:tcW w:w="1100" w:type="dxa"/>
            <w:tcBorders>
              <w:bottom w:val="single" w:color="auto" w:sz="4" w:space="0"/>
            </w:tcBorders>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小计</w:t>
            </w:r>
          </w:p>
        </w:tc>
        <w:tc>
          <w:tcPr>
            <w:tcW w:w="1100" w:type="dxa"/>
            <w:tcBorders>
              <w:bottom w:val="single" w:color="auto" w:sz="4" w:space="0"/>
            </w:tcBorders>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公务用车购置费</w:t>
            </w:r>
          </w:p>
        </w:tc>
        <w:tc>
          <w:tcPr>
            <w:tcW w:w="1101" w:type="dxa"/>
            <w:tcBorders>
              <w:bottom w:val="single" w:color="auto" w:sz="4" w:space="0"/>
            </w:tcBorders>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公务用车运行费</w:t>
            </w:r>
          </w:p>
        </w:tc>
        <w:tc>
          <w:tcPr>
            <w:tcW w:w="1575" w:type="dxa"/>
            <w:vMerge w:val="continue"/>
            <w:tcBorders>
              <w:bottom w:val="single" w:color="auto" w:sz="4" w:space="0"/>
            </w:tcBorders>
            <w:shd w:val="clear" w:color="auto" w:fill="auto"/>
            <w:vAlign w:val="center"/>
          </w:tcPr>
          <w:p>
            <w:pPr>
              <w:widowControl/>
              <w:jc w:val="left"/>
              <w:rPr>
                <w:rFonts w:ascii="宋体" w:hAnsi="宋体" w:eastAsia="宋体" w:cs="Arial"/>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jc w:val="center"/>
        </w:trPr>
        <w:tc>
          <w:tcPr>
            <w:tcW w:w="1111" w:type="dxa"/>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w:t>
            </w:r>
          </w:p>
        </w:tc>
        <w:tc>
          <w:tcPr>
            <w:tcW w:w="1111" w:type="dxa"/>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2</w:t>
            </w:r>
          </w:p>
        </w:tc>
        <w:tc>
          <w:tcPr>
            <w:tcW w:w="1112" w:type="dxa"/>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3</w:t>
            </w:r>
          </w:p>
        </w:tc>
        <w:tc>
          <w:tcPr>
            <w:tcW w:w="1100" w:type="dxa"/>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4</w:t>
            </w:r>
          </w:p>
        </w:tc>
        <w:tc>
          <w:tcPr>
            <w:tcW w:w="1100" w:type="dxa"/>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5</w:t>
            </w:r>
          </w:p>
        </w:tc>
        <w:tc>
          <w:tcPr>
            <w:tcW w:w="1206" w:type="dxa"/>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6</w:t>
            </w:r>
          </w:p>
        </w:tc>
        <w:tc>
          <w:tcPr>
            <w:tcW w:w="1100" w:type="dxa"/>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7</w:t>
            </w:r>
          </w:p>
        </w:tc>
        <w:tc>
          <w:tcPr>
            <w:tcW w:w="1100" w:type="dxa"/>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8</w:t>
            </w:r>
          </w:p>
        </w:tc>
        <w:tc>
          <w:tcPr>
            <w:tcW w:w="1100" w:type="dxa"/>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9</w:t>
            </w:r>
          </w:p>
        </w:tc>
        <w:tc>
          <w:tcPr>
            <w:tcW w:w="1100" w:type="dxa"/>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10</w:t>
            </w:r>
          </w:p>
        </w:tc>
        <w:tc>
          <w:tcPr>
            <w:tcW w:w="1101" w:type="dxa"/>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11</w:t>
            </w:r>
          </w:p>
        </w:tc>
        <w:tc>
          <w:tcPr>
            <w:tcW w:w="1575" w:type="dxa"/>
            <w:shd w:val="clear" w:color="auto" w:fill="auto"/>
            <w:vAlign w:val="center"/>
          </w:tcPr>
          <w:p>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jc w:val="center"/>
        </w:trPr>
        <w:tc>
          <w:tcPr>
            <w:tcW w:w="1111" w:type="dxa"/>
            <w:tcBorders>
              <w:bottom w:val="single" w:color="auto"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5.50</w:t>
            </w:r>
          </w:p>
        </w:tc>
        <w:tc>
          <w:tcPr>
            <w:tcW w:w="1111" w:type="dxa"/>
            <w:tcBorders>
              <w:bottom w:val="single" w:color="auto"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12" w:type="dxa"/>
            <w:tcBorders>
              <w:bottom w:val="single" w:color="auto"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00" w:type="dxa"/>
            <w:tcBorders>
              <w:bottom w:val="single" w:color="auto"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00" w:type="dxa"/>
            <w:tcBorders>
              <w:bottom w:val="single" w:color="auto"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206" w:type="dxa"/>
            <w:tcBorders>
              <w:bottom w:val="single" w:color="auto"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5.50</w:t>
            </w:r>
          </w:p>
        </w:tc>
        <w:tc>
          <w:tcPr>
            <w:tcW w:w="1100" w:type="dxa"/>
            <w:tcBorders>
              <w:bottom w:val="single" w:color="auto"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2.30</w:t>
            </w:r>
          </w:p>
        </w:tc>
        <w:tc>
          <w:tcPr>
            <w:tcW w:w="1100" w:type="dxa"/>
            <w:tcBorders>
              <w:bottom w:val="single" w:color="auto"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00" w:type="dxa"/>
            <w:tcBorders>
              <w:bottom w:val="single" w:color="auto"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00" w:type="dxa"/>
            <w:tcBorders>
              <w:bottom w:val="single" w:color="auto"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101" w:type="dxa"/>
            <w:tcBorders>
              <w:bottom w:val="single" w:color="auto"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0.00</w:t>
            </w:r>
          </w:p>
        </w:tc>
        <w:tc>
          <w:tcPr>
            <w:tcW w:w="1575" w:type="dxa"/>
            <w:tcBorders>
              <w:bottom w:val="single" w:color="auto" w:sz="4" w:space="0"/>
            </w:tcBorders>
            <w:shd w:val="clear" w:color="auto" w:fill="auto"/>
            <w:noWrap/>
            <w:vAlign w:val="center"/>
          </w:tcPr>
          <w:p>
            <w:pPr>
              <w:widowControl/>
              <w:jc w:val="right"/>
              <w:rPr>
                <w:rFonts w:hint="eastAsia" w:ascii="宋体" w:hAnsi="宋体" w:eastAsia="宋体" w:cs="Arial"/>
                <w:color w:val="000000"/>
                <w:kern w:val="0"/>
                <w:sz w:val="22"/>
              </w:rPr>
            </w:pPr>
            <w:r>
              <w:rPr>
                <w:rFonts w:hint="eastAsia" w:ascii="宋体" w:hAnsi="宋体" w:eastAsia="宋体" w:cs="Arial"/>
                <w:color w:val="000000"/>
                <w:kern w:val="0"/>
                <w:sz w:val="22"/>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1" w:hRule="atLeast"/>
          <w:jc w:val="center"/>
        </w:trPr>
        <w:tc>
          <w:tcPr>
            <w:tcW w:w="13816" w:type="dxa"/>
            <w:gridSpan w:val="12"/>
            <w:tcBorders>
              <w:top w:val="single" w:color="auto" w:sz="4" w:space="0"/>
              <w:left w:val="nil"/>
              <w:bottom w:val="nil"/>
              <w:right w:val="nil"/>
            </w:tcBorders>
            <w:shd w:val="clear" w:color="auto" w:fill="auto"/>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widowControl/>
        <w:jc w:val="left"/>
        <w:rPr>
          <w:rFonts w:ascii="Times New Roman" w:hAnsi="Times New Roman" w:eastAsia="方正小标宋_GBK" w:cs="Times New Roman"/>
          <w:color w:val="000000"/>
          <w:kern w:val="0"/>
          <w:sz w:val="36"/>
          <w:szCs w:val="36"/>
        </w:rPr>
      </w:pPr>
    </w:p>
    <w:p>
      <w:pPr>
        <w:widowControl/>
        <w:jc w:val="left"/>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br w:type="page"/>
      </w:r>
    </w:p>
    <w:p>
      <w:pPr>
        <w:widowControl/>
        <w:jc w:val="left"/>
        <w:rPr>
          <w:rFonts w:ascii="Times New Roman" w:hAnsi="Times New Roman" w:eastAsia="方正小标宋_GBK" w:cs="Times New Roman"/>
          <w:color w:val="000000"/>
          <w:kern w:val="0"/>
          <w:sz w:val="36"/>
          <w:szCs w:val="36"/>
        </w:rPr>
      </w:pPr>
    </w:p>
    <w:p>
      <w:pPr>
        <w:autoSpaceDE w:val="0"/>
        <w:autoSpaceDN w:val="0"/>
        <w:adjustRightInd w:val="0"/>
        <w:ind w:left="315" w:leftChars="150"/>
        <w:jc w:val="left"/>
        <w:rPr>
          <w:rFonts w:ascii="宋体" w:eastAsia="宋体" w:cs="宋体"/>
          <w:kern w:val="0"/>
          <w:sz w:val="24"/>
          <w:szCs w:val="24"/>
        </w:rPr>
      </w:pPr>
    </w:p>
    <w:p>
      <w:pPr>
        <w:widowControl/>
        <w:jc w:val="center"/>
        <w:rPr>
          <w:rFonts w:hint="eastAsia"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44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4440" w:type="dxa"/>
            <w:gridSpan w:val="8"/>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教科院没有政府性基金收入，也没有使用政府性基金安排的支出，故本表无数据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黑体" w:hAnsi="黑体" w:eastAsia="黑体"/>
          <w:szCs w:val="21"/>
        </w:rPr>
      </w:pPr>
      <w:r>
        <w:rPr>
          <w:rFonts w:ascii="黑体" w:hAnsi="黑体" w:eastAsia="黑体"/>
          <w:szCs w:val="21"/>
        </w:rPr>
        <w:br w:type="page"/>
      </w:r>
    </w:p>
    <w:tbl>
      <w:tblPr>
        <w:tblStyle w:val="6"/>
        <w:tblW w:w="14190" w:type="dxa"/>
        <w:jc w:val="center"/>
        <w:tblInd w:w="0" w:type="dxa"/>
        <w:tblLayout w:type="fixed"/>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Layout w:type="fixed"/>
          <w:tblCellMar>
            <w:top w:w="0" w:type="dxa"/>
            <w:left w:w="108" w:type="dxa"/>
            <w:bottom w:w="0" w:type="dxa"/>
            <w:right w:w="108" w:type="dxa"/>
          </w:tblCellMar>
        </w:tblPrEx>
        <w:trPr>
          <w:trHeight w:val="720" w:hRule="atLeast"/>
          <w:jc w:val="center"/>
        </w:trPr>
        <w:tc>
          <w:tcPr>
            <w:tcW w:w="14190" w:type="dxa"/>
            <w:gridSpan w:val="9"/>
            <w:tcBorders>
              <w:top w:val="nil"/>
              <w:left w:val="nil"/>
              <w:bottom w:val="nil"/>
              <w:right w:val="nil"/>
            </w:tcBorders>
            <w:shd w:val="clear" w:color="000000" w:fill="FFFFFF"/>
            <w:vAlign w:val="center"/>
          </w:tcPr>
          <w:p>
            <w:pPr>
              <w:widowControl/>
              <w:jc w:val="center"/>
              <w:rPr>
                <w:rFonts w:hint="eastAsia" w:ascii="方正小标宋简体" w:hAnsi="华文中宋" w:eastAsia="方正小标宋简体" w:cs="宋体"/>
                <w:kern w:val="0"/>
                <w:sz w:val="32"/>
                <w:szCs w:val="32"/>
              </w:rPr>
            </w:pPr>
            <w:r>
              <w:rPr>
                <w:rFonts w:hint="eastAsia" w:ascii="方正小标宋简体" w:hAnsi="华文中宋" w:eastAsia="方正小标宋简体" w:cs="宋体"/>
                <w:kern w:val="0"/>
                <w:sz w:val="36"/>
                <w:szCs w:val="32"/>
              </w:rPr>
              <w:t>国有资本经营预算财政拨款支出决算表</w:t>
            </w:r>
          </w:p>
        </w:tc>
      </w:tr>
      <w:tr>
        <w:tblPrEx>
          <w:tblLayout w:type="fixed"/>
          <w:tblCellMar>
            <w:top w:w="0" w:type="dxa"/>
            <w:left w:w="108" w:type="dxa"/>
            <w:bottom w:w="0" w:type="dxa"/>
            <w:right w:w="108" w:type="dxa"/>
          </w:tblCellMar>
        </w:tblPrEx>
        <w:trPr>
          <w:trHeight w:val="285" w:hRule="atLeast"/>
          <w:jc w:val="center"/>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Layout w:type="fixed"/>
          <w:tblCellMar>
            <w:top w:w="0" w:type="dxa"/>
            <w:left w:w="108" w:type="dxa"/>
            <w:bottom w:w="0" w:type="dxa"/>
            <w:right w:w="108" w:type="dxa"/>
          </w:tblCellMar>
        </w:tblPrEx>
        <w:trPr>
          <w:trHeight w:val="285" w:hRule="atLeast"/>
          <w:jc w:val="center"/>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Layout w:type="fixed"/>
          <w:tblCellMar>
            <w:top w:w="0" w:type="dxa"/>
            <w:left w:w="108" w:type="dxa"/>
            <w:bottom w:w="0" w:type="dxa"/>
            <w:right w:w="108" w:type="dxa"/>
          </w:tblCellMar>
        </w:tblPrEx>
        <w:trPr>
          <w:trHeight w:val="402" w:hRule="atLeast"/>
          <w:jc w:val="center"/>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Layout w:type="fixed"/>
          <w:tblCellMar>
            <w:top w:w="0" w:type="dxa"/>
            <w:left w:w="108" w:type="dxa"/>
            <w:bottom w:w="0" w:type="dxa"/>
            <w:right w:w="108" w:type="dxa"/>
          </w:tblCellMar>
        </w:tblPrEx>
        <w:trPr>
          <w:trHeight w:val="402" w:hRule="atLeast"/>
          <w:jc w:val="center"/>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Layout w:type="fixed"/>
          <w:tblCellMar>
            <w:top w:w="0" w:type="dxa"/>
            <w:left w:w="108" w:type="dxa"/>
            <w:bottom w:w="0" w:type="dxa"/>
            <w:right w:w="108" w:type="dxa"/>
          </w:tblCellMar>
        </w:tblPrEx>
        <w:trPr>
          <w:trHeight w:val="402" w:hRule="atLeast"/>
          <w:jc w:val="center"/>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402" w:hRule="atLeast"/>
          <w:jc w:val="center"/>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402" w:hRule="atLeast"/>
          <w:jc w:val="center"/>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Layout w:type="fixed"/>
          <w:tblCellMar>
            <w:top w:w="0" w:type="dxa"/>
            <w:left w:w="108" w:type="dxa"/>
            <w:bottom w:w="0" w:type="dxa"/>
            <w:right w:w="108" w:type="dxa"/>
          </w:tblCellMar>
        </w:tblPrEx>
        <w:trPr>
          <w:trHeight w:val="402" w:hRule="atLeast"/>
          <w:jc w:val="center"/>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578" w:hRule="atLeast"/>
          <w:jc w:val="center"/>
        </w:trPr>
        <w:tc>
          <w:tcPr>
            <w:tcW w:w="14190" w:type="dxa"/>
            <w:gridSpan w:val="9"/>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8"/>
                <w:szCs w:val="28"/>
              </w:rPr>
              <w:t>教科院</w:t>
            </w:r>
            <w:r>
              <w:rPr>
                <w:rFonts w:ascii="Times New Roman" w:hAnsi="Times New Roman" w:eastAsia="仿宋_GB2312" w:cs="Times New Roman"/>
                <w:kern w:val="0"/>
                <w:sz w:val="28"/>
                <w:szCs w:val="28"/>
              </w:rPr>
              <w:t>没有使用国有资本经营预算安排的支出，故本表无数据</w:t>
            </w:r>
            <w:r>
              <w:rPr>
                <w:rFonts w:hint="eastAsia" w:ascii="Times New Roman" w:hAnsi="Times New Roman" w:eastAsia="仿宋_GB2312" w:cs="Times New Roman"/>
                <w:kern w:val="0"/>
                <w:sz w:val="28"/>
                <w:szCs w:val="28"/>
              </w:rPr>
              <w:t>。</w:t>
            </w:r>
          </w:p>
        </w:tc>
      </w:tr>
      <w:tr>
        <w:tblPrEx>
          <w:tblLayout w:type="fixed"/>
          <w:tblCellMar>
            <w:top w:w="0" w:type="dxa"/>
            <w:left w:w="108" w:type="dxa"/>
            <w:bottom w:w="0" w:type="dxa"/>
            <w:right w:w="108" w:type="dxa"/>
          </w:tblCellMar>
        </w:tblPrEx>
        <w:trPr>
          <w:trHeight w:val="402" w:hRule="atLeast"/>
          <w:jc w:val="center"/>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402" w:hRule="atLeast"/>
          <w:jc w:val="center"/>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402" w:hRule="atLeast"/>
          <w:jc w:val="center"/>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402" w:hRule="atLeast"/>
          <w:jc w:val="center"/>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402" w:hRule="atLeast"/>
          <w:jc w:val="center"/>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720" w:hRule="atLeast"/>
          <w:jc w:val="center"/>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p>
        </w:tc>
      </w:tr>
    </w:tbl>
    <w:p>
      <w:pPr>
        <w:pStyle w:val="10"/>
        <w:rPr>
          <w:sz w:val="72"/>
          <w:szCs w:val="72"/>
        </w:rPr>
        <w:sectPr>
          <w:pgSz w:w="16838" w:h="11906" w:orient="landscape"/>
          <w:pgMar w:top="720" w:right="720" w:bottom="720" w:left="720" w:header="851" w:footer="992" w:gutter="0"/>
          <w:cols w:space="425" w:num="1"/>
          <w:docGrid w:type="lines" w:linePitch="312" w:charSpace="0"/>
        </w:sect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hAnsi="黑体"/>
          <w:b/>
          <w:sz w:val="32"/>
          <w:szCs w:val="32"/>
        </w:rPr>
      </w:pPr>
      <w:r>
        <w:rPr>
          <w:rFonts w:hint="eastAsia" w:hAnsi="黑体"/>
          <w:b/>
          <w:sz w:val="32"/>
          <w:szCs w:val="32"/>
        </w:rPr>
        <w:t>一、收入支出决算总体情况说明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2020年度收入总计</w:t>
      </w:r>
      <w:r>
        <w:rPr>
          <w:rFonts w:hint="eastAsia" w:asciiTheme="minorEastAsia" w:hAnsiTheme="minorEastAsia" w:eastAsiaTheme="minorEastAsia"/>
          <w:sz w:val="32"/>
          <w:szCs w:val="32"/>
          <w:lang w:val="en-US" w:eastAsia="zh-CN"/>
        </w:rPr>
        <w:t>1406.11</w:t>
      </w:r>
      <w:r>
        <w:rPr>
          <w:rFonts w:hint="eastAsia" w:asciiTheme="minorEastAsia" w:hAnsiTheme="minorEastAsia" w:eastAsiaTheme="minorEastAsia"/>
          <w:sz w:val="32"/>
          <w:szCs w:val="32"/>
        </w:rPr>
        <w:t>万元，支出总计</w:t>
      </w:r>
      <w:r>
        <w:rPr>
          <w:rFonts w:hint="eastAsia" w:asciiTheme="minorEastAsia" w:hAnsiTheme="minorEastAsia" w:eastAsiaTheme="minorEastAsia"/>
          <w:sz w:val="32"/>
          <w:szCs w:val="32"/>
          <w:lang w:val="en-US" w:eastAsia="zh-CN"/>
        </w:rPr>
        <w:t>1406.11</w:t>
      </w:r>
      <w:r>
        <w:rPr>
          <w:rFonts w:hint="eastAsia" w:asciiTheme="minorEastAsia" w:hAnsiTheme="minorEastAsia" w:eastAsiaTheme="minorEastAsia"/>
          <w:sz w:val="32"/>
          <w:szCs w:val="32"/>
        </w:rPr>
        <w:t>万元。与上年相比，收入增加</w:t>
      </w:r>
      <w:r>
        <w:rPr>
          <w:rFonts w:hint="eastAsia" w:asciiTheme="minorEastAsia" w:hAnsiTheme="minorEastAsia" w:eastAsiaTheme="minorEastAsia"/>
          <w:sz w:val="32"/>
          <w:szCs w:val="32"/>
          <w:lang w:val="en-US" w:eastAsia="zh-CN"/>
        </w:rPr>
        <w:t>390.89</w:t>
      </w:r>
      <w:r>
        <w:rPr>
          <w:rFonts w:hint="eastAsia" w:asciiTheme="minorEastAsia" w:hAnsiTheme="minorEastAsia" w:eastAsiaTheme="minorEastAsia"/>
          <w:sz w:val="32"/>
          <w:szCs w:val="32"/>
        </w:rPr>
        <w:t>万元，增长35.55%，主要是因为增加了“中小学校质量监测”财政审批专项资金。总支出增加1</w:t>
      </w: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6.51万元，增加13.87%，主要是增加了专项支出。</w:t>
      </w: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1406</w:t>
      </w:r>
      <w:r>
        <w:rPr>
          <w:rFonts w:hint="eastAsia" w:asciiTheme="minorEastAsia" w:hAnsiTheme="minorEastAsia" w:eastAsiaTheme="minorEastAsia"/>
          <w:sz w:val="32"/>
          <w:szCs w:val="32"/>
        </w:rPr>
        <w:t>.11万元，其中：财政拨款收入</w:t>
      </w:r>
      <w:r>
        <w:rPr>
          <w:rFonts w:hint="eastAsia" w:asciiTheme="minorEastAsia" w:hAnsiTheme="minorEastAsia" w:eastAsiaTheme="minorEastAsia"/>
          <w:sz w:val="32"/>
          <w:szCs w:val="32"/>
          <w:lang w:val="en-US" w:eastAsia="zh-CN"/>
        </w:rPr>
        <w:t>1406.11</w:t>
      </w:r>
      <w:r>
        <w:rPr>
          <w:rFonts w:hint="eastAsia" w:asciiTheme="minorEastAsia" w:hAnsiTheme="minorEastAsia" w:eastAsiaTheme="minorEastAsia"/>
          <w:sz w:val="32"/>
          <w:szCs w:val="32"/>
        </w:rPr>
        <w:t>万元，占100%；</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1406.11</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1048.11</w:t>
      </w:r>
      <w:r>
        <w:rPr>
          <w:rFonts w:hint="eastAsia" w:asciiTheme="minorEastAsia" w:hAnsiTheme="minorEastAsia" w:eastAsiaTheme="minorEastAsia"/>
          <w:sz w:val="32"/>
          <w:szCs w:val="32"/>
        </w:rPr>
        <w:t>万元，占7</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%；项目支出358万元，占2</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四、财政拨款收入支出决算总体情况说明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2020年度财政拨款收入总计</w:t>
      </w:r>
      <w:r>
        <w:rPr>
          <w:rFonts w:hint="eastAsia" w:asciiTheme="minorEastAsia" w:hAnsiTheme="minorEastAsia" w:eastAsiaTheme="minorEastAsia"/>
          <w:sz w:val="32"/>
          <w:szCs w:val="32"/>
          <w:lang w:val="en-US" w:eastAsia="zh-CN"/>
        </w:rPr>
        <w:t>1406.</w:t>
      </w:r>
      <w:r>
        <w:rPr>
          <w:rFonts w:hint="eastAsia" w:asciiTheme="minorEastAsia" w:hAnsiTheme="minorEastAsia" w:eastAsiaTheme="minorEastAsia"/>
          <w:sz w:val="32"/>
          <w:szCs w:val="32"/>
        </w:rPr>
        <w:t>11万元，支出总计</w:t>
      </w:r>
      <w:r>
        <w:rPr>
          <w:rFonts w:hint="eastAsia" w:asciiTheme="minorEastAsia" w:hAnsiTheme="minorEastAsia" w:eastAsiaTheme="minorEastAsia"/>
          <w:sz w:val="32"/>
          <w:szCs w:val="32"/>
          <w:lang w:val="en-US" w:eastAsia="zh-CN"/>
        </w:rPr>
        <w:t>1406.11</w:t>
      </w:r>
      <w:r>
        <w:rPr>
          <w:rFonts w:hint="eastAsia" w:asciiTheme="minorEastAsia" w:hAnsiTheme="minorEastAsia" w:eastAsiaTheme="minorEastAsia"/>
          <w:sz w:val="32"/>
          <w:szCs w:val="32"/>
        </w:rPr>
        <w:t>万元。与上年相比，收入增加3</w:t>
      </w:r>
      <w:r>
        <w:rPr>
          <w:rFonts w:hint="eastAsia" w:asciiTheme="minorEastAsia" w:hAnsiTheme="minorEastAsia" w:eastAsiaTheme="minorEastAsia"/>
          <w:sz w:val="32"/>
          <w:szCs w:val="32"/>
          <w:lang w:val="en-US" w:eastAsia="zh-CN"/>
        </w:rPr>
        <w:t>9</w:t>
      </w:r>
      <w:r>
        <w:rPr>
          <w:rFonts w:hint="eastAsia" w:asciiTheme="minorEastAsia" w:hAnsiTheme="minorEastAsia" w:eastAsiaTheme="minorEastAsia"/>
          <w:sz w:val="32"/>
          <w:szCs w:val="32"/>
        </w:rPr>
        <w:t>0.89万元，增长35.55%，主要是因为增加了“中小学校质量监测”财政审批专项资金。总支出增加1</w:t>
      </w: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6.51万元，增加13.87%，主要是增加了专项支出。</w:t>
      </w: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1406.11</w:t>
      </w:r>
      <w:r>
        <w:rPr>
          <w:rFonts w:hint="eastAsia" w:asciiTheme="minorEastAsia" w:hAnsiTheme="minorEastAsia" w:eastAsiaTheme="minorEastAsia"/>
          <w:sz w:val="32"/>
          <w:szCs w:val="32"/>
        </w:rPr>
        <w:t>万元，占本年支出合计的100%，与上年相比，财政拨款支出增加1</w:t>
      </w: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6.51万元，增长13.87%，主要是因为项支出</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rPr>
        <w:t>。</w:t>
      </w: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1406.11</w:t>
      </w:r>
      <w:r>
        <w:rPr>
          <w:rFonts w:hint="eastAsia" w:asciiTheme="minorEastAsia" w:hAnsiTheme="minorEastAsia" w:eastAsiaTheme="minorEastAsia"/>
          <w:sz w:val="32"/>
          <w:szCs w:val="32"/>
        </w:rPr>
        <w:t>万元，主要用于以下方面：教育（类）支出11</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8.64万元，占8</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%;社会保障和就业支出75.49万元，占5%；卫生健康支出27.06万元，占2%；住房保障支出43.78万元，占3%</w:t>
      </w: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2020年度财政拨款支出年初预算数为890.50万元，支出决算数为1284.97万元，完成年初预算的144%，其中：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1、教育支出。</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年初预算为761.29万元，支出决算为1138.64万元，完成年初预算的149%，决算数大于年初预算数的主要原因是：增加了专项支出。</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2、社会保障和就业支出。</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年初预算为58.37万元，支出决算为75.49万元，完成年初预算的129%，决算数大于年初预算数的主要原因是：标准提高。</w:t>
      </w:r>
    </w:p>
    <w:p>
      <w:pPr>
        <w:pStyle w:val="10"/>
        <w:numPr>
          <w:ilvl w:val="0"/>
          <w:numId w:val="2"/>
        </w:numPr>
        <w:ind w:firstLine="800" w:firstLineChars="250"/>
        <w:rPr>
          <w:rFonts w:hAnsi="黑体" w:eastAsia="宋体" w:cs="宋体"/>
          <w:color w:val="000000" w:themeColor="text1"/>
          <w:sz w:val="32"/>
          <w:szCs w:val="32"/>
          <w14:textFill>
            <w14:solidFill>
              <w14:schemeClr w14:val="tx1"/>
            </w14:solidFill>
          </w14:textFill>
        </w:rPr>
      </w:pPr>
      <w:r>
        <w:rPr>
          <w:rFonts w:hint="eastAsia" w:hAnsi="黑体" w:eastAsia="宋体" w:cs="宋体"/>
          <w:color w:val="000000" w:themeColor="text1"/>
          <w:sz w:val="32"/>
          <w:szCs w:val="32"/>
          <w14:textFill>
            <w14:solidFill>
              <w14:schemeClr w14:val="tx1"/>
            </w14:solidFill>
          </w14:textFill>
        </w:rPr>
        <w:t>卫生健康支出</w:t>
      </w:r>
    </w:p>
    <w:p>
      <w:pPr>
        <w:pStyle w:val="10"/>
        <w:ind w:firstLine="960" w:firstLineChars="300"/>
        <w:rPr>
          <w:rFonts w:hAnsi="黑体" w:eastAsia="宋体" w:cs="宋体"/>
          <w:color w:val="000000" w:themeColor="text1"/>
          <w:sz w:val="32"/>
          <w:szCs w:val="32"/>
          <w14:textFill>
            <w14:solidFill>
              <w14:schemeClr w14:val="tx1"/>
            </w14:solidFill>
          </w14:textFill>
        </w:rPr>
      </w:pPr>
      <w:r>
        <w:rPr>
          <w:rFonts w:hint="eastAsia" w:asciiTheme="minorEastAsia" w:hAnsiTheme="minorEastAsia" w:eastAsiaTheme="minorEastAsia"/>
          <w:sz w:val="32"/>
          <w:szCs w:val="32"/>
        </w:rPr>
        <w:t>年初预算为</w:t>
      </w:r>
      <w:r>
        <w:rPr>
          <w:rFonts w:hint="eastAsia" w:hAnsi="黑体" w:eastAsia="宋体" w:cs="宋体"/>
          <w:color w:val="000000" w:themeColor="text1"/>
          <w:sz w:val="32"/>
          <w:szCs w:val="32"/>
          <w14:textFill>
            <w14:solidFill>
              <w14:schemeClr w14:val="tx1"/>
            </w14:solidFill>
          </w14:textFill>
        </w:rPr>
        <w:t>27.06万元，支出决算27.06万元，完成年初预算的100%。</w:t>
      </w:r>
    </w:p>
    <w:p>
      <w:pPr>
        <w:pStyle w:val="10"/>
        <w:numPr>
          <w:ilvl w:val="0"/>
          <w:numId w:val="2"/>
        </w:numPr>
        <w:ind w:firstLine="800" w:firstLineChars="250"/>
        <w:rPr>
          <w:rFonts w:hAnsi="黑体" w:eastAsia="宋体" w:cs="宋体"/>
          <w:color w:val="000000" w:themeColor="text1"/>
          <w:sz w:val="32"/>
          <w:szCs w:val="32"/>
          <w14:textFill>
            <w14:solidFill>
              <w14:schemeClr w14:val="tx1"/>
            </w14:solidFill>
          </w14:textFill>
        </w:rPr>
      </w:pPr>
      <w:r>
        <w:rPr>
          <w:rFonts w:hint="eastAsia" w:hAnsi="黑体" w:eastAsia="宋体" w:cs="宋体"/>
          <w:color w:val="000000" w:themeColor="text1"/>
          <w:sz w:val="32"/>
          <w:szCs w:val="32"/>
          <w14:textFill>
            <w14:solidFill>
              <w14:schemeClr w14:val="tx1"/>
            </w14:solidFill>
          </w14:textFill>
        </w:rPr>
        <w:t>住房保障支出</w:t>
      </w:r>
    </w:p>
    <w:p>
      <w:pPr>
        <w:pStyle w:val="10"/>
        <w:ind w:firstLine="960" w:firstLineChars="300"/>
        <w:rPr>
          <w:rFonts w:hAnsi="黑体" w:cs="宋体"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sz w:val="32"/>
          <w:szCs w:val="32"/>
        </w:rPr>
        <w:t>年初预算为43.78万元，支出决算43.78万元，完成年初预算的100%。</w:t>
      </w:r>
    </w:p>
    <w:p>
      <w:pPr>
        <w:pStyle w:val="10"/>
        <w:numPr>
          <w:ilvl w:val="0"/>
          <w:numId w:val="3"/>
        </w:numPr>
        <w:ind w:firstLine="640" w:firstLineChars="200"/>
        <w:rPr>
          <w:rFonts w:hAnsi="黑体" w:cs="宋体"/>
          <w:color w:val="FFFFFF" w:themeColor="background1"/>
          <w:sz w:val="32"/>
          <w:szCs w:val="32"/>
          <w14:textFill>
            <w14:solidFill>
              <w14:schemeClr w14:val="bg1"/>
            </w14:solidFill>
          </w14:textFill>
        </w:rPr>
      </w:pPr>
      <w:r>
        <w:rPr>
          <w:rFonts w:hint="eastAsia" w:hAnsi="黑体" w:eastAsia="宋体" w:cs="宋体"/>
          <w:color w:val="FFFFFF" w:themeColor="background1"/>
          <w:sz w:val="32"/>
          <w:szCs w:val="32"/>
          <w14:textFill>
            <w14:solidFill>
              <w14:schemeClr w14:val="bg1"/>
            </w14:solidFill>
          </w14:textFill>
        </w:rPr>
        <w:t>、</w:t>
      </w:r>
    </w:p>
    <w:p>
      <w:pPr>
        <w:pStyle w:val="1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出926.97万元，其中：人员经费768.54万元，占基本支出的82%,主要包括基本工资、津贴补贴、奖金、伙食补助费等等；公用经费158.43万元，占基本支出的17%，主要包括办公费、印刷费、咨询费、手续费等。</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“三公”经费财政拨款支出预算为5.5万元，支出决算为2.3万元，完成预算的41%，其中：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公务接待费支出预算为5.5万元，支出决算为2.3万元，完成预算的41%，决算数小于预算数的主要原因是接待减少，与上年相比减少0.5万元，减少减少的主要原因是接待减少。</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2020年度“三公”经费财政拨款支出决算中，公务接待费支出决算2.3万元，占100%,因公出国（境）费支出决算0万元，占0%,公务用车购置费及运行维护费支出决算0万元，占0%。其中：</w:t>
      </w:r>
    </w:p>
    <w:p>
      <w:pPr>
        <w:pStyle w:val="10"/>
        <w:numPr>
          <w:ilvl w:val="0"/>
          <w:numId w:val="4"/>
        </w:numPr>
        <w:ind w:firstLine="64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因公出国（境）费支出决算为0万元，全年安排因公出国（境）团组0个，累计0人次。</w:t>
      </w:r>
    </w:p>
    <w:p>
      <w:pPr>
        <w:pStyle w:val="10"/>
        <w:ind w:left="10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2、公务接待费支出决算为2.3万元，全年共接待来访团组50个、来宾1500人次，主要是小学、初中、高中教师培训活动发生的接待支出。</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3、公务用车购置费及运行维护费支出决算为0万元，其中：公务用车购置费0元</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公务用车运行维护费0万元，、截止2020年12月31日，我单位开支财政拨款的公务用车保有量为0辆。</w:t>
      </w:r>
    </w:p>
    <w:p>
      <w:pPr>
        <w:pStyle w:val="10"/>
        <w:rPr>
          <w:rFonts w:hAnsi="黑体"/>
          <w:b/>
          <w:sz w:val="32"/>
          <w:szCs w:val="32"/>
        </w:rPr>
      </w:pPr>
      <w:r>
        <w:rPr>
          <w:rFonts w:hint="eastAsia" w:hAnsi="黑体"/>
          <w:b/>
          <w:sz w:val="32"/>
          <w:szCs w:val="32"/>
        </w:rPr>
        <w:t>八、政府性基金预算收入支出决算情况</w:t>
      </w:r>
    </w:p>
    <w:p>
      <w:pPr>
        <w:pStyle w:val="10"/>
        <w:ind w:firstLine="640" w:firstLineChars="200"/>
        <w:rPr>
          <w:rFonts w:asciiTheme="minorEastAsia" w:hAnsiTheme="minorEastAsia" w:eastAsiaTheme="minorEastAsia"/>
          <w:i/>
          <w:color w:val="000000" w:themeColor="text1"/>
          <w:sz w:val="32"/>
          <w:szCs w:val="32"/>
          <w14:textFill>
            <w14:solidFill>
              <w14:schemeClr w14:val="tx1"/>
            </w14:solidFill>
          </w14:textFill>
        </w:rPr>
      </w:pPr>
      <w:r>
        <w:rPr>
          <w:rFonts w:hint="eastAsia" w:asciiTheme="minorEastAsia" w:hAnsiTheme="minorEastAsia" w:eastAsiaTheme="minorEastAsia"/>
          <w:i/>
          <w:color w:val="000000" w:themeColor="text1"/>
          <w:sz w:val="32"/>
          <w:szCs w:val="32"/>
          <w14:textFill>
            <w14:solidFill>
              <w14:schemeClr w14:val="tx1"/>
            </w14:solidFill>
          </w14:textFill>
        </w:rPr>
        <w:t>本单位无政府性基金收支</w:t>
      </w:r>
    </w:p>
    <w:p>
      <w:pPr>
        <w:pStyle w:val="10"/>
        <w:rPr>
          <w:rFonts w:hAnsi="黑体"/>
          <w:b/>
          <w:sz w:val="32"/>
          <w:szCs w:val="32"/>
        </w:rPr>
      </w:pPr>
      <w:r>
        <w:rPr>
          <w:rFonts w:hint="eastAsia" w:hAnsi="黑体"/>
          <w:b/>
          <w:sz w:val="32"/>
          <w:szCs w:val="32"/>
        </w:rPr>
        <w:t>九、国有资本经营预算财政拨款支出决算情况</w:t>
      </w:r>
    </w:p>
    <w:p>
      <w:pPr>
        <w:pStyle w:val="10"/>
        <w:ind w:firstLine="640" w:firstLineChars="200"/>
        <w:rPr>
          <w:rFonts w:hAnsi="黑体"/>
          <w:b/>
          <w:sz w:val="32"/>
          <w:szCs w:val="32"/>
        </w:rPr>
      </w:pPr>
      <w:r>
        <w:rPr>
          <w:rFonts w:hint="eastAsia" w:asciiTheme="minorEastAsia" w:hAnsiTheme="minorEastAsia" w:eastAsiaTheme="minorEastAsia"/>
          <w:sz w:val="32"/>
          <w:szCs w:val="32"/>
        </w:rPr>
        <w:t>本单位无国有资本经营预算财政拨款支出</w:t>
      </w:r>
      <w:r>
        <w:rPr>
          <w:rFonts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十、关于机关运行经费支出说明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本部门2020年度机关运行经费支出158.43万元，比年初预算数增加11.40 万元，增长7.75%。主要原因是：增加一项“中小学质量监测”财政审批专项经费，导致印刷费增加。</w:t>
      </w:r>
    </w:p>
    <w:p>
      <w:pPr>
        <w:pStyle w:val="10"/>
        <w:rPr>
          <w:rFonts w:hAnsi="黑体"/>
          <w:b/>
          <w:sz w:val="32"/>
          <w:szCs w:val="32"/>
        </w:rPr>
      </w:pPr>
      <w:r>
        <w:rPr>
          <w:rFonts w:hint="eastAsia" w:hAnsi="黑体"/>
          <w:b/>
          <w:sz w:val="32"/>
          <w:szCs w:val="32"/>
        </w:rPr>
        <w:t>十一、一般性支出情况</w:t>
      </w:r>
    </w:p>
    <w:p>
      <w:pPr>
        <w:pStyle w:val="10"/>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2020年未举办节庆、晚会、论坛等活动，</w:t>
      </w:r>
      <w:r>
        <w:rPr>
          <w:rFonts w:hint="eastAsia" w:asciiTheme="minorEastAsia" w:hAnsiTheme="minorEastAsia" w:eastAsiaTheme="minorEastAsia"/>
          <w:sz w:val="32"/>
          <w:szCs w:val="32"/>
        </w:rPr>
        <w:t>开支4.47万元，</w:t>
      </w:r>
      <w:r>
        <w:rPr>
          <w:rFonts w:hint="eastAsia" w:asciiTheme="minorEastAsia" w:hAnsiTheme="minorEastAsia" w:eastAsiaTheme="minorEastAsia"/>
          <w:sz w:val="32"/>
          <w:szCs w:val="32"/>
          <w:lang w:eastAsia="zh-CN"/>
        </w:rPr>
        <w:t>主要是</w:t>
      </w:r>
      <w:r>
        <w:rPr>
          <w:rFonts w:hint="eastAsia" w:asciiTheme="minorEastAsia" w:hAnsiTheme="minorEastAsia" w:eastAsiaTheme="minorEastAsia"/>
          <w:sz w:val="32"/>
          <w:szCs w:val="32"/>
        </w:rPr>
        <w:t>用于召开高中教师培训会议，人数1000人，内容为高三学科培训；开支培训费2.70万元，用于开展中小学教师培训，人数5000人，内容为全市中小学教师新教材培训；</w:t>
      </w:r>
    </w:p>
    <w:p>
      <w:pPr>
        <w:pStyle w:val="10"/>
        <w:rPr>
          <w:rFonts w:hAnsi="黑体"/>
          <w:b/>
          <w:sz w:val="32"/>
          <w:szCs w:val="32"/>
        </w:rPr>
      </w:pPr>
      <w:r>
        <w:rPr>
          <w:rFonts w:hint="eastAsia" w:hAnsi="黑体"/>
          <w:b/>
          <w:sz w:val="32"/>
          <w:szCs w:val="32"/>
        </w:rPr>
        <w:t>十二、关于政府采购支出说明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本部门2020年度没有政府采购支出。</w:t>
      </w:r>
    </w:p>
    <w:p>
      <w:pPr>
        <w:pStyle w:val="10"/>
        <w:rPr>
          <w:rFonts w:hAnsi="黑体"/>
          <w:b/>
          <w:sz w:val="32"/>
          <w:szCs w:val="32"/>
        </w:rPr>
      </w:pPr>
      <w:r>
        <w:rPr>
          <w:rFonts w:hint="eastAsia" w:hAnsi="黑体"/>
          <w:b/>
          <w:sz w:val="32"/>
          <w:szCs w:val="32"/>
        </w:rPr>
        <w:t>十三、关于国有资产占用情况说明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截至2020年12月31日，本单位没有车辆。单位价值50万元以上通用设备没有；单位价值100万元以上专用设备没有。</w:t>
      </w:r>
    </w:p>
    <w:p>
      <w:pPr>
        <w:pStyle w:val="10"/>
        <w:rPr>
          <w:rFonts w:hAnsi="黑体"/>
          <w:b/>
          <w:sz w:val="32"/>
          <w:szCs w:val="32"/>
        </w:rPr>
      </w:pPr>
      <w:r>
        <w:rPr>
          <w:rFonts w:hint="eastAsia" w:hAnsi="黑体"/>
          <w:b/>
          <w:sz w:val="32"/>
          <w:szCs w:val="32"/>
        </w:rPr>
        <w:t>十四、关于2020年度预算绩效情况的说明</w:t>
      </w:r>
    </w:p>
    <w:p>
      <w:pPr>
        <w:pStyle w:val="10"/>
        <w:ind w:firstLine="960" w:firstLineChars="300"/>
        <w:rPr>
          <w:rFonts w:hint="eastAsia" w:hAnsi="黑体" w:eastAsiaTheme="minorEastAsia"/>
          <w:b/>
          <w:sz w:val="32"/>
          <w:szCs w:val="32"/>
          <w:lang w:val="en-US" w:eastAsia="zh-CN"/>
        </w:rPr>
      </w:pPr>
      <w:r>
        <w:rPr>
          <w:rFonts w:hint="eastAsia" w:asciiTheme="minorEastAsia" w:hAnsiTheme="minorEastAsia" w:eastAsiaTheme="minorEastAsia"/>
          <w:sz w:val="32"/>
          <w:szCs w:val="32"/>
        </w:rPr>
        <w:t>按照财政绩效部门要求已公开</w:t>
      </w:r>
      <w:r>
        <w:rPr>
          <w:rFonts w:hint="eastAsia" w:asciiTheme="minorEastAsia" w:hAnsiTheme="minorEastAsia" w:eastAsiaTheme="minorEastAsia"/>
          <w:sz w:val="32"/>
          <w:szCs w:val="32"/>
          <w:lang w:eastAsia="zh-CN"/>
        </w:rPr>
        <w:t>。</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pStyle w:val="10"/>
        <w:jc w:val="center"/>
        <w:rPr>
          <w:rFonts w:hint="eastAsia" w:eastAsia="宋体"/>
          <w:sz w:val="32"/>
          <w:szCs w:val="72"/>
          <w:lang w:eastAsia="zh-CN"/>
        </w:rPr>
      </w:pPr>
      <w:r>
        <w:rPr>
          <w:rFonts w:hint="eastAsia" w:eastAsia="宋体"/>
          <w:sz w:val="32"/>
          <w:szCs w:val="72"/>
          <w:lang w:eastAsia="zh-CN"/>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10"/>
        <w:jc w:val="center"/>
        <w:rPr>
          <w:rFonts w:hint="eastAsia" w:eastAsia="宋体"/>
          <w:sz w:val="32"/>
          <w:szCs w:val="72"/>
          <w:lang w:eastAsia="zh-CN"/>
        </w:rPr>
      </w:pPr>
      <w:r>
        <w:rPr>
          <w:rFonts w:hint="eastAsia" w:eastAsia="宋体"/>
          <w:sz w:val="32"/>
          <w:szCs w:val="72"/>
          <w:lang w:eastAsia="zh-CN"/>
        </w:rPr>
        <w:t>2、“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w:t>
      </w:r>
      <w:bookmarkStart w:id="1" w:name="_GoBack"/>
      <w:bookmarkEnd w:id="1"/>
      <w:r>
        <w:rPr>
          <w:rFonts w:hint="eastAsia" w:eastAsia="宋体"/>
          <w:sz w:val="32"/>
          <w:szCs w:val="72"/>
          <w:lang w:eastAsia="zh-CN"/>
        </w:rPr>
        <w:t>国际旅费、国外城市间交通费、食宿费等支出。</w:t>
      </w:r>
    </w:p>
    <w:p>
      <w:pPr>
        <w:pStyle w:val="10"/>
        <w:jc w:val="center"/>
        <w:rPr>
          <w:rFonts w:hint="eastAsia" w:eastAsia="宋体"/>
          <w:sz w:val="32"/>
          <w:szCs w:val="72"/>
          <w:lang w:eastAsia="zh-CN"/>
        </w:rPr>
      </w:pPr>
    </w:p>
    <w:p>
      <w:pPr>
        <w:pStyle w:val="10"/>
        <w:jc w:val="center"/>
        <w:rPr>
          <w:rFonts w:hint="default" w:eastAsia="宋体"/>
          <w:sz w:val="32"/>
          <w:szCs w:val="72"/>
          <w:lang w:val="en-US" w:eastAsia="zh-CN"/>
        </w:rPr>
      </w:pPr>
      <w:r>
        <w:rPr>
          <w:rFonts w:hint="eastAsia" w:eastAsia="宋体"/>
          <w:sz w:val="32"/>
          <w:szCs w:val="72"/>
          <w:lang w:val="en-US" w:eastAsia="zh-CN"/>
        </w:rPr>
        <w:t xml:space="preserve">                               2021-8-31</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p>
      <w:pPr>
        <w:pStyle w:val="5"/>
        <w:shd w:val="clear" w:color="auto" w:fill="FFFFFF"/>
        <w:spacing w:before="0" w:beforeAutospacing="0" w:after="0" w:afterAutospacing="0"/>
        <w:ind w:firstLine="560"/>
        <w:rPr>
          <w:rFonts w:hint="eastAsia" w:ascii="仿宋_GB2312" w:hAnsi="仿宋" w:eastAsia="仿宋_GB2312"/>
          <w:color w:val="000000"/>
          <w:sz w:val="30"/>
          <w:szCs w:val="30"/>
        </w:rPr>
      </w:pPr>
      <w:r>
        <w:rPr>
          <w:rFonts w:cs="黑体" w:asciiTheme="minorEastAsia" w:hAnsiTheme="minorEastAsia"/>
          <w:color w:val="000000"/>
          <w:kern w:val="0"/>
          <w:sz w:val="32"/>
          <w:szCs w:val="32"/>
        </w:rPr>
        <w:br w:type="page"/>
      </w:r>
      <w:r>
        <w:rPr>
          <w:rFonts w:hint="eastAsia" w:ascii="仿宋_GB2312" w:hAnsi="仿宋" w:eastAsia="仿宋_GB2312"/>
          <w:color w:val="000000"/>
          <w:sz w:val="30"/>
          <w:szCs w:val="30"/>
          <w:lang w:eastAsia="zh-CN"/>
        </w:rPr>
        <w:t>2020</w:t>
      </w:r>
      <w:r>
        <w:rPr>
          <w:rFonts w:hint="eastAsia" w:ascii="仿宋_GB2312" w:hAnsi="仿宋" w:eastAsia="仿宋_GB2312"/>
          <w:color w:val="000000"/>
          <w:sz w:val="30"/>
          <w:szCs w:val="30"/>
        </w:rPr>
        <w:t>年，岳阳市教育科学技术研究院</w:t>
      </w:r>
      <w:r>
        <w:rPr>
          <w:rFonts w:hint="eastAsia" w:ascii="楷体_GB2312" w:hAnsi="仿宋" w:eastAsia="楷体_GB2312"/>
          <w:color w:val="000000"/>
          <w:sz w:val="30"/>
          <w:szCs w:val="30"/>
        </w:rPr>
        <w:t>（以下简称岳阳市教科院）</w:t>
      </w:r>
      <w:r>
        <w:rPr>
          <w:rFonts w:hint="eastAsia" w:ascii="仿宋_GB2312" w:hAnsi="仿宋" w:eastAsia="仿宋_GB2312"/>
          <w:color w:val="000000"/>
          <w:sz w:val="30"/>
          <w:szCs w:val="30"/>
        </w:rPr>
        <w:t>在市教育体育局的坚强领导下，在省教科院、省电教馆、省装备处、省信息中心、省教育学会等多家省级部门的有力指导下，积极履行“研究、指导、服务”的工作职能，取得了一定的成效。现将一年来的工作简要总结如下：</w:t>
      </w:r>
    </w:p>
    <w:p>
      <w:pPr>
        <w:pStyle w:val="5"/>
        <w:shd w:val="clear" w:color="auto" w:fill="FFFFFF"/>
        <w:spacing w:before="0" w:beforeAutospacing="0" w:after="0" w:afterAutospacing="0"/>
        <w:ind w:firstLine="562"/>
        <w:rPr>
          <w:rFonts w:hint="eastAsia" w:ascii="黑体" w:hAnsi="黑体" w:eastAsia="黑体"/>
          <w:bCs/>
          <w:color w:val="000000"/>
          <w:sz w:val="30"/>
          <w:szCs w:val="30"/>
        </w:rPr>
      </w:pPr>
      <w:r>
        <w:rPr>
          <w:rFonts w:hint="eastAsia" w:ascii="黑体" w:hAnsi="黑体" w:eastAsia="黑体"/>
          <w:bCs/>
          <w:color w:val="000000"/>
          <w:sz w:val="30"/>
          <w:szCs w:val="30"/>
        </w:rPr>
        <w:t>一、以加强党建工作为龙头，内强素质</w:t>
      </w:r>
    </w:p>
    <w:p>
      <w:pPr>
        <w:pStyle w:val="5"/>
        <w:shd w:val="clear" w:color="auto" w:fill="FFFFFF"/>
        <w:spacing w:before="0" w:beforeAutospacing="0" w:after="0" w:afterAutospacing="0"/>
        <w:ind w:firstLine="562"/>
        <w:rPr>
          <w:rFonts w:hint="eastAsia" w:ascii="仿宋_GB2312" w:hAnsi="仿宋" w:eastAsia="仿宋_GB2312"/>
          <w:color w:val="000000"/>
          <w:sz w:val="30"/>
          <w:szCs w:val="30"/>
        </w:rPr>
      </w:pPr>
      <w:r>
        <w:rPr>
          <w:rFonts w:hint="eastAsia" w:ascii="楷体_GB2312" w:hAnsi="仿宋" w:eastAsia="楷体_GB2312"/>
          <w:b/>
          <w:bCs/>
          <w:color w:val="000000"/>
          <w:sz w:val="30"/>
          <w:szCs w:val="30"/>
        </w:rPr>
        <w:t>1.</w:t>
      </w:r>
      <w:r>
        <w:rPr>
          <w:rFonts w:hint="eastAsia" w:ascii="楷体_GB2312" w:hAnsi="仿宋" w:eastAsia="楷体_GB2312"/>
          <w:b/>
          <w:color w:val="000000"/>
          <w:sz w:val="30"/>
          <w:szCs w:val="30"/>
        </w:rPr>
        <w:t>强化基本规范教育。</w:t>
      </w:r>
      <w:r>
        <w:rPr>
          <w:rFonts w:hint="eastAsia" w:ascii="仿宋_GB2312" w:hAnsi="仿宋" w:eastAsia="仿宋_GB2312"/>
          <w:color w:val="000000"/>
          <w:sz w:val="30"/>
          <w:szCs w:val="30"/>
        </w:rPr>
        <w:t>今年以来，新任院长</w:t>
      </w:r>
      <w:r>
        <w:rPr>
          <w:rFonts w:hint="eastAsia" w:ascii="仿宋_GB2312" w:hAnsi="仿宋" w:eastAsia="仿宋_GB2312"/>
          <w:color w:val="000000"/>
          <w:sz w:val="30"/>
          <w:szCs w:val="30"/>
          <w:lang w:eastAsia="zh-CN"/>
        </w:rPr>
        <w:t>李伟灵</w:t>
      </w:r>
      <w:r>
        <w:rPr>
          <w:rFonts w:hint="eastAsia" w:ascii="仿宋_GB2312" w:hAnsi="仿宋" w:eastAsia="仿宋_GB2312"/>
          <w:color w:val="000000"/>
          <w:sz w:val="30"/>
          <w:szCs w:val="30"/>
        </w:rPr>
        <w:t>同志到任伊始，马上将纪律意识、规矩意识、制度意识等挺立在前面，促进我院改进工作方法，形成优良作风，优化工作程序。经过一年来的努力，全体教研与技术工作人员的服务意识、工作实力、执行能力得到了明显的提升。</w:t>
      </w:r>
    </w:p>
    <w:p>
      <w:pPr>
        <w:pStyle w:val="5"/>
        <w:shd w:val="clear" w:color="auto" w:fill="FFFFFF"/>
        <w:spacing w:before="0" w:beforeAutospacing="0" w:after="0" w:afterAutospacing="0"/>
        <w:ind w:firstLine="562"/>
        <w:rPr>
          <w:rFonts w:hint="eastAsia" w:ascii="仿宋_GB2312" w:hAnsi="仿宋" w:eastAsia="仿宋_GB2312"/>
          <w:color w:val="000000"/>
          <w:sz w:val="30"/>
          <w:szCs w:val="30"/>
        </w:rPr>
      </w:pPr>
      <w:r>
        <w:rPr>
          <w:rFonts w:hint="eastAsia" w:ascii="楷体_GB2312" w:hAnsi="仿宋" w:eastAsia="楷体_GB2312"/>
          <w:b/>
          <w:bCs/>
          <w:color w:val="000000"/>
          <w:sz w:val="30"/>
          <w:szCs w:val="30"/>
        </w:rPr>
        <w:t>2.强化党支部建设工作。</w:t>
      </w:r>
      <w:r>
        <w:rPr>
          <w:rFonts w:hint="eastAsia" w:ascii="仿宋_GB2312" w:hAnsi="仿宋" w:eastAsia="仿宋_GB2312"/>
          <w:color w:val="000000"/>
          <w:sz w:val="30"/>
          <w:szCs w:val="30"/>
        </w:rPr>
        <w:t>坚持开展党支部设置标准化、组织生活正常化、建管理服务精细化、工作制度体系化、阵地建设规范化的建设，建立党员活动室，整理党员学习资料，积极组织党员学习，加强党员思想教育。开展党员主题学习活动，赴湖北洪湖革命根据地重温党的誓词，接受革命传统教育，强化了教研员的职业使命与责任担当。</w:t>
      </w:r>
    </w:p>
    <w:p>
      <w:pPr>
        <w:pStyle w:val="5"/>
        <w:shd w:val="clear" w:color="auto" w:fill="FFFFFF"/>
        <w:spacing w:before="0" w:beforeAutospacing="0" w:after="0" w:afterAutospacing="0"/>
        <w:ind w:firstLine="562"/>
        <w:rPr>
          <w:rFonts w:hint="eastAsia" w:ascii="仿宋_GB2312" w:hAnsi="仿宋" w:eastAsia="仿宋_GB2312"/>
          <w:color w:val="000000"/>
          <w:sz w:val="30"/>
          <w:szCs w:val="30"/>
        </w:rPr>
      </w:pPr>
      <w:r>
        <w:rPr>
          <w:rFonts w:hint="eastAsia" w:ascii="楷体_GB2312" w:hAnsi="仿宋" w:eastAsia="楷体_GB2312"/>
          <w:b/>
          <w:bCs/>
          <w:color w:val="000000"/>
          <w:sz w:val="30"/>
          <w:szCs w:val="30"/>
        </w:rPr>
        <w:t>3.强化</w:t>
      </w:r>
      <w:r>
        <w:rPr>
          <w:rFonts w:hint="eastAsia" w:ascii="楷体_GB2312" w:hAnsi="仿宋" w:eastAsia="楷体_GB2312"/>
          <w:b/>
          <w:color w:val="000000"/>
          <w:sz w:val="30"/>
          <w:szCs w:val="30"/>
        </w:rPr>
        <w:t>专业能力培训。</w:t>
      </w:r>
      <w:r>
        <w:rPr>
          <w:rFonts w:hint="eastAsia" w:ascii="仿宋_GB2312" w:hAnsi="仿宋" w:eastAsia="仿宋_GB2312"/>
          <w:color w:val="000000"/>
          <w:sz w:val="30"/>
          <w:szCs w:val="30"/>
        </w:rPr>
        <w:t>从调查研究与调研文章、教育公文处理、学校需要什么样的教研、学校发展与教研员核心引领四个方面入手，组织了系列教研员专业能力提升培训。设计了教科院LOG、PPT通用模板。开展教研员PPT、美篇、思维导图学习竞赛活动，教研员专业能力得到提升。</w:t>
      </w:r>
    </w:p>
    <w:p>
      <w:pPr>
        <w:ind w:firstLine="600" w:firstLineChars="200"/>
        <w:rPr>
          <w:rFonts w:ascii="黑体" w:hAnsi="黑体" w:eastAsia="黑体"/>
          <w:sz w:val="30"/>
          <w:szCs w:val="30"/>
        </w:rPr>
      </w:pPr>
      <w:r>
        <w:rPr>
          <w:rFonts w:hint="eastAsia" w:ascii="黑体" w:hAnsi="黑体" w:eastAsia="黑体"/>
          <w:sz w:val="30"/>
          <w:szCs w:val="30"/>
        </w:rPr>
        <w:t>二、以加强科研业务为抓手，外树单位形象</w:t>
      </w:r>
    </w:p>
    <w:p>
      <w:pPr>
        <w:ind w:firstLine="600" w:firstLineChars="200"/>
        <w:rPr>
          <w:rFonts w:hint="eastAsia" w:ascii="楷体_GB2312" w:hAnsi="楷体" w:eastAsia="楷体_GB2312"/>
          <w:b/>
          <w:sz w:val="30"/>
          <w:szCs w:val="30"/>
        </w:rPr>
      </w:pPr>
      <w:r>
        <w:rPr>
          <w:rFonts w:hint="eastAsia" w:ascii="楷体_GB2312" w:hAnsi="楷体" w:eastAsia="楷体_GB2312"/>
          <w:b/>
          <w:sz w:val="30"/>
          <w:szCs w:val="30"/>
        </w:rPr>
        <w:t>1.加强中考改革研究，持续推进义务教育课堂教学改革</w:t>
      </w:r>
    </w:p>
    <w:p>
      <w:pPr>
        <w:ind w:firstLine="600" w:firstLineChars="200"/>
        <w:rPr>
          <w:rFonts w:ascii="仿宋_GB2312" w:hAnsi="仿宋_GB2312" w:eastAsia="仿宋_GB2312"/>
          <w:sz w:val="30"/>
          <w:szCs w:val="30"/>
        </w:rPr>
      </w:pPr>
      <w:r>
        <w:rPr>
          <w:rFonts w:hint="eastAsia" w:ascii="仿宋_GB2312" w:hAnsi="楷体" w:eastAsia="仿宋_GB2312"/>
          <w:b/>
          <w:sz w:val="30"/>
          <w:szCs w:val="30"/>
        </w:rPr>
        <w:t>一是深入开展中考改革系列调查研究工作。</w:t>
      </w:r>
      <w:r>
        <w:rPr>
          <w:rFonts w:hint="eastAsia" w:ascii="仿宋_GB2312" w:hAnsi="楷体" w:eastAsia="仿宋_GB2312"/>
          <w:sz w:val="30"/>
          <w:szCs w:val="30"/>
        </w:rPr>
        <w:t>组织学习研究上海、北京等地中考试卷及方案，在多次进行初中毕业学业水平考试改革调研及座谈的基础上，初拟了《岳阳市初中毕业学业考试改革方案》。</w:t>
      </w:r>
      <w:r>
        <w:rPr>
          <w:rFonts w:hint="eastAsia" w:ascii="仿宋_GB2312" w:hAnsi="楷体" w:eastAsia="仿宋_GB2312"/>
          <w:b/>
          <w:sz w:val="30"/>
          <w:szCs w:val="30"/>
        </w:rPr>
        <w:t>二是深入推进义务教育课堂教学改革。</w:t>
      </w:r>
      <w:r>
        <w:rPr>
          <w:rFonts w:hint="eastAsia" w:ascii="仿宋_GB2312" w:hAnsi="楷体" w:eastAsia="仿宋_GB2312"/>
          <w:sz w:val="30"/>
          <w:szCs w:val="30"/>
        </w:rPr>
        <w:t>通过</w:t>
      </w:r>
      <w:r>
        <w:rPr>
          <w:rFonts w:hint="eastAsia" w:ascii="仿宋_GB2312" w:hAnsi="仿宋_GB2312" w:eastAsia="仿宋_GB2312"/>
          <w:sz w:val="30"/>
          <w:szCs w:val="30"/>
        </w:rPr>
        <w:t>打造区域课堂教学改革样本、全面推进课堂教学人人达标、加强备课组（教研组）建设、健全骨干教师示范教学制度、</w:t>
      </w:r>
      <w:r>
        <w:rPr>
          <w:rFonts w:hint="eastAsia" w:ascii="仿宋_GB2312" w:hAnsi="仿宋_GB2312" w:eastAsia="仿宋_GB2312" w:cs="Arial"/>
          <w:sz w:val="30"/>
          <w:szCs w:val="30"/>
        </w:rPr>
        <w:t>开展</w:t>
      </w:r>
      <w:r>
        <w:rPr>
          <w:rFonts w:hint="eastAsia" w:ascii="仿宋_GB2312" w:hAnsi="仿宋_GB2312" w:eastAsia="仿宋_GB2312" w:cs="宋体"/>
          <w:kern w:val="0"/>
          <w:sz w:val="30"/>
          <w:szCs w:val="30"/>
        </w:rPr>
        <w:t>教师课改能力提升培训、</w:t>
      </w:r>
      <w:r>
        <w:rPr>
          <w:rFonts w:hint="eastAsia" w:ascii="仿宋_GB2312" w:hAnsi="仿宋_GB2312" w:eastAsia="仿宋_GB2312"/>
          <w:sz w:val="30"/>
          <w:szCs w:val="30"/>
        </w:rPr>
        <w:t>建立区域教学质量监测机制等六大措施，</w:t>
      </w:r>
      <w:r>
        <w:rPr>
          <w:rFonts w:hint="eastAsia" w:ascii="仿宋_GB2312" w:hAnsi="仿宋" w:eastAsia="仿宋_GB2312"/>
          <w:sz w:val="30"/>
          <w:szCs w:val="30"/>
        </w:rPr>
        <w:t>逐步形成了平等课堂、民主课堂、幸福课堂等新的课堂教学模式。从2018年起，我院组织开展对全市以“发现、诊断、促进”为主题的义务教育课改回访调研，通过现场诊断、指导，发现并解决了课改推进中存在的问题，强化了实验校的区域示范效应</w:t>
      </w:r>
      <w:r>
        <w:rPr>
          <w:rFonts w:hint="eastAsia" w:ascii="仿宋_GB2312" w:hAnsi="仿宋" w:eastAsia="仿宋_GB2312" w:cs="仿宋_GB2312"/>
          <w:kern w:val="0"/>
          <w:sz w:val="30"/>
          <w:szCs w:val="30"/>
        </w:rPr>
        <w:t>。</w:t>
      </w:r>
      <w:r>
        <w:rPr>
          <w:rFonts w:hint="eastAsia" w:ascii="仿宋_GB2312" w:hAnsi="仿宋" w:eastAsia="仿宋_GB2312" w:cs="仿宋_GB2312"/>
          <w:b/>
          <w:kern w:val="0"/>
          <w:sz w:val="30"/>
          <w:szCs w:val="30"/>
        </w:rPr>
        <w:t>三是整体推进区域教研。</w:t>
      </w:r>
      <w:r>
        <w:rPr>
          <w:rFonts w:hint="eastAsia" w:ascii="仿宋_GB2312" w:hAnsi="仿宋" w:eastAsia="仿宋_GB2312" w:cs="仿宋_GB2312"/>
          <w:kern w:val="0"/>
          <w:sz w:val="30"/>
          <w:szCs w:val="30"/>
        </w:rPr>
        <w:t>建立市县区教研共同体，召开市县区学科教学工作会、举行城区义务教育阶段骨干教师示范教学暨课堂教学改革研讨活动等,推动教育科研辐射引领。</w:t>
      </w:r>
    </w:p>
    <w:p>
      <w:pPr>
        <w:ind w:firstLine="600" w:firstLineChars="200"/>
        <w:rPr>
          <w:rFonts w:ascii="楷体_GB2312" w:hAnsi="楷体" w:eastAsia="楷体_GB2312"/>
          <w:b/>
          <w:sz w:val="30"/>
          <w:szCs w:val="30"/>
        </w:rPr>
      </w:pPr>
      <w:r>
        <w:rPr>
          <w:rFonts w:hint="eastAsia" w:ascii="楷体_GB2312" w:hAnsi="楷体" w:eastAsia="楷体_GB2312"/>
          <w:b/>
          <w:sz w:val="30"/>
          <w:szCs w:val="30"/>
        </w:rPr>
        <w:t>2.加强新高考研究和复习备考工作，努力提高普通高中教学质量</w:t>
      </w:r>
    </w:p>
    <w:p>
      <w:pPr>
        <w:ind w:firstLine="600" w:firstLineChars="200"/>
        <w:rPr>
          <w:rFonts w:ascii="仿宋_GB2312" w:hAnsi="仿宋" w:eastAsia="仿宋_GB2312"/>
          <w:sz w:val="30"/>
          <w:szCs w:val="30"/>
        </w:rPr>
      </w:pPr>
      <w:r>
        <w:rPr>
          <w:rFonts w:hint="eastAsia" w:ascii="仿宋_GB2312" w:hAnsi="仿宋" w:eastAsia="仿宋_GB2312"/>
          <w:b/>
          <w:sz w:val="30"/>
          <w:szCs w:val="30"/>
        </w:rPr>
        <w:t>一是做好新高考前期准备。</w:t>
      </w:r>
      <w:r>
        <w:rPr>
          <w:rFonts w:hint="eastAsia" w:ascii="仿宋_GB2312" w:hAnsi="仿宋" w:eastAsia="仿宋_GB2312"/>
          <w:sz w:val="30"/>
          <w:szCs w:val="30"/>
        </w:rPr>
        <w:t>赴试点省份、地区考察，</w:t>
      </w:r>
      <w:r>
        <w:rPr>
          <w:rFonts w:hint="eastAsia" w:ascii="仿宋_GB2312" w:eastAsia="仿宋_GB2312"/>
          <w:sz w:val="30"/>
          <w:szCs w:val="30"/>
        </w:rPr>
        <w:t>研析新课程新高考，汇编</w:t>
      </w:r>
      <w:r>
        <w:rPr>
          <w:rFonts w:hint="eastAsia" w:ascii="仿宋_GB2312" w:eastAsia="仿宋_GB2312"/>
          <w:color w:val="000000" w:themeColor="text1"/>
          <w:sz w:val="30"/>
          <w:szCs w:val="30"/>
          <w14:textFill>
            <w14:solidFill>
              <w14:schemeClr w14:val="tx1"/>
            </w14:solidFill>
          </w14:textFill>
        </w:rPr>
        <w:t>《近年有关教育政策重要文件及中央领导讲话》</w:t>
      </w:r>
      <w:r>
        <w:rPr>
          <w:rFonts w:hint="eastAsia" w:ascii="仿宋_GB2312" w:eastAsia="仿宋_GB2312"/>
          <w:sz w:val="30"/>
          <w:szCs w:val="30"/>
        </w:rPr>
        <w:t>内部资料书籍；组织高中备课组长进行线上线下新课标培训、开展“新高考”研讨活动等。</w:t>
      </w:r>
      <w:r>
        <w:rPr>
          <w:rFonts w:hint="eastAsia" w:ascii="仿宋_GB2312" w:eastAsia="仿宋_GB2312"/>
          <w:b/>
          <w:sz w:val="30"/>
          <w:szCs w:val="30"/>
        </w:rPr>
        <w:t>二是</w:t>
      </w:r>
      <w:r>
        <w:rPr>
          <w:rFonts w:hint="eastAsia" w:ascii="仿宋_GB2312" w:hAnsi="仿宋" w:eastAsia="仿宋_GB2312"/>
          <w:b/>
          <w:bCs/>
          <w:color w:val="000000"/>
          <w:sz w:val="30"/>
          <w:szCs w:val="30"/>
        </w:rPr>
        <w:t>提高教学视导的实效性。</w:t>
      </w:r>
      <w:r>
        <w:rPr>
          <w:rFonts w:hint="eastAsia" w:ascii="仿宋_GB2312" w:hAnsi="仿宋" w:eastAsia="仿宋_GB2312"/>
          <w:bCs/>
          <w:color w:val="000000"/>
          <w:sz w:val="30"/>
          <w:szCs w:val="30"/>
        </w:rPr>
        <w:t>创新方式、丰富内容，深入了解新课标背景下的学科教学现状，及时发现优点及典型做法。</w:t>
      </w:r>
      <w:r>
        <w:rPr>
          <w:rFonts w:hint="eastAsia" w:ascii="仿宋_GB2312" w:hAnsi="仿宋" w:eastAsia="仿宋_GB2312"/>
          <w:b/>
          <w:bCs/>
          <w:color w:val="000000"/>
          <w:sz w:val="30"/>
          <w:szCs w:val="30"/>
        </w:rPr>
        <w:t>三是加强评价结果的运用。</w:t>
      </w:r>
      <w:r>
        <w:rPr>
          <w:rFonts w:hint="eastAsia" w:ascii="仿宋_GB2312" w:hAnsi="仿宋" w:eastAsia="仿宋_GB2312"/>
          <w:bCs/>
          <w:color w:val="000000"/>
          <w:sz w:val="30"/>
          <w:szCs w:val="30"/>
        </w:rPr>
        <w:t>针对视导、模考中发现的问题，</w:t>
      </w:r>
      <w:r>
        <w:rPr>
          <w:rFonts w:hint="eastAsia" w:ascii="仿宋_GB2312" w:hAnsi="仿宋" w:eastAsia="仿宋_GB2312"/>
          <w:sz w:val="30"/>
          <w:szCs w:val="30"/>
        </w:rPr>
        <w:t>组织教学研讨会、核心小组碰头会、迎考工作会、信息交流会等系列活动，用数据说话，不断提高复习迎考工作的针对性和有效性。</w:t>
      </w:r>
    </w:p>
    <w:p>
      <w:pPr>
        <w:ind w:firstLine="600" w:firstLineChars="200"/>
        <w:rPr>
          <w:rFonts w:ascii="楷体_GB2312" w:hAnsi="楷体" w:eastAsia="楷体_GB2312"/>
          <w:b/>
          <w:sz w:val="30"/>
          <w:szCs w:val="30"/>
        </w:rPr>
      </w:pPr>
      <w:r>
        <w:rPr>
          <w:rFonts w:hint="eastAsia" w:ascii="楷体_GB2312" w:hAnsi="楷体" w:eastAsia="楷体_GB2312"/>
          <w:b/>
          <w:sz w:val="30"/>
          <w:szCs w:val="30"/>
        </w:rPr>
        <w:t>3.加强内涵建设，不断规范中等职业学校教学行为</w:t>
      </w:r>
    </w:p>
    <w:p>
      <w:pPr>
        <w:ind w:firstLine="600" w:firstLineChars="200"/>
        <w:rPr>
          <w:rFonts w:ascii="仿宋_GB2312" w:hAnsi="楷体" w:eastAsia="仿宋_GB2312"/>
          <w:sz w:val="30"/>
          <w:szCs w:val="30"/>
        </w:rPr>
      </w:pPr>
      <w:r>
        <w:rPr>
          <w:rFonts w:hint="eastAsia" w:ascii="仿宋_GB2312" w:hAnsi="楷体" w:eastAsia="仿宋_GB2312"/>
          <w:b/>
          <w:sz w:val="30"/>
          <w:szCs w:val="30"/>
        </w:rPr>
        <w:t>一是</w:t>
      </w:r>
      <w:r>
        <w:rPr>
          <w:rFonts w:hint="eastAsia" w:ascii="仿宋_GB2312" w:eastAsia="仿宋_GB2312"/>
          <w:b/>
          <w:sz w:val="30"/>
          <w:szCs w:val="30"/>
        </w:rPr>
        <w:t>建立完善教学文件、标准。</w:t>
      </w:r>
      <w:r>
        <w:rPr>
          <w:rFonts w:hint="eastAsia" w:ascii="仿宋_GB2312" w:eastAsia="仿宋_GB2312"/>
          <w:sz w:val="30"/>
          <w:szCs w:val="30"/>
        </w:rPr>
        <w:t>从职业院校、行业企业中遴选专家，成立我市职业教育专家库，参与专业教学指导，制定人才培养方案、竞赛规程、技能抽查标准等。</w:t>
      </w:r>
      <w:r>
        <w:rPr>
          <w:rFonts w:hint="eastAsia" w:ascii="仿宋_GB2312" w:eastAsia="仿宋_GB2312"/>
          <w:b/>
          <w:sz w:val="30"/>
          <w:szCs w:val="30"/>
        </w:rPr>
        <w:t>二是加强国家、省市立项项目过程管理。</w:t>
      </w:r>
      <w:r>
        <w:rPr>
          <w:rFonts w:hint="eastAsia" w:ascii="仿宋_GB2312" w:eastAsia="仿宋_GB2312"/>
          <w:sz w:val="30"/>
          <w:szCs w:val="30"/>
        </w:rPr>
        <w:t>通过项目引领，提升中职学校专业、课程体系建设水平，提升人才培养质量。</w:t>
      </w:r>
      <w:r>
        <w:rPr>
          <w:rFonts w:hint="eastAsia" w:ascii="仿宋_GB2312" w:eastAsia="仿宋_GB2312"/>
          <w:b/>
          <w:sz w:val="30"/>
          <w:szCs w:val="30"/>
        </w:rPr>
        <w:t>三是坚持送教送研下校。</w:t>
      </w:r>
      <w:r>
        <w:rPr>
          <w:rFonts w:hint="eastAsia" w:ascii="仿宋_GB2312" w:eastAsia="仿宋_GB2312"/>
          <w:sz w:val="30"/>
          <w:szCs w:val="30"/>
        </w:rPr>
        <w:t>开展教学开放周、教研员下校蹲点等活动，组织教研员、专家库专家下到学校，开展教学工作诊断与改进视导，协助加强教研组（室）建设，精心开展富有特色的校本研修和学术交流活动。</w:t>
      </w:r>
      <w:r>
        <w:rPr>
          <w:rFonts w:hint="eastAsia" w:ascii="仿宋_GB2312" w:eastAsia="仿宋_GB2312"/>
          <w:b/>
          <w:sz w:val="30"/>
          <w:szCs w:val="30"/>
        </w:rPr>
        <w:t>四是加强质量评价。</w:t>
      </w:r>
      <w:r>
        <w:rPr>
          <w:rFonts w:hint="eastAsia" w:ascii="仿宋_GB2312" w:eastAsia="仿宋_GB2312"/>
          <w:sz w:val="30"/>
          <w:szCs w:val="30"/>
        </w:rPr>
        <w:t>组织开展常规教学督查、学生技能竞赛、学生技能抽查和综合素质测试、专业评估等，在此基础上汇总撰写《岳阳市中等职业学校质量年度报告》。</w:t>
      </w:r>
    </w:p>
    <w:p>
      <w:pPr>
        <w:ind w:firstLine="600" w:firstLineChars="200"/>
        <w:rPr>
          <w:rFonts w:hint="eastAsia" w:ascii="楷体_GB2312" w:hAnsi="楷体" w:eastAsia="楷体_GB2312"/>
          <w:b/>
          <w:sz w:val="30"/>
          <w:szCs w:val="30"/>
        </w:rPr>
      </w:pPr>
      <w:r>
        <w:rPr>
          <w:rFonts w:hint="eastAsia" w:ascii="楷体_GB2312" w:hAnsi="楷体" w:eastAsia="楷体_GB2312"/>
          <w:b/>
          <w:sz w:val="30"/>
          <w:szCs w:val="30"/>
        </w:rPr>
        <w:t>4.加强教育装备建设，着力推动“互联网+教育”深度融合</w:t>
      </w:r>
    </w:p>
    <w:p>
      <w:pPr>
        <w:ind w:firstLine="600" w:firstLineChars="200"/>
        <w:rPr>
          <w:rFonts w:ascii="仿宋_GB2312" w:hAnsi="仿宋" w:eastAsia="仿宋_GB2312" w:cs="宋体"/>
          <w:sz w:val="30"/>
          <w:szCs w:val="30"/>
        </w:rPr>
      </w:pPr>
      <w:r>
        <w:rPr>
          <w:rFonts w:hint="eastAsia" w:ascii="仿宋_GB2312" w:hAnsi="楷体" w:eastAsia="仿宋_GB2312"/>
          <w:b/>
          <w:sz w:val="30"/>
          <w:szCs w:val="30"/>
        </w:rPr>
        <w:t>一是加强建设规划。</w:t>
      </w:r>
      <w:r>
        <w:rPr>
          <w:rFonts w:hint="eastAsia" w:ascii="仿宋_GB2312" w:hAnsi="楷体" w:eastAsia="仿宋_GB2312"/>
          <w:sz w:val="30"/>
          <w:szCs w:val="30"/>
        </w:rPr>
        <w:t>通过调研，制定《岳阳市教育技术装备“十三五”发展规划》、《岳阳市教育信息化“十三五”发展规划（2016-2020年）》、《岳阳市教育信息化2.0行动计划（</w:t>
      </w:r>
      <w:r>
        <w:rPr>
          <w:rFonts w:hint="eastAsia" w:ascii="仿宋_GB2312" w:hAnsi="楷体" w:eastAsia="仿宋_GB2312"/>
          <w:sz w:val="30"/>
          <w:szCs w:val="30"/>
          <w:lang w:eastAsia="zh-CN"/>
        </w:rPr>
        <w:t>2020</w:t>
      </w:r>
      <w:r>
        <w:rPr>
          <w:rFonts w:hint="eastAsia" w:ascii="仿宋_GB2312" w:hAnsi="楷体" w:eastAsia="仿宋_GB2312"/>
          <w:sz w:val="30"/>
          <w:szCs w:val="30"/>
        </w:rPr>
        <w:t>-2023）（送审稿）》等。</w:t>
      </w:r>
      <w:r>
        <w:rPr>
          <w:rFonts w:hint="eastAsia" w:ascii="仿宋_GB2312" w:hAnsi="楷体" w:eastAsia="仿宋_GB2312"/>
          <w:b/>
          <w:sz w:val="30"/>
          <w:szCs w:val="30"/>
        </w:rPr>
        <w:t>二是加强建设过程管理。</w:t>
      </w:r>
      <w:r>
        <w:rPr>
          <w:rFonts w:hint="eastAsia" w:ascii="仿宋_GB2312" w:hAnsi="楷体" w:eastAsia="仿宋_GB2312"/>
          <w:sz w:val="30"/>
          <w:szCs w:val="30"/>
        </w:rPr>
        <w:t>强化学校监视责任，认真</w:t>
      </w:r>
      <w:r>
        <w:rPr>
          <w:rFonts w:hint="eastAsia" w:ascii="仿宋_GB2312" w:eastAsia="仿宋_GB2312"/>
          <w:sz w:val="30"/>
          <w:szCs w:val="30"/>
        </w:rPr>
        <w:t>做好施工日志记录；强化监理职责，跟班监工；强化我院工作人员监督责任，包片负责；规范验收环节，把好到货验收、试运行、初验、终验四道关；做好常规例行巡检,把好售后关。</w:t>
      </w:r>
      <w:r>
        <w:rPr>
          <w:rFonts w:hint="eastAsia" w:ascii="仿宋_GB2312" w:eastAsia="仿宋_GB2312"/>
          <w:b/>
          <w:sz w:val="30"/>
          <w:szCs w:val="30"/>
        </w:rPr>
        <w:t>三是加强教学装备和信息技术在教学中的应用。</w:t>
      </w:r>
      <w:r>
        <w:rPr>
          <w:rFonts w:hint="eastAsia" w:ascii="仿宋_GB2312" w:eastAsia="仿宋_GB2312"/>
          <w:sz w:val="30"/>
          <w:szCs w:val="30"/>
        </w:rPr>
        <w:t>通过组织</w:t>
      </w:r>
      <w:r>
        <w:rPr>
          <w:rFonts w:hint="eastAsia" w:ascii="仿宋_GB2312" w:hAnsi="仿宋" w:eastAsia="仿宋_GB2312" w:cs="宋体"/>
          <w:sz w:val="30"/>
          <w:szCs w:val="30"/>
        </w:rPr>
        <w:t>城区初中毕业学生理化生实验操作</w:t>
      </w:r>
      <w:r>
        <w:rPr>
          <w:rFonts w:hint="eastAsia" w:ascii="仿宋_GB2312" w:eastAsia="仿宋_GB2312"/>
          <w:sz w:val="30"/>
          <w:szCs w:val="30"/>
        </w:rPr>
        <w:t>和信息技术考查，组织</w:t>
      </w:r>
      <w:r>
        <w:rPr>
          <w:rFonts w:hint="eastAsia" w:ascii="仿宋_GB2312" w:hAnsi="仿宋" w:eastAsia="仿宋_GB2312" w:cs="宋体"/>
          <w:sz w:val="30"/>
          <w:szCs w:val="30"/>
        </w:rPr>
        <w:t>中学化学教师实验教学能手大赛、</w:t>
      </w:r>
      <w:r>
        <w:rPr>
          <w:rFonts w:hint="eastAsia" w:ascii="仿宋_GB2312" w:hAnsi="仿宋" w:eastAsia="仿宋_GB2312"/>
          <w:sz w:val="30"/>
          <w:szCs w:val="30"/>
        </w:rPr>
        <w:t>“一师一优课，一课一名师”等竞赛活动，组织</w:t>
      </w:r>
      <w:r>
        <w:rPr>
          <w:rFonts w:hint="eastAsia" w:ascii="仿宋_GB2312" w:hAnsi="仿宋" w:eastAsia="仿宋_GB2312" w:cs="宋体"/>
          <w:sz w:val="30"/>
          <w:szCs w:val="30"/>
        </w:rPr>
        <w:t>开展省市教育信息化试点示范项目建设，</w:t>
      </w:r>
      <w:r>
        <w:rPr>
          <w:rFonts w:hint="eastAsia" w:ascii="仿宋_GB2312" w:hAnsi="仿宋" w:eastAsia="仿宋_GB2312"/>
          <w:sz w:val="30"/>
          <w:szCs w:val="30"/>
        </w:rPr>
        <w:t>组织</w:t>
      </w:r>
      <w:r>
        <w:rPr>
          <w:rFonts w:hint="eastAsia" w:ascii="仿宋_GB2312" w:hAnsi="仿宋" w:eastAsia="仿宋_GB2312" w:cs="宋体"/>
          <w:sz w:val="30"/>
          <w:szCs w:val="30"/>
        </w:rPr>
        <w:t>网络研训、名师工作坊（室）、空间教学、翻转课堂、微课教学的应用试点和推广，创新课堂教学模式，促进信息技术与教育装备的广泛使用。</w:t>
      </w:r>
    </w:p>
    <w:p>
      <w:pPr>
        <w:ind w:firstLine="600" w:firstLineChars="200"/>
        <w:rPr>
          <w:rFonts w:hint="eastAsia" w:ascii="楷体_GB2312" w:hAnsi="楷体" w:eastAsia="楷体_GB2312"/>
          <w:b/>
          <w:sz w:val="30"/>
          <w:szCs w:val="30"/>
        </w:rPr>
      </w:pPr>
      <w:r>
        <w:rPr>
          <w:rFonts w:hint="eastAsia" w:ascii="楷体_GB2312" w:hAnsi="楷体" w:eastAsia="楷体_GB2312"/>
          <w:b/>
          <w:sz w:val="30"/>
          <w:szCs w:val="30"/>
        </w:rPr>
        <w:t>5.加强教师培训培养，积极推行研训一体的教师专业成长模式。</w:t>
      </w:r>
    </w:p>
    <w:p>
      <w:pPr>
        <w:ind w:firstLine="600" w:firstLineChars="200"/>
        <w:rPr>
          <w:rFonts w:ascii="仿宋_GB2312" w:hAnsi="楷体" w:eastAsia="仿宋_GB2312"/>
          <w:sz w:val="30"/>
          <w:szCs w:val="30"/>
        </w:rPr>
      </w:pPr>
      <w:r>
        <w:rPr>
          <w:rFonts w:hint="eastAsia" w:ascii="仿宋_GB2312" w:hAnsi="楷体" w:eastAsia="仿宋_GB2312"/>
          <w:sz w:val="30"/>
          <w:szCs w:val="30"/>
        </w:rPr>
        <w:t>在学科课程、教材培训中，</w:t>
      </w:r>
      <w:r>
        <w:rPr>
          <w:rFonts w:hint="eastAsia" w:ascii="楷体_GB2312" w:hAnsi="楷体" w:eastAsia="楷体_GB2312"/>
          <w:b/>
          <w:sz w:val="30"/>
          <w:szCs w:val="30"/>
        </w:rPr>
        <w:t>一是创新研训模式。</w:t>
      </w:r>
      <w:r>
        <w:rPr>
          <w:rFonts w:hint="eastAsia" w:ascii="仿宋_GB2312" w:hAnsi="楷体" w:eastAsia="仿宋_GB2312"/>
          <w:sz w:val="30"/>
          <w:szCs w:val="30"/>
        </w:rPr>
        <w:t>将教研与培训融为一体，</w:t>
      </w:r>
      <w:r>
        <w:rPr>
          <w:rFonts w:hint="eastAsia" w:ascii="仿宋_GB2312" w:hAnsi="仿宋" w:eastAsia="仿宋_GB2312" w:cs="仿宋"/>
          <w:kern w:val="0"/>
          <w:sz w:val="30"/>
          <w:szCs w:val="30"/>
        </w:rPr>
        <w:t>基于</w:t>
      </w:r>
      <w:r>
        <w:rPr>
          <w:rFonts w:hint="eastAsia" w:ascii="仿宋_GB2312" w:hAnsi="楷体" w:eastAsia="仿宋_GB2312"/>
          <w:sz w:val="30"/>
          <w:szCs w:val="30"/>
        </w:rPr>
        <w:t>教育信息化创新应用中心、</w:t>
      </w:r>
      <w:r>
        <w:rPr>
          <w:rFonts w:hint="eastAsia" w:ascii="仿宋_GB2312" w:hAnsi="仿宋" w:eastAsia="仿宋_GB2312" w:cs="仿宋"/>
          <w:kern w:val="0"/>
          <w:sz w:val="30"/>
          <w:szCs w:val="30"/>
        </w:rPr>
        <w:t>岳阳教育云平台、名师工作室（坊），开展专题讲座、集体备课、研讨交流等线上线下的学科教研活动，</w:t>
      </w:r>
      <w:r>
        <w:rPr>
          <w:rFonts w:hint="eastAsia" w:ascii="仿宋_GB2312" w:hAnsi="楷体" w:eastAsia="仿宋_GB2312"/>
          <w:sz w:val="30"/>
          <w:szCs w:val="30"/>
        </w:rPr>
        <w:t>以研促训，以训拓研，整体提升教师学科素养、教学教研能力。今年8月底，我院举办了全市普通高中教师暑期高级研修，全市各学科高一、高二教师3400多人参加了本次大集训，深受想学而缺乏学习机会的一线教师好评美评，号称新时期岳阳教育战线的“暑期全员大练兵”。</w:t>
      </w:r>
      <w:r>
        <w:rPr>
          <w:rFonts w:hint="eastAsia" w:ascii="楷体_GB2312" w:hAnsi="楷体" w:eastAsia="楷体_GB2312"/>
          <w:b/>
          <w:sz w:val="30"/>
          <w:szCs w:val="30"/>
        </w:rPr>
        <w:t>二是创新研训流程。</w:t>
      </w:r>
      <w:r>
        <w:rPr>
          <w:rFonts w:hint="eastAsia" w:ascii="仿宋_GB2312" w:hAnsi="楷体" w:eastAsia="仿宋_GB2312"/>
          <w:sz w:val="30"/>
          <w:szCs w:val="30"/>
        </w:rPr>
        <w:t>我们总结出“情感沟通-头脑风暴-小组交流-大组研讨-总结评价”的研训一般流程，在教师培训与教研活动中广泛应用，效果良好。今年7月份在长沙市举行的全省首届青年教师课堂片段教学竞赛中，我市派出语数英三个学科、小初高三个学段的共9名选手参赛，大获佳绩：一人斩获第一名并获湖南省五一劳动奖章，一人荣获一等奖第二名，其他选手均获二、三等奖及“湖南省教学能手”称号，成绩远远超出14个地州市的平均获奖比例。</w:t>
      </w:r>
      <w:r>
        <w:rPr>
          <w:rFonts w:hint="eastAsia" w:ascii="楷体_GB2312" w:hAnsi="楷体" w:eastAsia="楷体_GB2312"/>
          <w:b/>
          <w:sz w:val="30"/>
          <w:szCs w:val="30"/>
        </w:rPr>
        <w:t>三是创新研训机制。</w:t>
      </w:r>
      <w:r>
        <w:rPr>
          <w:rFonts w:hint="eastAsia" w:ascii="仿宋_GB2312" w:hAnsi="楷体" w:eastAsia="仿宋_GB2312"/>
          <w:sz w:val="30"/>
          <w:szCs w:val="30"/>
        </w:rPr>
        <w:t>通过基地学校和网络平台常态化、制度化的研修培训活动，培养了一大批骨干教师，促进了基层教师和学科教研员的深度磨合，市教科院也被学校、教师亲切地称作学校发展、专业成长的参谋部、导航仪。</w:t>
      </w:r>
    </w:p>
    <w:p>
      <w:pPr>
        <w:ind w:firstLine="600" w:firstLineChars="200"/>
        <w:rPr>
          <w:rFonts w:hint="eastAsia" w:ascii="楷体_GB2312" w:hAnsi="楷体" w:eastAsia="楷体_GB2312"/>
          <w:b/>
          <w:sz w:val="30"/>
          <w:szCs w:val="30"/>
        </w:rPr>
      </w:pPr>
      <w:r>
        <w:rPr>
          <w:rFonts w:hint="eastAsia" w:ascii="楷体_GB2312" w:hAnsi="楷体" w:eastAsia="楷体_GB2312"/>
          <w:b/>
          <w:sz w:val="30"/>
          <w:szCs w:val="30"/>
        </w:rPr>
        <w:t>6.加强课题研究，努力推动教育事业科学发展。</w:t>
      </w:r>
    </w:p>
    <w:p>
      <w:pPr>
        <w:ind w:firstLine="600" w:firstLineChars="200"/>
        <w:rPr>
          <w:rFonts w:hint="eastAsia" w:ascii="仿宋_GB2312" w:hAnsi="仿宋" w:eastAsia="仿宋_GB2312"/>
          <w:sz w:val="30"/>
          <w:szCs w:val="30"/>
        </w:rPr>
      </w:pPr>
      <w:r>
        <w:rPr>
          <w:rFonts w:hint="eastAsia" w:ascii="仿宋_GB2312" w:hAnsi="仿宋" w:eastAsia="仿宋_GB2312"/>
          <w:sz w:val="30"/>
          <w:szCs w:val="30"/>
        </w:rPr>
        <w:t>课题研究是教育科研工作的核心。</w:t>
      </w:r>
      <w:r>
        <w:rPr>
          <w:rFonts w:hint="eastAsia" w:ascii="仿宋_GB2312" w:hAnsi="仿宋" w:eastAsia="仿宋_GB2312"/>
          <w:b/>
          <w:sz w:val="30"/>
          <w:szCs w:val="30"/>
        </w:rPr>
        <w:t>一是加强课题申报指导。</w:t>
      </w:r>
      <w:r>
        <w:rPr>
          <w:rFonts w:hint="eastAsia" w:ascii="仿宋_GB2312" w:hAnsi="仿宋" w:eastAsia="仿宋_GB2312"/>
          <w:sz w:val="30"/>
          <w:szCs w:val="30"/>
        </w:rPr>
        <w:t>每年组织申报省级</w:t>
      </w:r>
      <w:r>
        <w:rPr>
          <w:rFonts w:hint="eastAsia" w:ascii="仿宋_GB2312" w:hAnsi="宋体" w:eastAsia="仿宋_GB2312"/>
          <w:sz w:val="30"/>
          <w:szCs w:val="30"/>
        </w:rPr>
        <w:t>课题</w:t>
      </w:r>
      <w:r>
        <w:rPr>
          <w:rFonts w:hint="eastAsia" w:ascii="仿宋_GB2312" w:hAnsi="仿宋" w:eastAsia="仿宋_GB2312"/>
          <w:sz w:val="30"/>
          <w:szCs w:val="30"/>
        </w:rPr>
        <w:t>（教育科学规划课题、</w:t>
      </w:r>
      <w:r>
        <w:rPr>
          <w:rFonts w:hint="eastAsia" w:ascii="仿宋_GB2312" w:hAnsi="宋体" w:eastAsia="仿宋_GB2312"/>
          <w:sz w:val="30"/>
          <w:szCs w:val="30"/>
        </w:rPr>
        <w:t>教育信息技术课题、教育科研工作者协会课题</w:t>
      </w:r>
      <w:r>
        <w:rPr>
          <w:rFonts w:hint="eastAsia" w:ascii="仿宋_GB2312" w:hAnsi="仿宋" w:eastAsia="仿宋_GB2312"/>
          <w:sz w:val="30"/>
          <w:szCs w:val="30"/>
        </w:rPr>
        <w:t>）50个以上。同时，坚持问题导向加强市级课题规划、立项工作，引导广大教师积极探索，解决教育教学实践中存在的瓶颈和难题。</w:t>
      </w:r>
      <w:r>
        <w:rPr>
          <w:rFonts w:hint="eastAsia" w:ascii="仿宋_GB2312" w:hAnsi="仿宋" w:eastAsia="仿宋_GB2312"/>
          <w:b/>
          <w:sz w:val="30"/>
          <w:szCs w:val="30"/>
        </w:rPr>
        <w:t>二是加强过程管理督导。</w:t>
      </w:r>
      <w:r>
        <w:rPr>
          <w:rFonts w:hint="eastAsia" w:ascii="仿宋_GB2312" w:hAnsi="仿宋" w:eastAsia="仿宋_GB2312"/>
          <w:sz w:val="30"/>
          <w:szCs w:val="30"/>
        </w:rPr>
        <w:t>认真组织开题论证、中期检查指导、结题验收，确保课题研究落到实处、取得实效。</w:t>
      </w:r>
      <w:r>
        <w:rPr>
          <w:rFonts w:hint="eastAsia" w:ascii="仿宋_GB2312" w:hAnsi="仿宋" w:eastAsia="仿宋_GB2312"/>
          <w:b/>
          <w:sz w:val="30"/>
          <w:szCs w:val="30"/>
        </w:rPr>
        <w:t>三是加强成果推广应用。</w:t>
      </w:r>
      <w:r>
        <w:rPr>
          <w:rFonts w:hint="eastAsia" w:ascii="仿宋_GB2312" w:hAnsi="仿宋" w:eastAsia="仿宋_GB2312"/>
          <w:sz w:val="30"/>
          <w:szCs w:val="30"/>
        </w:rPr>
        <w:t>通过成果发布会、现场观摩会、《中小学素质教育》杂志刊发等形式，在各级层面的区域内分享、推广应用教育教学改革成果。</w:t>
      </w:r>
    </w:p>
    <w:p>
      <w:pPr>
        <w:ind w:firstLine="600" w:firstLineChars="200"/>
        <w:rPr>
          <w:rFonts w:hint="eastAsia" w:ascii="仿宋_GB2312" w:hAnsi="仿宋" w:eastAsia="仿宋_GB2312"/>
          <w:sz w:val="30"/>
          <w:szCs w:val="30"/>
        </w:rPr>
      </w:pPr>
      <w:r>
        <w:rPr>
          <w:rFonts w:hint="eastAsia" w:ascii="仿宋_GB2312" w:hAnsi="仿宋" w:eastAsia="仿宋_GB2312"/>
          <w:color w:val="000000"/>
          <w:sz w:val="30"/>
          <w:szCs w:val="30"/>
          <w:lang w:eastAsia="zh-CN"/>
        </w:rPr>
        <w:t>2020</w:t>
      </w:r>
      <w:r>
        <w:rPr>
          <w:rFonts w:hint="eastAsia" w:ascii="仿宋_GB2312" w:hAnsi="仿宋" w:eastAsia="仿宋_GB2312"/>
          <w:color w:val="000000"/>
          <w:sz w:val="30"/>
          <w:szCs w:val="30"/>
        </w:rPr>
        <w:t>年，我们严抓内部管理，外树院所形象，提升科研地位，目标一致，齐心协力，全力推进全市各项教育科研与技术工作任务和目标的落实。同时，我们也迎来了我院发展壮大的好环境、好氛围、好条件！我们广大教研人一定要抓住这个历史最佳发展机遇，乘势而上，不负众望，在全国乃至全球风起云涌的教育改革浪潮中，将时代、社会、国家的幸运儿，变身为教育、教学、教研、教改的弄潮儿！。</w:t>
      </w:r>
    </w:p>
    <w:p>
      <w:pPr>
        <w:widowControl/>
        <w:jc w:val="left"/>
        <w:rPr>
          <w:rFonts w:cs="黑体" w:asciiTheme="minorEastAsia" w:hAnsiTheme="minorEastAsia"/>
          <w:color w:val="000000"/>
          <w:kern w:val="0"/>
          <w:sz w:val="32"/>
          <w:szCs w:val="32"/>
        </w:rPr>
      </w:pPr>
    </w:p>
    <w:p>
      <w:pPr>
        <w:jc w:val="center"/>
        <w:rPr>
          <w:rFonts w:hint="eastAsia"/>
          <w:sz w:val="32"/>
          <w:szCs w:val="32"/>
        </w:rPr>
      </w:pPr>
    </w:p>
    <w:p>
      <w:pPr>
        <w:jc w:val="center"/>
        <w:rPr>
          <w:rFonts w:hint="eastAsia" w:ascii="仿宋_GB2312" w:eastAsia="仿宋_GB2312"/>
          <w:sz w:val="28"/>
          <w:szCs w:val="32"/>
        </w:rPr>
      </w:pP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2000000000000000000"/>
    <w:charset w:val="86"/>
    <w:family w:val="script"/>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B96798"/>
    <w:multiLevelType w:val="singleLevel"/>
    <w:tmpl w:val="87B96798"/>
    <w:lvl w:ilvl="0" w:tentative="0">
      <w:start w:val="3"/>
      <w:numFmt w:val="decimal"/>
      <w:suff w:val="nothing"/>
      <w:lvlText w:val="%1、"/>
      <w:lvlJc w:val="left"/>
    </w:lvl>
  </w:abstractNum>
  <w:abstractNum w:abstractNumId="1">
    <w:nsid w:val="9D93E1D0"/>
    <w:multiLevelType w:val="singleLevel"/>
    <w:tmpl w:val="9D93E1D0"/>
    <w:lvl w:ilvl="0" w:tentative="0">
      <w:start w:val="1"/>
      <w:numFmt w:val="decimal"/>
      <w:suff w:val="nothing"/>
      <w:lvlText w:val="%1、"/>
      <w:lvlJc w:val="left"/>
      <w:pPr>
        <w:ind w:left="410"/>
      </w:p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5DD76F7"/>
    <w:multiLevelType w:val="singleLevel"/>
    <w:tmpl w:val="45DD76F7"/>
    <w:lvl w:ilvl="0" w:tentative="0">
      <w:start w:val="333"/>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41E3F"/>
    <w:rsid w:val="00055DAA"/>
    <w:rsid w:val="00061F7B"/>
    <w:rsid w:val="000658A3"/>
    <w:rsid w:val="00074155"/>
    <w:rsid w:val="000A3F69"/>
    <w:rsid w:val="000E3EB2"/>
    <w:rsid w:val="00103957"/>
    <w:rsid w:val="00152C6D"/>
    <w:rsid w:val="00162D39"/>
    <w:rsid w:val="001651D8"/>
    <w:rsid w:val="001678BD"/>
    <w:rsid w:val="00185DB4"/>
    <w:rsid w:val="001A67DB"/>
    <w:rsid w:val="001C3C29"/>
    <w:rsid w:val="001D4F1A"/>
    <w:rsid w:val="001D51E5"/>
    <w:rsid w:val="001E080D"/>
    <w:rsid w:val="001E53D0"/>
    <w:rsid w:val="001F0C3B"/>
    <w:rsid w:val="00202C82"/>
    <w:rsid w:val="00210B4D"/>
    <w:rsid w:val="00214427"/>
    <w:rsid w:val="00226CB7"/>
    <w:rsid w:val="00264552"/>
    <w:rsid w:val="00264EF9"/>
    <w:rsid w:val="00265724"/>
    <w:rsid w:val="0027426B"/>
    <w:rsid w:val="002D7169"/>
    <w:rsid w:val="002E0A30"/>
    <w:rsid w:val="003130C4"/>
    <w:rsid w:val="00316C4B"/>
    <w:rsid w:val="0032192B"/>
    <w:rsid w:val="003479BD"/>
    <w:rsid w:val="00353197"/>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B74B2"/>
    <w:rsid w:val="005D4D55"/>
    <w:rsid w:val="005E2CFB"/>
    <w:rsid w:val="005F3D1C"/>
    <w:rsid w:val="0062378F"/>
    <w:rsid w:val="00641842"/>
    <w:rsid w:val="00651EEC"/>
    <w:rsid w:val="00691E8C"/>
    <w:rsid w:val="006A22C4"/>
    <w:rsid w:val="006A351B"/>
    <w:rsid w:val="006B0422"/>
    <w:rsid w:val="006C1B53"/>
    <w:rsid w:val="006D1B2F"/>
    <w:rsid w:val="006D7730"/>
    <w:rsid w:val="006E5284"/>
    <w:rsid w:val="006F3EB5"/>
    <w:rsid w:val="00702E34"/>
    <w:rsid w:val="00704395"/>
    <w:rsid w:val="00717006"/>
    <w:rsid w:val="00717621"/>
    <w:rsid w:val="00720FF1"/>
    <w:rsid w:val="00727A53"/>
    <w:rsid w:val="00770C9A"/>
    <w:rsid w:val="00787B42"/>
    <w:rsid w:val="007C4539"/>
    <w:rsid w:val="007F3657"/>
    <w:rsid w:val="00812ED5"/>
    <w:rsid w:val="008277D9"/>
    <w:rsid w:val="0084478C"/>
    <w:rsid w:val="0086638C"/>
    <w:rsid w:val="0087709D"/>
    <w:rsid w:val="008A3E8D"/>
    <w:rsid w:val="009237C4"/>
    <w:rsid w:val="00944C48"/>
    <w:rsid w:val="00950252"/>
    <w:rsid w:val="00967F5D"/>
    <w:rsid w:val="009A0F95"/>
    <w:rsid w:val="009B3ADF"/>
    <w:rsid w:val="009C3B52"/>
    <w:rsid w:val="009E6817"/>
    <w:rsid w:val="009E6E9A"/>
    <w:rsid w:val="00A01D2B"/>
    <w:rsid w:val="00A42218"/>
    <w:rsid w:val="00A63A5D"/>
    <w:rsid w:val="00A70249"/>
    <w:rsid w:val="00A70B02"/>
    <w:rsid w:val="00A71D9F"/>
    <w:rsid w:val="00A92E9F"/>
    <w:rsid w:val="00B33BEA"/>
    <w:rsid w:val="00B352B8"/>
    <w:rsid w:val="00B57C9F"/>
    <w:rsid w:val="00B63572"/>
    <w:rsid w:val="00B845B3"/>
    <w:rsid w:val="00B85D8B"/>
    <w:rsid w:val="00BB4A40"/>
    <w:rsid w:val="00BD6C3E"/>
    <w:rsid w:val="00BE3674"/>
    <w:rsid w:val="00C10681"/>
    <w:rsid w:val="00C3049A"/>
    <w:rsid w:val="00C31B1E"/>
    <w:rsid w:val="00C7185A"/>
    <w:rsid w:val="00C77645"/>
    <w:rsid w:val="00CE04C3"/>
    <w:rsid w:val="00CE76A0"/>
    <w:rsid w:val="00D05F0E"/>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45E0CE9"/>
    <w:rsid w:val="076B128A"/>
    <w:rsid w:val="09DD3B77"/>
    <w:rsid w:val="155742D5"/>
    <w:rsid w:val="15F43F51"/>
    <w:rsid w:val="3425222B"/>
    <w:rsid w:val="398B4159"/>
    <w:rsid w:val="3AB5211B"/>
    <w:rsid w:val="3D69366C"/>
    <w:rsid w:val="42067B17"/>
    <w:rsid w:val="494A0A3E"/>
    <w:rsid w:val="4DFF3B60"/>
    <w:rsid w:val="52DC2402"/>
    <w:rsid w:val="572E2FB9"/>
    <w:rsid w:val="598D5D03"/>
    <w:rsid w:val="5C5B4D66"/>
    <w:rsid w:val="70384C40"/>
    <w:rsid w:val="7D012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54B4B3-B679-49CD-A354-617168D1989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2284</Words>
  <Characters>13022</Characters>
  <Lines>108</Lines>
  <Paragraphs>30</Paragraphs>
  <TotalTime>2</TotalTime>
  <ScaleCrop>false</ScaleCrop>
  <LinksUpToDate>false</LinksUpToDate>
  <CharactersWithSpaces>15276</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Administrator</cp:lastModifiedBy>
  <cp:lastPrinted>2021-07-28T00:12:00Z</cp:lastPrinted>
  <dcterms:modified xsi:type="dcterms:W3CDTF">2022-04-19T02:21:35Z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ies>
</file>