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岳阳市第十中学</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rPr>
          <w:sz w:val="32"/>
          <w:szCs w:val="32"/>
        </w:rPr>
      </w:pPr>
      <w:r>
        <w:rPr>
          <w:rFonts w:hint="eastAsia"/>
          <w:sz w:val="32"/>
          <w:szCs w:val="32"/>
        </w:rPr>
        <w:t xml:space="preserve"> </w:t>
      </w: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第一部分岳阳市第十中学概况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岳阳市第十中学概况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pStyle w:val="11"/>
        <w:snapToGrid w:val="0"/>
        <w:spacing w:line="520" w:lineRule="exact"/>
        <w:ind w:left="720" w:firstLine="0" w:firstLineChars="0"/>
        <w:rPr>
          <w:rFonts w:ascii="仿宋_GB2312" w:hAnsi="仿宋" w:eastAsia="仿宋_GB2312" w:cs="Times New Roman"/>
          <w:sz w:val="32"/>
          <w:szCs w:val="32"/>
        </w:rPr>
      </w:pPr>
      <w:r>
        <w:rPr>
          <w:rFonts w:hint="eastAsia" w:cs="黑体" w:asciiTheme="minorEastAsia" w:hAnsiTheme="minorEastAsia" w:eastAsiaTheme="minorEastAsia"/>
          <w:color w:val="000000"/>
          <w:kern w:val="0"/>
          <w:sz w:val="32"/>
          <w:szCs w:val="32"/>
          <w:lang w:val="en-US" w:eastAsia="zh-CN" w:bidi="ar-SA"/>
        </w:rPr>
        <w:t>从事初中教育教学工作。</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hd w:val="clear" w:color="auto" w:fill="FFFFFF"/>
        <w:spacing w:line="540" w:lineRule="atLeast"/>
        <w:ind w:firstLine="63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（一）内设机构设置。岳阳市第十中学是事业单位，隶属岳阳市</w:t>
      </w:r>
      <w:r>
        <w:rPr>
          <w:rFonts w:hint="eastAsia" w:cs="黑体" w:asciiTheme="minorEastAsia" w:hAnsiTheme="minorEastAsia"/>
          <w:color w:val="000000"/>
          <w:kern w:val="0"/>
          <w:sz w:val="32"/>
          <w:szCs w:val="32"/>
          <w:lang w:val="en-US" w:eastAsia="zh-CN" w:bidi="ar-SA"/>
        </w:rPr>
        <w:t>教育体育</w:t>
      </w:r>
      <w:r>
        <w:rPr>
          <w:rFonts w:hint="eastAsia" w:cs="黑体" w:asciiTheme="minorEastAsia" w:hAnsiTheme="minorEastAsia" w:eastAsiaTheme="minorEastAsia"/>
          <w:color w:val="000000"/>
          <w:kern w:val="0"/>
          <w:sz w:val="32"/>
          <w:szCs w:val="32"/>
          <w:lang w:val="en-US" w:eastAsia="zh-CN" w:bidi="ar-SA"/>
        </w:rPr>
        <w:t>局，内设机构包括：办公室、教务处、政教处、总务处等。执行事业单位的会计制度。</w:t>
      </w:r>
      <w:bookmarkStart w:id="2" w:name="_GoBack"/>
      <w:bookmarkEnd w:id="2"/>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（二）决算单位构成。岳阳市第十中学2020年部门决算公开单位构成为岳阳市第十中本级，是岳阳市教育体局的二级机构。</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Arial"/>
                <w:color w:val="000000"/>
                <w:kern w:val="0"/>
                <w:sz w:val="20"/>
                <w:szCs w:val="20"/>
              </w:rPr>
              <w:t xml:space="preserve">岳阳市第十中学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r>
              <w:rPr>
                <w:rFonts w:hint="eastAsia" w:cs="Arial"/>
                <w:color w:val="000000"/>
                <w:sz w:val="22"/>
              </w:rPr>
              <w:t>2,496.83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10.00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2223.39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187.66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ascii="宋体" w:hAnsi="宋体" w:eastAsia="宋体" w:cs="宋体"/>
                <w:kern w:val="0"/>
                <w:sz w:val="22"/>
              </w:rPr>
              <w:t>130.97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十九、住房保障支出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138.21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2506.83</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2690.23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194.85</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11.45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2701.68</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2701.68</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857" w:type="dxa"/>
        <w:jc w:val="center"/>
        <w:tblLayout w:type="fixed"/>
        <w:tblCellMar>
          <w:top w:w="0" w:type="dxa"/>
          <w:left w:w="0" w:type="dxa"/>
          <w:bottom w:w="0" w:type="dxa"/>
          <w:right w:w="0" w:type="dxa"/>
        </w:tblCellMar>
      </w:tblPr>
      <w:tblGrid>
        <w:gridCol w:w="1057"/>
        <w:gridCol w:w="3678"/>
        <w:gridCol w:w="1488"/>
        <w:gridCol w:w="1636"/>
        <w:gridCol w:w="1636"/>
        <w:gridCol w:w="1488"/>
        <w:gridCol w:w="1190"/>
        <w:gridCol w:w="1487"/>
        <w:gridCol w:w="973"/>
        <w:gridCol w:w="224"/>
      </w:tblGrid>
      <w:tr>
        <w:tblPrEx>
          <w:tblCellMar>
            <w:top w:w="0" w:type="dxa"/>
            <w:left w:w="0" w:type="dxa"/>
            <w:bottom w:w="0" w:type="dxa"/>
            <w:right w:w="0" w:type="dxa"/>
          </w:tblCellMar>
        </w:tblPrEx>
        <w:trPr>
          <w:gridAfter w:val="1"/>
          <w:wAfter w:w="224" w:type="dxa"/>
          <w:trHeight w:val="435" w:hRule="atLeast"/>
          <w:jc w:val="center"/>
        </w:trPr>
        <w:tc>
          <w:tcPr>
            <w:tcW w:w="14633" w:type="dxa"/>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224" w:type="dxa"/>
          <w:trHeight w:val="285" w:hRule="atLeast"/>
          <w:jc w:val="center"/>
        </w:trPr>
        <w:tc>
          <w:tcPr>
            <w:tcW w:w="14633" w:type="dxa"/>
            <w:gridSpan w:val="9"/>
            <w:tcBorders>
              <w:top w:val="nil"/>
              <w:left w:val="nil"/>
              <w:bottom w:val="nil"/>
              <w:right w:val="nil"/>
            </w:tcBorders>
            <w:shd w:val="clear" w:color="000000" w:fill="FFFFFF"/>
            <w:noWrap/>
            <w:tcMar>
              <w:top w:w="15" w:type="dxa"/>
              <w:left w:w="15" w:type="dxa"/>
              <w:bottom w:w="0" w:type="dxa"/>
              <w:right w:w="15" w:type="dxa"/>
            </w:tcMar>
            <w:vAlign w:val="center"/>
          </w:tcPr>
          <w:p>
            <w:pPr>
              <w:wordWrap w:val="0"/>
              <w:jc w:val="right"/>
              <w:rPr>
                <w:rFonts w:ascii="宋体" w:hAnsi="宋体" w:eastAsia="宋体" w:cs="宋体"/>
                <w:color w:val="000000"/>
                <w:sz w:val="20"/>
                <w:szCs w:val="20"/>
              </w:rPr>
            </w:pPr>
            <w:r>
              <w:rPr>
                <w:rFonts w:hint="eastAsia"/>
                <w:color w:val="000000"/>
                <w:sz w:val="20"/>
                <w:szCs w:val="20"/>
              </w:rPr>
              <w:t xml:space="preserve">   部门：</w:t>
            </w:r>
            <w:r>
              <w:rPr>
                <w:rFonts w:hint="eastAsia" w:ascii="宋体" w:hAnsi="宋体" w:eastAsia="宋体" w:cs="Arial"/>
                <w:color w:val="000000"/>
                <w:kern w:val="0"/>
                <w:sz w:val="20"/>
                <w:szCs w:val="20"/>
              </w:rPr>
              <w:t xml:space="preserve">岳阳市第十中学   </w:t>
            </w:r>
            <w:r>
              <w:rPr>
                <w:rFonts w:hint="eastAsia"/>
                <w:color w:val="000000"/>
                <w:sz w:val="20"/>
                <w:szCs w:val="20"/>
              </w:rPr>
              <w:t xml:space="preserve">                                                                                                               公开02表</w:t>
            </w:r>
          </w:p>
        </w:tc>
      </w:tr>
      <w:tr>
        <w:tblPrEx>
          <w:tblCellMar>
            <w:top w:w="0" w:type="dxa"/>
            <w:left w:w="0" w:type="dxa"/>
            <w:bottom w:w="0" w:type="dxa"/>
            <w:right w:w="0" w:type="dxa"/>
          </w:tblCellMar>
        </w:tblPrEx>
        <w:trPr>
          <w:gridAfter w:val="1"/>
          <w:wAfter w:w="224" w:type="dxa"/>
          <w:trHeight w:val="285" w:hRule="atLeast"/>
          <w:jc w:val="center"/>
        </w:trPr>
        <w:tc>
          <w:tcPr>
            <w:tcW w:w="14633" w:type="dxa"/>
            <w:gridSpan w:val="9"/>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金额单位：万元</w:t>
            </w:r>
          </w:p>
        </w:tc>
      </w:tr>
      <w:tr>
        <w:tblPrEx>
          <w:tblCellMar>
            <w:top w:w="0" w:type="dxa"/>
            <w:left w:w="108" w:type="dxa"/>
            <w:bottom w:w="0" w:type="dxa"/>
            <w:right w:w="108" w:type="dxa"/>
          </w:tblCellMar>
        </w:tblPrEx>
        <w:trPr>
          <w:trHeight w:val="308" w:hRule="atLeast"/>
          <w:jc w:val="center"/>
        </w:trPr>
        <w:tc>
          <w:tcPr>
            <w:tcW w:w="4735" w:type="dxa"/>
            <w:gridSpan w:val="2"/>
            <w:tcBorders>
              <w:top w:val="single" w:color="auto" w:sz="4" w:space="0"/>
              <w:left w:val="single" w:color="000000" w:sz="4" w:space="0"/>
              <w:bottom w:val="single" w:color="000000" w:sz="4" w:space="0"/>
              <w:right w:val="single" w:color="auto" w:sz="4" w:space="0"/>
            </w:tcBorders>
            <w:shd w:val="clear" w:color="auto" w:fill="auto"/>
            <w:noWrap/>
            <w:vAlign w:val="center"/>
          </w:tcPr>
          <w:p>
            <w:pPr>
              <w:widowControl/>
              <w:jc w:val="center"/>
              <w:rPr>
                <w:rFonts w:ascii="宋体" w:hAnsi="宋体" w:eastAsia="宋体" w:cs="Arial"/>
                <w:color w:val="000000"/>
                <w:kern w:val="0"/>
                <w:sz w:val="22"/>
              </w:rPr>
            </w:pPr>
            <w:r>
              <w:rPr>
                <w:rFonts w:hint="eastAsia"/>
              </w:rPr>
              <w:t>项    目</w:t>
            </w:r>
          </w:p>
        </w:tc>
        <w:tc>
          <w:tcPr>
            <w:tcW w:w="1488"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本年收入合计</w:t>
            </w:r>
          </w:p>
        </w:tc>
        <w:tc>
          <w:tcPr>
            <w:tcW w:w="1636"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财政拨款收入</w:t>
            </w:r>
          </w:p>
        </w:tc>
        <w:tc>
          <w:tcPr>
            <w:tcW w:w="1636"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上级补助收入</w:t>
            </w:r>
          </w:p>
        </w:tc>
        <w:tc>
          <w:tcPr>
            <w:tcW w:w="1488"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事业收入</w:t>
            </w:r>
          </w:p>
        </w:tc>
        <w:tc>
          <w:tcPr>
            <w:tcW w:w="1190"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经营收入</w:t>
            </w:r>
          </w:p>
        </w:tc>
        <w:tc>
          <w:tcPr>
            <w:tcW w:w="1487"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附属单位上缴收入</w:t>
            </w:r>
          </w:p>
        </w:tc>
        <w:tc>
          <w:tcPr>
            <w:tcW w:w="1197" w:type="dxa"/>
            <w:gridSpan w:val="2"/>
            <w:vMerge w:val="restart"/>
            <w:tcBorders>
              <w:top w:val="single" w:color="auto" w:sz="4" w:space="0"/>
              <w:left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其他收入</w:t>
            </w:r>
          </w:p>
        </w:tc>
      </w:tr>
      <w:tr>
        <w:tblPrEx>
          <w:tblCellMar>
            <w:top w:w="0" w:type="dxa"/>
            <w:left w:w="108" w:type="dxa"/>
            <w:bottom w:w="0" w:type="dxa"/>
            <w:right w:w="108" w:type="dxa"/>
          </w:tblCellMar>
        </w:tblPrEx>
        <w:trPr>
          <w:trHeight w:val="308" w:hRule="atLeast"/>
          <w:jc w:val="center"/>
        </w:trPr>
        <w:tc>
          <w:tcPr>
            <w:tcW w:w="105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4"/>
                <w:szCs w:val="24"/>
              </w:rPr>
            </w:pPr>
            <w:r>
              <w:rPr>
                <w:rFonts w:hint="eastAsia"/>
              </w:rPr>
              <w:t>功能分类科目编码</w:t>
            </w:r>
          </w:p>
        </w:tc>
        <w:tc>
          <w:tcPr>
            <w:tcW w:w="3678" w:type="dxa"/>
            <w:tcBorders>
              <w:top w:val="single" w:color="auto" w:sz="4" w:space="0"/>
              <w:left w:val="nil"/>
              <w:bottom w:val="single" w:color="000000"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科目名称</w:t>
            </w:r>
          </w:p>
        </w:tc>
        <w:tc>
          <w:tcPr>
            <w:tcW w:w="1488" w:type="dxa"/>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p>
        </w:tc>
        <w:tc>
          <w:tcPr>
            <w:tcW w:w="1636" w:type="dxa"/>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p>
        </w:tc>
        <w:tc>
          <w:tcPr>
            <w:tcW w:w="1636" w:type="dxa"/>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p>
        </w:tc>
        <w:tc>
          <w:tcPr>
            <w:tcW w:w="1488" w:type="dxa"/>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p>
        </w:tc>
        <w:tc>
          <w:tcPr>
            <w:tcW w:w="1190" w:type="dxa"/>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p>
        </w:tc>
        <w:tc>
          <w:tcPr>
            <w:tcW w:w="1487" w:type="dxa"/>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p>
        </w:tc>
        <w:tc>
          <w:tcPr>
            <w:tcW w:w="1197"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4735" w:type="dxa"/>
            <w:gridSpan w:val="2"/>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栏次</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2</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3</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4</w:t>
            </w:r>
          </w:p>
        </w:tc>
        <w:tc>
          <w:tcPr>
            <w:tcW w:w="11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5</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6</w:t>
            </w:r>
          </w:p>
        </w:tc>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7</w:t>
            </w:r>
          </w:p>
        </w:tc>
      </w:tr>
      <w:tr>
        <w:tblPrEx>
          <w:tblCellMar>
            <w:top w:w="0" w:type="dxa"/>
            <w:left w:w="108" w:type="dxa"/>
            <w:bottom w:w="0" w:type="dxa"/>
            <w:right w:w="108" w:type="dxa"/>
          </w:tblCellMar>
        </w:tblPrEx>
        <w:trPr>
          <w:trHeight w:val="308" w:hRule="atLeast"/>
          <w:jc w:val="center"/>
        </w:trPr>
        <w:tc>
          <w:tcPr>
            <w:tcW w:w="4735" w:type="dxa"/>
            <w:gridSpan w:val="2"/>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合计</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2,506.83</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2,506.83</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3678" w:type="dxa"/>
            <w:tcBorders>
              <w:top w:val="single" w:color="auto" w:sz="4" w:space="0"/>
              <w:left w:val="nil"/>
              <w:bottom w:val="single" w:color="000000" w:sz="4" w:space="0"/>
              <w:right w:val="single" w:color="auto"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2,039.99</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2,039.99</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3678" w:type="dxa"/>
            <w:tcBorders>
              <w:top w:val="nil"/>
              <w:left w:val="nil"/>
              <w:bottom w:val="single" w:color="000000" w:sz="4" w:space="0"/>
              <w:right w:val="single" w:color="auto"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1,388.75</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1,388.75</w:t>
            </w:r>
          </w:p>
        </w:tc>
        <w:tc>
          <w:tcPr>
            <w:tcW w:w="1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2050203</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初中教育</w:t>
            </w:r>
          </w:p>
        </w:tc>
        <w:tc>
          <w:tcPr>
            <w:tcW w:w="1488"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1,245.15</w:t>
            </w:r>
          </w:p>
        </w:tc>
        <w:tc>
          <w:tcPr>
            <w:tcW w:w="1636"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1,245.15</w:t>
            </w:r>
          </w:p>
        </w:tc>
        <w:tc>
          <w:tcPr>
            <w:tcW w:w="1636"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single" w:color="auto" w:sz="4" w:space="0"/>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143.60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143.60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651.24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651.24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其他教育费附加安排的支出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651.24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651.24</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187.66</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187.66</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85.29</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85.29</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2101103</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彩票公益金安排的支出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105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2296003</w:t>
            </w:r>
          </w:p>
        </w:tc>
        <w:tc>
          <w:tcPr>
            <w:tcW w:w="367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用于体育事业的彩票公益金支出</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97"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bl>
    <w:p>
      <w:r>
        <w:rPr>
          <w:rFonts w:hint="eastAsia"/>
        </w:rPr>
        <w:t>注：本表反映部门本年度取得的各项收入情况。</w:t>
      </w:r>
    </w:p>
    <w:tbl>
      <w:tblPr>
        <w:tblStyle w:val="5"/>
        <w:tblW w:w="14757" w:type="dxa"/>
        <w:tblInd w:w="93" w:type="dxa"/>
        <w:tblLayout w:type="fixed"/>
        <w:tblCellMar>
          <w:top w:w="0" w:type="dxa"/>
          <w:left w:w="108" w:type="dxa"/>
          <w:bottom w:w="0" w:type="dxa"/>
          <w:right w:w="108" w:type="dxa"/>
        </w:tblCellMar>
      </w:tblPr>
      <w:tblGrid>
        <w:gridCol w:w="1308"/>
        <w:gridCol w:w="4094"/>
        <w:gridCol w:w="1641"/>
        <w:gridCol w:w="1641"/>
        <w:gridCol w:w="1642"/>
        <w:gridCol w:w="1596"/>
        <w:gridCol w:w="1358"/>
        <w:gridCol w:w="1477"/>
      </w:tblGrid>
      <w:tr>
        <w:tblPrEx>
          <w:tblCellMar>
            <w:top w:w="0" w:type="dxa"/>
            <w:left w:w="108" w:type="dxa"/>
            <w:bottom w:w="0" w:type="dxa"/>
            <w:right w:w="108" w:type="dxa"/>
          </w:tblCellMar>
        </w:tblPrEx>
        <w:trPr>
          <w:trHeight w:val="390" w:hRule="atLeast"/>
        </w:trPr>
        <w:tc>
          <w:tcPr>
            <w:tcW w:w="14757" w:type="dxa"/>
            <w:gridSpan w:val="8"/>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Times New Roman" w:hAnsi="Times New Roman" w:eastAsia="黑体" w:cs="Times New Roman"/>
                <w:bCs/>
                <w:kern w:val="0"/>
                <w:sz w:val="32"/>
                <w:szCs w:val="32"/>
              </w:rPr>
              <w:t>支出决算表</w:t>
            </w:r>
          </w:p>
        </w:tc>
      </w:tr>
      <w:tr>
        <w:tblPrEx>
          <w:tblCellMar>
            <w:top w:w="0" w:type="dxa"/>
            <w:left w:w="108" w:type="dxa"/>
            <w:bottom w:w="0" w:type="dxa"/>
            <w:right w:w="108" w:type="dxa"/>
          </w:tblCellMar>
        </w:tblPrEx>
        <w:trPr>
          <w:trHeight w:val="255" w:hRule="atLeast"/>
        </w:trPr>
        <w:tc>
          <w:tcPr>
            <w:tcW w:w="14757" w:type="dxa"/>
            <w:gridSpan w:val="8"/>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14757" w:type="dxa"/>
            <w:gridSpan w:val="8"/>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部门：岳阳市第十中学                                                                                                               金额单位：万元</w:t>
            </w:r>
          </w:p>
        </w:tc>
      </w:tr>
      <w:tr>
        <w:tblPrEx>
          <w:tblCellMar>
            <w:top w:w="0" w:type="dxa"/>
            <w:left w:w="108" w:type="dxa"/>
            <w:bottom w:w="0" w:type="dxa"/>
            <w:right w:w="108" w:type="dxa"/>
          </w:tblCellMar>
        </w:tblPrEx>
        <w:trPr>
          <w:trHeight w:val="312" w:hRule="atLeast"/>
        </w:trPr>
        <w:tc>
          <w:tcPr>
            <w:tcW w:w="54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641" w:type="dxa"/>
            <w:vMerge w:val="restart"/>
            <w:tcBorders>
              <w:top w:val="nil"/>
              <w:left w:val="nil"/>
              <w:right w:val="single" w:color="000000" w:sz="4" w:space="0"/>
            </w:tcBorders>
            <w:shd w:val="clear" w:color="auto" w:fill="auto"/>
            <w:vAlign w:val="center"/>
          </w:tcPr>
          <w:p>
            <w:pPr>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641" w:type="dxa"/>
            <w:vMerge w:val="restart"/>
            <w:tcBorders>
              <w:top w:val="nil"/>
              <w:left w:val="nil"/>
              <w:right w:val="single" w:color="000000" w:sz="4" w:space="0"/>
            </w:tcBorders>
            <w:shd w:val="clear" w:color="auto" w:fill="auto"/>
            <w:vAlign w:val="center"/>
          </w:tcPr>
          <w:p>
            <w:pPr>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642" w:type="dxa"/>
            <w:vMerge w:val="restart"/>
            <w:tcBorders>
              <w:top w:val="nil"/>
              <w:left w:val="nil"/>
              <w:right w:val="single" w:color="000000" w:sz="4" w:space="0"/>
            </w:tcBorders>
            <w:shd w:val="clear" w:color="auto" w:fill="auto"/>
            <w:vAlign w:val="center"/>
          </w:tcPr>
          <w:p>
            <w:pPr>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596" w:type="dxa"/>
            <w:vMerge w:val="restart"/>
            <w:tcBorders>
              <w:top w:val="nil"/>
              <w:left w:val="nil"/>
              <w:right w:val="single" w:color="000000" w:sz="4" w:space="0"/>
            </w:tcBorders>
            <w:shd w:val="clear" w:color="auto" w:fill="auto"/>
            <w:vAlign w:val="center"/>
          </w:tcPr>
          <w:p>
            <w:pPr>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358" w:type="dxa"/>
            <w:vMerge w:val="restart"/>
            <w:tcBorders>
              <w:top w:val="nil"/>
              <w:left w:val="nil"/>
              <w:right w:val="single" w:color="000000" w:sz="4" w:space="0"/>
            </w:tcBorders>
            <w:shd w:val="clear" w:color="auto" w:fill="auto"/>
            <w:vAlign w:val="center"/>
          </w:tcPr>
          <w:p>
            <w:pPr>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477" w:type="dxa"/>
            <w:vMerge w:val="restart"/>
            <w:tcBorders>
              <w:top w:val="nil"/>
              <w:left w:val="nil"/>
              <w:right w:val="single" w:color="000000" w:sz="4" w:space="0"/>
            </w:tcBorders>
            <w:shd w:val="clear" w:color="auto" w:fill="auto"/>
            <w:vAlign w:val="center"/>
          </w:tcPr>
          <w:p>
            <w:pPr>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510" w:hRule="atLeast"/>
        </w:trPr>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宋体"/>
                <w:kern w:val="0"/>
                <w:sz w:val="24"/>
                <w:szCs w:val="24"/>
              </w:rPr>
              <w:t>功能分类科目编码</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641" w:type="dxa"/>
            <w:vMerge w:val="continue"/>
            <w:tcBorders>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1641" w:type="dxa"/>
            <w:vMerge w:val="continue"/>
            <w:tcBorders>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1642" w:type="dxa"/>
            <w:vMerge w:val="continue"/>
            <w:tcBorders>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1596" w:type="dxa"/>
            <w:vMerge w:val="continue"/>
            <w:tcBorders>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1358" w:type="dxa"/>
            <w:vMerge w:val="continue"/>
            <w:tcBorders>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c>
          <w:tcPr>
            <w:tcW w:w="1477" w:type="dxa"/>
            <w:vMerge w:val="continue"/>
            <w:tcBorders>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641" w:type="dxa"/>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5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3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4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540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2,690.23</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2,531.00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159.23</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2,223.39</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2,077.54</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145.85</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1,537.15</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1,397.30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139.85</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2050203</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初中教育</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1,393.55</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1,393.55</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143.60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3.75</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139.85</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686.24</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680.24</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686.24</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680.24</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187.66</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85.29</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85.29</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2101103</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彩票公益金安排的支出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08"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2296003</w:t>
            </w:r>
          </w:p>
        </w:tc>
        <w:tc>
          <w:tcPr>
            <w:tcW w:w="409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用于体育事业的彩票公益金支出</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64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64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10.00</w:t>
            </w:r>
          </w:p>
        </w:tc>
        <w:tc>
          <w:tcPr>
            <w:tcW w:w="15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bl>
    <w:p>
      <w:pPr>
        <w:widowControl/>
        <w:ind w:left="93"/>
        <w:jc w:val="left"/>
        <w:rPr>
          <w:rFonts w:ascii="Times New Roman" w:hAnsi="Times New Roman" w:eastAsia="方正小标宋_GBK" w:cs="Times New Roman"/>
          <w:color w:val="000000"/>
          <w:kern w:val="0"/>
          <w:sz w:val="36"/>
          <w:szCs w:val="21"/>
        </w:rPr>
      </w:pPr>
      <w:r>
        <w:rPr>
          <w:rFonts w:hint="eastAsia" w:ascii="宋体" w:hAnsi="宋体" w:eastAsia="宋体" w:cs="宋体"/>
          <w:kern w:val="0"/>
          <w:sz w:val="24"/>
          <w:szCs w:val="24"/>
        </w:rPr>
        <w:t>注：本表反映部门本年度各项支出情况。</w:t>
      </w:r>
    </w:p>
    <w:tbl>
      <w:tblPr>
        <w:tblStyle w:val="5"/>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2496.83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10</w:t>
            </w:r>
            <w:r>
              <w:rPr>
                <w:rFonts w:hint="eastAsia" w:ascii="宋体" w:hAnsi="宋体" w:eastAsia="宋体" w:cs="宋体"/>
                <w:kern w:val="0"/>
                <w:sz w:val="22"/>
              </w:rPr>
              <w:t>.00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2223.39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2223.39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187.66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187.66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130.97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130.97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138.21</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138.21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10.00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2506.83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2690.23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2680.23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10.00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194.85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11.45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r>
              <w:rPr>
                <w:rFonts w:ascii="宋体" w:hAnsi="宋体" w:eastAsia="宋体" w:cs="宋体"/>
                <w:kern w:val="0"/>
                <w:sz w:val="22"/>
              </w:rPr>
              <w:t>11.45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194.85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ascii="宋体" w:hAnsi="宋体" w:eastAsia="宋体" w:cs="宋体"/>
                <w:kern w:val="0"/>
                <w:sz w:val="22"/>
              </w:rPr>
              <w:t>2701.68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ascii="宋体" w:hAnsi="宋体" w:eastAsia="宋体" w:cs="宋体"/>
                <w:kern w:val="0"/>
                <w:sz w:val="22"/>
              </w:rPr>
              <w:t>2701.68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ascii="宋体" w:hAnsi="宋体" w:eastAsia="宋体" w:cs="宋体"/>
                <w:kern w:val="0"/>
                <w:sz w:val="22"/>
              </w:rPr>
              <w:t>2691.68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10.00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bookmarkEnd w:id="1"/>
    <w:p>
      <w:pPr>
        <w:widowControl/>
        <w:spacing w:beforeLines="50"/>
        <w:jc w:val="left"/>
        <w:rPr>
          <w:rFonts w:ascii="Times New Roman" w:hAnsi="Times New Roman" w:eastAsia="仿宋_GB2312" w:cs="Times New Roman"/>
          <w:bCs/>
          <w:kern w:val="0"/>
          <w:szCs w:val="21"/>
        </w:rPr>
      </w:pPr>
      <w:r>
        <w:rPr>
          <w:rFonts w:hint="eastAsia" w:ascii="Times New Roman" w:hAnsi="Times New Roman" w:eastAsia="仿宋_GB2312" w:cs="Times New Roman"/>
          <w:color w:val="000000"/>
          <w:kern w:val="0"/>
          <w:szCs w:val="21"/>
        </w:rPr>
        <w:t xml:space="preserve">   </w:t>
      </w:r>
    </w:p>
    <w:tbl>
      <w:tblPr>
        <w:tblStyle w:val="5"/>
        <w:tblW w:w="14474" w:type="dxa"/>
        <w:jc w:val="center"/>
        <w:tblLayout w:type="fixed"/>
        <w:tblCellMar>
          <w:top w:w="0" w:type="dxa"/>
          <w:left w:w="108" w:type="dxa"/>
          <w:bottom w:w="0" w:type="dxa"/>
          <w:right w:w="108" w:type="dxa"/>
        </w:tblCellMar>
      </w:tblPr>
      <w:tblGrid>
        <w:gridCol w:w="2425"/>
        <w:gridCol w:w="4820"/>
        <w:gridCol w:w="2835"/>
        <w:gridCol w:w="1984"/>
        <w:gridCol w:w="2410"/>
      </w:tblGrid>
      <w:tr>
        <w:tblPrEx>
          <w:tblCellMar>
            <w:top w:w="0" w:type="dxa"/>
            <w:left w:w="108" w:type="dxa"/>
            <w:bottom w:w="0" w:type="dxa"/>
            <w:right w:w="108" w:type="dxa"/>
          </w:tblCellMar>
        </w:tblPrEx>
        <w:trPr>
          <w:trHeight w:val="420" w:hRule="atLeast"/>
          <w:jc w:val="center"/>
        </w:trPr>
        <w:tc>
          <w:tcPr>
            <w:tcW w:w="14474" w:type="dxa"/>
            <w:gridSpan w:val="5"/>
            <w:tcBorders>
              <w:top w:val="nil"/>
              <w:left w:val="nil"/>
              <w:bottom w:val="nil"/>
              <w:right w:val="nil"/>
            </w:tcBorders>
            <w:shd w:val="clear" w:color="auto" w:fill="auto"/>
            <w:noWrap/>
            <w:vAlign w:val="bottom"/>
          </w:tcPr>
          <w:p>
            <w:pPr>
              <w:widowControl/>
              <w:jc w:val="center"/>
              <w:rPr>
                <w:rFonts w:ascii="宋体" w:hAnsi="宋体" w:eastAsia="宋体" w:cs="Arial"/>
                <w:b/>
                <w:bCs/>
                <w:color w:val="000000"/>
                <w:kern w:val="0"/>
                <w:sz w:val="32"/>
                <w:szCs w:val="32"/>
              </w:rPr>
            </w:pPr>
            <w:r>
              <w:rPr>
                <w:rFonts w:hint="eastAsia" w:ascii="宋体" w:hAnsi="宋体" w:eastAsia="宋体" w:cs="Arial"/>
                <w:b/>
                <w:bCs/>
                <w:color w:val="000000"/>
                <w:kern w:val="0"/>
                <w:sz w:val="32"/>
                <w:szCs w:val="32"/>
              </w:rPr>
              <w:t>一般公共预算财政拨款支出决算表</w:t>
            </w:r>
          </w:p>
        </w:tc>
      </w:tr>
      <w:tr>
        <w:tblPrEx>
          <w:tblCellMar>
            <w:top w:w="0" w:type="dxa"/>
            <w:left w:w="108" w:type="dxa"/>
            <w:bottom w:w="0" w:type="dxa"/>
            <w:right w:w="108" w:type="dxa"/>
          </w:tblCellMar>
        </w:tblPrEx>
        <w:trPr>
          <w:trHeight w:val="255" w:hRule="atLeast"/>
          <w:jc w:val="center"/>
        </w:trPr>
        <w:tc>
          <w:tcPr>
            <w:tcW w:w="14474" w:type="dxa"/>
            <w:gridSpan w:val="5"/>
            <w:tcBorders>
              <w:top w:val="nil"/>
              <w:left w:val="nil"/>
              <w:bottom w:val="nil"/>
              <w:right w:val="nil"/>
            </w:tcBorders>
            <w:shd w:val="clear" w:color="auto" w:fill="auto"/>
            <w:noWrap/>
            <w:vAlign w:val="bottom"/>
          </w:tcPr>
          <w:p>
            <w:pPr>
              <w:widowControl/>
              <w:jc w:val="right"/>
              <w:rPr>
                <w:rFonts w:ascii="Arial" w:hAnsi="Arial" w:eastAsia="宋体" w:cs="Arial"/>
                <w:color w:val="000000"/>
                <w:kern w:val="0"/>
                <w:sz w:val="20"/>
                <w:szCs w:val="20"/>
              </w:rPr>
            </w:pPr>
            <w:r>
              <w:rPr>
                <w:rFonts w:hint="eastAsia" w:ascii="宋体" w:hAnsi="宋体" w:eastAsia="宋体" w:cs="Arial"/>
                <w:color w:val="000000"/>
                <w:kern w:val="0"/>
                <w:sz w:val="20"/>
                <w:szCs w:val="20"/>
              </w:rPr>
              <w:t>公开</w:t>
            </w:r>
            <w:r>
              <w:rPr>
                <w:rFonts w:ascii="Arial" w:hAnsi="Arial" w:eastAsia="宋体" w:cs="Arial"/>
                <w:color w:val="000000"/>
                <w:kern w:val="0"/>
                <w:sz w:val="20"/>
                <w:szCs w:val="20"/>
              </w:rPr>
              <w:t>05</w:t>
            </w:r>
            <w:r>
              <w:rPr>
                <w:rFonts w:hint="eastAsia" w:ascii="宋体" w:hAnsi="宋体" w:eastAsia="宋体" w:cs="Arial"/>
                <w:color w:val="000000"/>
                <w:kern w:val="0"/>
                <w:sz w:val="20"/>
                <w:szCs w:val="20"/>
              </w:rPr>
              <w:t>表</w:t>
            </w:r>
          </w:p>
        </w:tc>
      </w:tr>
      <w:tr>
        <w:tblPrEx>
          <w:tblCellMar>
            <w:top w:w="0" w:type="dxa"/>
            <w:left w:w="108" w:type="dxa"/>
            <w:bottom w:w="0" w:type="dxa"/>
            <w:right w:w="108" w:type="dxa"/>
          </w:tblCellMar>
        </w:tblPrEx>
        <w:trPr>
          <w:trHeight w:val="255" w:hRule="atLeast"/>
          <w:jc w:val="center"/>
        </w:trPr>
        <w:tc>
          <w:tcPr>
            <w:tcW w:w="14474" w:type="dxa"/>
            <w:gridSpan w:val="5"/>
            <w:tcBorders>
              <w:top w:val="nil"/>
              <w:left w:val="nil"/>
              <w:bottom w:val="single" w:color="000000" w:sz="4" w:space="0"/>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部门：岳阳市第十中学                                                                                                            金额单位：万元</w:t>
            </w:r>
          </w:p>
        </w:tc>
      </w:tr>
      <w:tr>
        <w:tblPrEx>
          <w:tblCellMar>
            <w:top w:w="0" w:type="dxa"/>
            <w:left w:w="108" w:type="dxa"/>
            <w:bottom w:w="0" w:type="dxa"/>
            <w:right w:w="108" w:type="dxa"/>
          </w:tblCellMar>
        </w:tblPrEx>
        <w:trPr>
          <w:trHeight w:val="308" w:hRule="atLeast"/>
          <w:jc w:val="center"/>
        </w:trPr>
        <w:tc>
          <w:tcPr>
            <w:tcW w:w="7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22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jc w:val="center"/>
        </w:trPr>
        <w:tc>
          <w:tcPr>
            <w:tcW w:w="2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8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8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98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4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jc w:val="center"/>
        </w:trPr>
        <w:tc>
          <w:tcPr>
            <w:tcW w:w="2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820"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3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615" w:hRule="atLeast"/>
          <w:jc w:val="center"/>
        </w:trPr>
        <w:tc>
          <w:tcPr>
            <w:tcW w:w="2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rPr>
            </w:pPr>
          </w:p>
        </w:tc>
        <w:tc>
          <w:tcPr>
            <w:tcW w:w="4820"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3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7245"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r>
      <w:tr>
        <w:tblPrEx>
          <w:tblCellMar>
            <w:top w:w="0" w:type="dxa"/>
            <w:left w:w="108" w:type="dxa"/>
            <w:bottom w:w="0" w:type="dxa"/>
            <w:right w:w="108" w:type="dxa"/>
          </w:tblCellMar>
        </w:tblPrEx>
        <w:trPr>
          <w:trHeight w:val="308" w:hRule="atLeast"/>
          <w:jc w:val="center"/>
        </w:trPr>
        <w:tc>
          <w:tcPr>
            <w:tcW w:w="724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2,680.23</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2,531.00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149.23</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2,223.39</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2,077.54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145.85</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普通教育</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1,537.15</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1,397.30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139.85</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2050203</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初中教育</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1,393.55</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1,393.55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2050299</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其他普通教育支出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143.60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3.75</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139.85</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教育费附加安排的支出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686.24</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680.24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2050999</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其他教育费附加安排的支出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686.24</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680.24</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187.66</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2080505</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184.28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抚恤</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2080899</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其他优抚支出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3.38</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行政事业单位医疗</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130.97</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2101102</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事业单位医疗</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85.29</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85.29</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2101103</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45.68</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jc w:val="center"/>
        </w:trPr>
        <w:tc>
          <w:tcPr>
            <w:tcW w:w="24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2210201</w:t>
            </w:r>
          </w:p>
        </w:tc>
        <w:tc>
          <w:tcPr>
            <w:tcW w:w="482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283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138.21</w:t>
            </w:r>
          </w:p>
        </w:tc>
        <w:tc>
          <w:tcPr>
            <w:tcW w:w="24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bl>
    <w:p>
      <w:pPr>
        <w:widowControl/>
        <w:jc w:val="left"/>
        <w:rPr>
          <w:rFonts w:ascii="Times New Roman" w:hAnsi="Times New Roman" w:eastAsia="仿宋_GB2312" w:cs="Times New Roman"/>
          <w:bCs/>
          <w:kern w:val="0"/>
          <w:szCs w:val="21"/>
        </w:rPr>
      </w:pPr>
    </w:p>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bl>
      <w:tblPr>
        <w:tblStyle w:val="5"/>
        <w:tblW w:w="15674" w:type="dxa"/>
        <w:tblInd w:w="93" w:type="dxa"/>
        <w:tblLayout w:type="fixed"/>
        <w:tblCellMar>
          <w:top w:w="0" w:type="dxa"/>
          <w:left w:w="108" w:type="dxa"/>
          <w:bottom w:w="0" w:type="dxa"/>
          <w:right w:w="108" w:type="dxa"/>
        </w:tblCellMar>
      </w:tblPr>
      <w:tblGrid>
        <w:gridCol w:w="1291"/>
        <w:gridCol w:w="3402"/>
        <w:gridCol w:w="1276"/>
        <w:gridCol w:w="1134"/>
        <w:gridCol w:w="2693"/>
        <w:gridCol w:w="1134"/>
        <w:gridCol w:w="1134"/>
        <w:gridCol w:w="2734"/>
        <w:gridCol w:w="876"/>
      </w:tblGrid>
      <w:tr>
        <w:tblPrEx>
          <w:tblCellMar>
            <w:top w:w="0" w:type="dxa"/>
            <w:left w:w="108" w:type="dxa"/>
            <w:bottom w:w="0" w:type="dxa"/>
            <w:right w:w="108" w:type="dxa"/>
          </w:tblCellMar>
        </w:tblPrEx>
        <w:trPr>
          <w:trHeight w:val="390" w:hRule="atLeast"/>
        </w:trPr>
        <w:tc>
          <w:tcPr>
            <w:tcW w:w="15674" w:type="dxa"/>
            <w:gridSpan w:val="9"/>
            <w:tcBorders>
              <w:top w:val="nil"/>
              <w:left w:val="nil"/>
              <w:bottom w:val="nil"/>
              <w:right w:val="nil"/>
            </w:tcBorders>
            <w:shd w:val="clear" w:color="auto" w:fill="auto"/>
            <w:noWrap/>
            <w:vAlign w:val="bottom"/>
          </w:tcPr>
          <w:p>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28"/>
                <w:szCs w:val="30"/>
              </w:rPr>
              <w:t>一般公共预算财政拨款基本支出决算批复表</w:t>
            </w:r>
          </w:p>
        </w:tc>
      </w:tr>
      <w:tr>
        <w:tblPrEx>
          <w:tblCellMar>
            <w:top w:w="0" w:type="dxa"/>
            <w:left w:w="108" w:type="dxa"/>
            <w:bottom w:w="0" w:type="dxa"/>
            <w:right w:w="108" w:type="dxa"/>
          </w:tblCellMar>
        </w:tblPrEx>
        <w:trPr>
          <w:trHeight w:val="300" w:hRule="atLeast"/>
        </w:trPr>
        <w:tc>
          <w:tcPr>
            <w:tcW w:w="15674" w:type="dxa"/>
            <w:gridSpan w:val="9"/>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22"/>
                <w:szCs w:val="24"/>
              </w:rPr>
              <w:t>公开：06表</w:t>
            </w:r>
          </w:p>
        </w:tc>
      </w:tr>
      <w:tr>
        <w:tblPrEx>
          <w:tblCellMar>
            <w:top w:w="0" w:type="dxa"/>
            <w:left w:w="108" w:type="dxa"/>
            <w:bottom w:w="0" w:type="dxa"/>
            <w:right w:w="108" w:type="dxa"/>
          </w:tblCellMar>
        </w:tblPrEx>
        <w:trPr>
          <w:trHeight w:val="255" w:hRule="atLeast"/>
        </w:trPr>
        <w:tc>
          <w:tcPr>
            <w:tcW w:w="15674" w:type="dxa"/>
            <w:gridSpan w:val="9"/>
            <w:tcBorders>
              <w:top w:val="nil"/>
              <w:left w:val="nil"/>
              <w:bottom w:val="single" w:color="000000" w:sz="4" w:space="0"/>
              <w:right w:val="nil"/>
            </w:tcBorders>
            <w:shd w:val="clear" w:color="auto" w:fill="auto"/>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单位：岳阳市第十中学                                                                                                                金额单位：万元</w:t>
            </w:r>
          </w:p>
        </w:tc>
      </w:tr>
      <w:tr>
        <w:tblPrEx>
          <w:tblCellMar>
            <w:top w:w="0" w:type="dxa"/>
            <w:left w:w="108" w:type="dxa"/>
            <w:bottom w:w="0" w:type="dxa"/>
            <w:right w:w="108" w:type="dxa"/>
          </w:tblCellMar>
        </w:tblPrEx>
        <w:trPr>
          <w:trHeight w:val="308" w:hRule="atLeast"/>
        </w:trPr>
        <w:tc>
          <w:tcPr>
            <w:tcW w:w="59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705"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129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经济分类科目编码</w:t>
            </w:r>
          </w:p>
        </w:tc>
        <w:tc>
          <w:tcPr>
            <w:tcW w:w="340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科目名称</w:t>
            </w:r>
          </w:p>
        </w:tc>
        <w:tc>
          <w:tcPr>
            <w:tcW w:w="12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决算数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经济分类科目编码</w:t>
            </w:r>
          </w:p>
        </w:tc>
        <w:tc>
          <w:tcPr>
            <w:tcW w:w="269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科目名称</w:t>
            </w:r>
          </w:p>
        </w:tc>
        <w:tc>
          <w:tcPr>
            <w:tcW w:w="1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决算数</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经济分类科目编码</w:t>
            </w:r>
          </w:p>
        </w:tc>
        <w:tc>
          <w:tcPr>
            <w:tcW w:w="27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科目名称</w:t>
            </w:r>
          </w:p>
        </w:tc>
        <w:tc>
          <w:tcPr>
            <w:tcW w:w="8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Arial"/>
                <w:color w:val="000000"/>
                <w:kern w:val="0"/>
              </w:rPr>
            </w:pPr>
            <w:r>
              <w:rPr>
                <w:rFonts w:hint="eastAsia" w:ascii="宋体" w:hAnsi="宋体" w:eastAsia="宋体" w:cs="Arial"/>
                <w:color w:val="000000"/>
                <w:kern w:val="0"/>
              </w:rPr>
              <w:t>决算数</w:t>
            </w:r>
          </w:p>
        </w:tc>
      </w:tr>
      <w:tr>
        <w:tblPrEx>
          <w:tblCellMar>
            <w:top w:w="0" w:type="dxa"/>
            <w:left w:w="108" w:type="dxa"/>
            <w:bottom w:w="0" w:type="dxa"/>
            <w:right w:w="108" w:type="dxa"/>
          </w:tblCellMar>
        </w:tblPrEx>
        <w:trPr>
          <w:trHeight w:val="312" w:hRule="atLeast"/>
        </w:trPr>
        <w:tc>
          <w:tcPr>
            <w:tcW w:w="129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4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69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7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8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工资福利支出</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2,132.01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商品和服务支出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242.89</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307</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债务利息及费用支出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基本工资</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725.83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办公费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13.87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30701</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国内债务付息</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津贴补贴</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1.75</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印刷费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30702</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国外债务付息</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奖金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490.06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咨询费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资本性支出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17.66</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30106</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伙食补助费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手续费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31001</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房屋建筑物购建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30107</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绩效工资</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435.70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水费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4.56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31002</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办公设备购置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16.14</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30108</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机关事业单位基本养老保险缴费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184.28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电费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15.18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31003</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专用设备购置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1.51</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30109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职业年金缴费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邮电费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1.37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31005</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基础设施建设</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30110</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职工基本医疗保险缴费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85.29</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取暖费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31006</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大型修缮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30111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公务员医疗补助缴费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45.68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30209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物业管理费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18.00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31007</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信息网络及软件购置更新</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30112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其他社会保障缴费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8.48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差旅费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1.13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31008</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物资储备</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30113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住房公积金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138.21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30212</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因公出国（境）费用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31009</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土地补偿</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30114</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医疗费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30213</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维修（护）费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31010</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安置补助</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30199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其他工资福利支出</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16.73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租赁费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1.40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31011</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地上附着物和青苗补偿</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对个人和家庭的补助</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138.45</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会议费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31012</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拆迁补偿</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离休费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培训费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12.98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31013</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公务用车购置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30302</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退休费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公务接待费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0.13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31019</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其他交通工具购置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退职（役）费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30218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专用材料费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64.70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31021</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文物和陈列品购置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30304</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抚恤金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30224</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被装购置费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31022</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无形资产购置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30305</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生活补助</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100.00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30225</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专用燃料费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31099</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其他资本性支出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30306</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救济费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30226</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劳务费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19.64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399</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其他支出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30307</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医疗费补助</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30227</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委托业务费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39906</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赠与</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187"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30308</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助学金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30228</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工会经费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43.67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39907</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国家赔偿费用支出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30309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奖励金</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30229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福利费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39908</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对民间非营利组织和群众性自治组织补贴</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30310</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个人农业生产补贴</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30231</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公务用车运行维护费</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39999</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30311</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代缴社会保险费</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30239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其他交通费用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　</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30399</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其他对个人和家庭的补助</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38.45</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30240</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税金及附加费用</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　</w:t>
            </w:r>
          </w:p>
        </w:tc>
      </w:tr>
      <w:tr>
        <w:tblPrEx>
          <w:tblCellMar>
            <w:top w:w="0" w:type="dxa"/>
            <w:left w:w="108" w:type="dxa"/>
            <w:bottom w:w="0" w:type="dxa"/>
            <w:right w:w="108" w:type="dxa"/>
          </w:tblCellMar>
        </w:tblPrEx>
        <w:trPr>
          <w:trHeight w:val="308" w:hRule="atLeast"/>
        </w:trPr>
        <w:tc>
          <w:tcPr>
            <w:tcW w:w="129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30299</w:t>
            </w:r>
          </w:p>
        </w:tc>
        <w:tc>
          <w:tcPr>
            <w:tcW w:w="2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xml:space="preserve"> 其他商品和服务支出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45.27</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273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rPr>
            </w:pPr>
            <w:r>
              <w:rPr>
                <w:rFonts w:hint="eastAsia" w:ascii="宋体" w:hAnsi="宋体" w:eastAsia="宋体" w:cs="Arial"/>
                <w:color w:val="000000"/>
                <w:kern w:val="0"/>
                <w:sz w:val="18"/>
              </w:rPr>
              <w:t>　</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　</w:t>
            </w:r>
          </w:p>
        </w:tc>
      </w:tr>
      <w:tr>
        <w:tblPrEx>
          <w:tblCellMar>
            <w:top w:w="0" w:type="dxa"/>
            <w:left w:w="108" w:type="dxa"/>
            <w:bottom w:w="0" w:type="dxa"/>
            <w:right w:w="108" w:type="dxa"/>
          </w:tblCellMar>
        </w:tblPrEx>
        <w:trPr>
          <w:trHeight w:val="308" w:hRule="atLeast"/>
        </w:trPr>
        <w:tc>
          <w:tcPr>
            <w:tcW w:w="4693"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rPr>
            </w:pPr>
            <w:r>
              <w:rPr>
                <w:rFonts w:hint="eastAsia" w:ascii="宋体" w:hAnsi="宋体" w:eastAsia="宋体" w:cs="Arial"/>
                <w:color w:val="000000"/>
                <w:kern w:val="0"/>
                <w:sz w:val="18"/>
              </w:rPr>
              <w:t>人员经费合计</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2,270.46</w:t>
            </w:r>
          </w:p>
        </w:tc>
        <w:tc>
          <w:tcPr>
            <w:tcW w:w="8829" w:type="dxa"/>
            <w:gridSpan w:val="5"/>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Arial"/>
                <w:color w:val="000000"/>
                <w:kern w:val="0"/>
                <w:sz w:val="18"/>
              </w:rPr>
            </w:pPr>
            <w:r>
              <w:rPr>
                <w:rFonts w:hint="eastAsia" w:ascii="宋体" w:hAnsi="宋体" w:eastAsia="宋体" w:cs="Arial"/>
                <w:color w:val="000000"/>
                <w:kern w:val="0"/>
                <w:sz w:val="18"/>
              </w:rPr>
              <w:t>公用经费合计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rPr>
            </w:pPr>
            <w:r>
              <w:rPr>
                <w:rFonts w:hint="eastAsia" w:ascii="宋体" w:hAnsi="宋体" w:eastAsia="宋体" w:cs="Arial"/>
                <w:color w:val="000000"/>
                <w:kern w:val="0"/>
                <w:sz w:val="18"/>
              </w:rPr>
              <w:t>260.54</w:t>
            </w:r>
          </w:p>
        </w:tc>
      </w:tr>
    </w:tbl>
    <w:p>
      <w:pPr>
        <w:widowControl/>
        <w:ind w:firstLine="420" w:firstLineChars="200"/>
        <w:jc w:val="left"/>
        <w:rPr>
          <w:rFonts w:ascii="Times New Roman" w:hAnsi="Times New Roman" w:eastAsia="仿宋_GB2312" w:cs="Times New Roman"/>
          <w:kern w:val="0"/>
          <w:sz w:val="20"/>
          <w:szCs w:val="21"/>
        </w:rPr>
      </w:pPr>
      <w:r>
        <w:rPr>
          <w:rFonts w:hint="eastAsia" w:ascii="宋体" w:hAnsi="宋体" w:eastAsia="宋体" w:cs="宋体"/>
          <w:color w:val="000000"/>
          <w:kern w:val="0"/>
          <w:szCs w:val="24"/>
        </w:rPr>
        <w:t>注：本表反映部门本年度一般公共预算财政拨款基本支出明细情况。</w:t>
      </w:r>
    </w:p>
    <w:p>
      <w:pPr>
        <w:widowControl/>
        <w:ind w:firstLine="420" w:firstLineChars="200"/>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0.13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0.13</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岳阳市第十中学</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229</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22960</w:t>
            </w: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彩票公益金安排的支出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2296003</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用于体育事业的彩票公益金支出</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10.00</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8680" w:type="dxa"/>
            <w:gridSpan w:val="7"/>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部门：岳阳市第十中学</w:t>
            </w: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岳阳市第十中学没有使用国有资本经营预算安排的支出，故本表无数据</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2020年度收、支总计2701.68万元。与上年相比，增加236.65万元，增长9.60%，主要是因为工资普调及年终绩效的增加。</w:t>
      </w:r>
    </w:p>
    <w:p>
      <w:pPr>
        <w:pStyle w:val="10"/>
        <w:rPr>
          <w:rFonts w:hAnsi="黑体"/>
          <w:b/>
          <w:sz w:val="32"/>
          <w:szCs w:val="32"/>
        </w:rPr>
      </w:pPr>
      <w:r>
        <w:rPr>
          <w:rFonts w:hint="eastAsia" w:hAnsi="黑体"/>
          <w:b/>
          <w:sz w:val="32"/>
          <w:szCs w:val="32"/>
        </w:rPr>
        <w:t>二、收入决算情况说明</w:t>
      </w:r>
    </w:p>
    <w:p>
      <w:pPr>
        <w:widowControl/>
        <w:shd w:val="clear" w:color="auto" w:fill="FFFFFF"/>
        <w:spacing w:line="540" w:lineRule="atLeast"/>
        <w:ind w:firstLine="570"/>
        <w:jc w:val="left"/>
        <w:rPr>
          <w:rFonts w:ascii="宋体" w:hAnsi="宋体" w:eastAsia="宋体" w:cs="Times New Roman"/>
          <w:sz w:val="32"/>
          <w:szCs w:val="32"/>
        </w:rPr>
      </w:pPr>
      <w:r>
        <w:rPr>
          <w:rFonts w:hint="eastAsia" w:ascii="宋体" w:hAnsi="宋体" w:eastAsia="宋体" w:cs="Times New Roman"/>
          <w:sz w:val="32"/>
          <w:szCs w:val="32"/>
          <w:lang w:eastAsia="zh-CN"/>
        </w:rPr>
        <w:t>本年收入合计</w:t>
      </w:r>
      <w:r>
        <w:rPr>
          <w:rFonts w:hint="eastAsia" w:ascii="宋体" w:hAnsi="宋体" w:eastAsia="宋体" w:cs="Times New Roman"/>
          <w:sz w:val="32"/>
          <w:szCs w:val="32"/>
        </w:rPr>
        <w:t>2506.83万元，其中财政拨款</w:t>
      </w:r>
      <w:r>
        <w:rPr>
          <w:rFonts w:hint="eastAsia" w:ascii="宋体" w:hAnsi="宋体" w:eastAsia="宋体" w:cs="Times New Roman"/>
          <w:sz w:val="32"/>
          <w:szCs w:val="32"/>
          <w:lang w:eastAsia="zh-CN"/>
        </w:rPr>
        <w:t>收入</w:t>
      </w:r>
      <w:r>
        <w:rPr>
          <w:rFonts w:hint="eastAsia" w:ascii="宋体" w:hAnsi="宋体" w:eastAsia="宋体" w:cs="Times New Roman"/>
          <w:sz w:val="32"/>
          <w:szCs w:val="32"/>
        </w:rPr>
        <w:t xml:space="preserve"> 2506.83万元</w:t>
      </w:r>
      <w:r>
        <w:rPr>
          <w:rFonts w:hint="eastAsia" w:ascii="宋体" w:hAnsi="宋体" w:eastAsia="宋体" w:cs="Times New Roman"/>
          <w:sz w:val="32"/>
          <w:szCs w:val="32"/>
          <w:lang w:eastAsia="zh-CN"/>
        </w:rPr>
        <w:t>，占</w:t>
      </w:r>
      <w:r>
        <w:rPr>
          <w:rFonts w:hint="eastAsia" w:ascii="宋体" w:hAnsi="宋体" w:eastAsia="宋体" w:cs="Times New Roman"/>
          <w:sz w:val="32"/>
          <w:szCs w:val="32"/>
          <w:lang w:val="en-US" w:eastAsia="zh-CN"/>
        </w:rPr>
        <w:t>100%</w:t>
      </w:r>
      <w:r>
        <w:rPr>
          <w:rFonts w:hint="eastAsia" w:ascii="宋体" w:hAnsi="宋体" w:eastAsia="宋体" w:cs="Times New Roman"/>
          <w:sz w:val="32"/>
          <w:szCs w:val="32"/>
        </w:rPr>
        <w:t>。</w:t>
      </w:r>
    </w:p>
    <w:p>
      <w:pPr>
        <w:pStyle w:val="10"/>
        <w:rPr>
          <w:rFonts w:hAnsi="黑体"/>
          <w:b/>
          <w:sz w:val="32"/>
          <w:szCs w:val="32"/>
        </w:rPr>
      </w:pPr>
      <w:r>
        <w:rPr>
          <w:rFonts w:hint="eastAsia" w:hAnsi="黑体"/>
          <w:b/>
          <w:sz w:val="32"/>
          <w:szCs w:val="32"/>
        </w:rPr>
        <w:t>三、支出决算情况说明</w:t>
      </w:r>
    </w:p>
    <w:p>
      <w:pPr>
        <w:widowControl/>
        <w:shd w:val="clear" w:color="auto" w:fill="FFFFFF"/>
        <w:spacing w:line="540" w:lineRule="atLeast"/>
        <w:ind w:firstLine="570"/>
        <w:jc w:val="left"/>
        <w:rPr>
          <w:rFonts w:ascii="宋体" w:hAnsi="宋体" w:eastAsia="宋体" w:cs="Times New Roman"/>
          <w:sz w:val="32"/>
          <w:szCs w:val="32"/>
        </w:rPr>
      </w:pPr>
      <w:r>
        <w:rPr>
          <w:rFonts w:hint="eastAsia" w:ascii="宋体" w:hAnsi="宋体" w:eastAsia="宋体" w:cs="Times New Roman"/>
          <w:sz w:val="32"/>
          <w:szCs w:val="32"/>
          <w:lang w:eastAsia="zh-CN"/>
        </w:rPr>
        <w:t>本</w:t>
      </w:r>
      <w:r>
        <w:rPr>
          <w:rFonts w:hint="eastAsia" w:ascii="宋体" w:hAnsi="宋体" w:eastAsia="宋体" w:cs="Times New Roman"/>
          <w:sz w:val="32"/>
          <w:szCs w:val="32"/>
        </w:rPr>
        <w:t>年支出</w:t>
      </w:r>
      <w:r>
        <w:rPr>
          <w:rFonts w:hint="eastAsia" w:ascii="宋体" w:hAnsi="宋体" w:eastAsia="宋体" w:cs="Times New Roman"/>
          <w:sz w:val="32"/>
          <w:szCs w:val="32"/>
          <w:lang w:eastAsia="zh-CN"/>
        </w:rPr>
        <w:t>合计</w:t>
      </w:r>
      <w:r>
        <w:rPr>
          <w:rFonts w:hint="eastAsia" w:ascii="宋体" w:hAnsi="宋体" w:eastAsia="宋体" w:cs="Times New Roman"/>
          <w:sz w:val="32"/>
          <w:szCs w:val="32"/>
        </w:rPr>
        <w:t>2690.23万元。其中基本支出2531万元，</w:t>
      </w:r>
      <w:r>
        <w:rPr>
          <w:rFonts w:hint="eastAsia" w:ascii="宋体" w:hAnsi="宋体" w:eastAsia="宋体" w:cs="Times New Roman"/>
          <w:sz w:val="32"/>
          <w:szCs w:val="32"/>
          <w:lang w:eastAsia="zh-CN"/>
        </w:rPr>
        <w:t>占</w:t>
      </w:r>
      <w:r>
        <w:rPr>
          <w:rFonts w:hint="eastAsia" w:ascii="宋体" w:hAnsi="宋体" w:eastAsia="宋体" w:cs="Times New Roman"/>
          <w:sz w:val="32"/>
          <w:szCs w:val="32"/>
        </w:rPr>
        <w:t>94.08%，项目支出15923万元，占 5.92%。</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2020年度财政拨款收、支总计2701.68万元。与上年相比，增加236.65万元，增长9.60%，主要是因为工资普调及年终绩效的增加。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widowControl/>
        <w:shd w:val="clear" w:color="auto" w:fill="FFFFFF"/>
        <w:spacing w:line="540" w:lineRule="atLeast"/>
        <w:ind w:firstLine="645"/>
        <w:jc w:val="left"/>
        <w:rPr>
          <w:rFonts w:ascii="宋体" w:hAnsi="宋体" w:eastAsia="宋体" w:cs="Times New Roman"/>
          <w:sz w:val="32"/>
          <w:szCs w:val="32"/>
        </w:rPr>
      </w:pPr>
      <w:r>
        <w:rPr>
          <w:rFonts w:hint="eastAsia" w:asciiTheme="minorEastAsia" w:hAnsiTheme="minorEastAsia"/>
          <w:sz w:val="32"/>
          <w:szCs w:val="32"/>
        </w:rPr>
        <w:t>2020年度财政拨款支出2690.23万元，占本年支出合计的100%，与上年相比，财政拨款支出增加452.16万元，增长16.81%，主要是因为：</w:t>
      </w:r>
      <w:r>
        <w:rPr>
          <w:rFonts w:hint="eastAsia" w:ascii="宋体" w:hAnsi="宋体" w:eastAsia="宋体" w:cs="Times New Roman"/>
          <w:sz w:val="32"/>
          <w:szCs w:val="32"/>
        </w:rPr>
        <w:t>1.人员基本工资增加，增加了补发工资和绩效工资调标；养老医疗保险及住房公积金缴费基数增加。2．各项费用增加，如学校建设、水费、电费、物业管理费等。3.年终绩效和综治奖均607万未纳入单位预算。</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2020年度财政拨款支出2690.23万元，主要用于以下方面：教育（类）支出2223.39万元，占82.65%;社会保障和就业</w:t>
      </w:r>
      <w:r>
        <w:rPr>
          <w:rFonts w:hint="eastAsia" w:ascii="宋体" w:hAnsi="宋体"/>
          <w:color w:val="000000"/>
          <w:kern w:val="0"/>
          <w:sz w:val="32"/>
          <w:highlight w:val="white"/>
          <w:lang w:val="en-US"/>
        </w:rPr>
        <w:t>（类）</w:t>
      </w:r>
      <w:r>
        <w:rPr>
          <w:rFonts w:hint="eastAsia" w:asciiTheme="minorEastAsia" w:hAnsiTheme="minorEastAsia" w:eastAsiaTheme="minorEastAsia"/>
          <w:sz w:val="32"/>
          <w:szCs w:val="32"/>
        </w:rPr>
        <w:t>支出187.66万元，占6.98%；卫生健康</w:t>
      </w:r>
      <w:r>
        <w:rPr>
          <w:rFonts w:hint="eastAsia" w:ascii="宋体" w:hAnsi="宋体"/>
          <w:color w:val="000000"/>
          <w:kern w:val="0"/>
          <w:sz w:val="32"/>
          <w:highlight w:val="white"/>
          <w:lang w:val="en-US"/>
        </w:rPr>
        <w:t>（类）支出</w:t>
      </w:r>
      <w:r>
        <w:rPr>
          <w:rFonts w:hint="eastAsia" w:asciiTheme="minorEastAsia" w:hAnsiTheme="minorEastAsia" w:eastAsiaTheme="minorEastAsia"/>
          <w:sz w:val="32"/>
          <w:szCs w:val="32"/>
        </w:rPr>
        <w:t>130.97万元，占4.87%；住房保障</w:t>
      </w:r>
      <w:r>
        <w:rPr>
          <w:rFonts w:hint="eastAsia" w:ascii="宋体" w:hAnsi="宋体"/>
          <w:color w:val="000000"/>
          <w:kern w:val="0"/>
          <w:sz w:val="32"/>
          <w:highlight w:val="white"/>
          <w:lang w:val="en-US"/>
        </w:rPr>
        <w:t>（类）</w:t>
      </w:r>
      <w:r>
        <w:rPr>
          <w:rFonts w:hint="eastAsia" w:asciiTheme="minorEastAsia" w:hAnsiTheme="minorEastAsia" w:eastAsiaTheme="minorEastAsia"/>
          <w:sz w:val="32"/>
          <w:szCs w:val="32"/>
        </w:rPr>
        <w:t>开支138.21万元，占5.14%；其他</w:t>
      </w:r>
      <w:r>
        <w:rPr>
          <w:rFonts w:hint="eastAsia" w:asciiTheme="minorEastAsia" w:hAnsiTheme="minorEastAsia" w:eastAsiaTheme="minorEastAsia"/>
          <w:sz w:val="32"/>
          <w:szCs w:val="32"/>
          <w:lang w:eastAsia="zh-CN"/>
        </w:rPr>
        <w:t>（类）支出</w:t>
      </w:r>
      <w:r>
        <w:rPr>
          <w:rFonts w:hint="eastAsia" w:asciiTheme="minorEastAsia" w:hAnsiTheme="minorEastAsia" w:eastAsiaTheme="minorEastAsia"/>
          <w:sz w:val="32"/>
          <w:szCs w:val="32"/>
        </w:rPr>
        <w:t>10万元，占0.36%.</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2020年度财政拨款支出年初预算数为1693.01万元，支出决算数为2690.23万元，完成年初预算的158.9%，其中：</w:t>
      </w:r>
    </w:p>
    <w:p>
      <w:pPr>
        <w:pStyle w:val="10"/>
        <w:numPr>
          <w:ilvl w:val="0"/>
          <w:numId w:val="2"/>
        </w:numPr>
        <w:ind w:firstLine="800" w:firstLineChars="250"/>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初</w:t>
      </w:r>
      <w:r>
        <w:rPr>
          <w:rFonts w:hint="eastAsia" w:asciiTheme="minorEastAsia" w:hAnsiTheme="minorEastAsia" w:eastAsiaTheme="minorEastAsia"/>
          <w:b/>
          <w:bCs/>
          <w:color w:val="000000" w:themeColor="text1"/>
          <w:sz w:val="32"/>
          <w:szCs w:val="32"/>
          <w14:textFill>
            <w14:solidFill>
              <w14:schemeClr w14:val="tx1"/>
            </w14:solidFill>
          </w14:textFill>
        </w:rPr>
        <w:t>中教育（项）</w:t>
      </w:r>
    </w:p>
    <w:p>
      <w:pPr>
        <w:pStyle w:val="10"/>
        <w:ind w:firstLine="800" w:firstLineChars="250"/>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1248.05</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1393.55</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111.66</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w:t>
      </w:r>
      <w:r>
        <w:rPr>
          <w:rFonts w:hint="eastAsia" w:asciiTheme="minorEastAsia" w:hAnsiTheme="minorEastAsia" w:eastAsiaTheme="minorEastAsia"/>
          <w:color w:val="000000" w:themeColor="text1"/>
          <w:sz w:val="32"/>
          <w:szCs w:val="32"/>
          <w:lang w:eastAsia="zh-CN"/>
          <w14:textFill>
            <w14:solidFill>
              <w14:schemeClr w14:val="tx1"/>
            </w14:solidFill>
          </w14:textFill>
        </w:rPr>
        <w:t>是使用上年结余。</w:t>
      </w:r>
    </w:p>
    <w:p>
      <w:pPr>
        <w:pStyle w:val="10"/>
        <w:ind w:firstLine="800" w:firstLineChars="250"/>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b/>
          <w:bCs/>
          <w:color w:val="000000" w:themeColor="text1"/>
          <w:sz w:val="32"/>
          <w:szCs w:val="32"/>
          <w14:textFill>
            <w14:solidFill>
              <w14:schemeClr w14:val="tx1"/>
            </w14:solidFill>
          </w14:textFill>
        </w:rPr>
        <w:t>教育支出（类）普通教育（款）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其他普通</w:t>
      </w:r>
      <w:r>
        <w:rPr>
          <w:rFonts w:hint="eastAsia" w:asciiTheme="minorEastAsia" w:hAnsiTheme="minorEastAsia" w:eastAsiaTheme="minorEastAsia"/>
          <w:b/>
          <w:bCs/>
          <w:color w:val="000000" w:themeColor="text1"/>
          <w:sz w:val="32"/>
          <w:szCs w:val="32"/>
          <w14:textFill>
            <w14:solidFill>
              <w14:schemeClr w14:val="tx1"/>
            </w14:solidFill>
          </w14:textFill>
        </w:rPr>
        <w:t>教育</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0"/>
        <w:numPr>
          <w:ilvl w:val="0"/>
          <w:numId w:val="0"/>
        </w:numPr>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143.60</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eastAsia="zh-CN"/>
          <w14:textFill>
            <w14:solidFill>
              <w14:schemeClr w14:val="tx1"/>
            </w14:solidFill>
          </w14:textFill>
        </w:rPr>
        <w:t>财政追加</w:t>
      </w:r>
      <w:r>
        <w:rPr>
          <w:rFonts w:hint="eastAsia" w:asciiTheme="minorEastAsia" w:hAnsiTheme="minorEastAsia" w:eastAsiaTheme="minorEastAsia"/>
          <w:color w:val="000000" w:themeColor="text1"/>
          <w:sz w:val="32"/>
          <w:szCs w:val="32"/>
          <w14:textFill>
            <w14:solidFill>
              <w14:schemeClr w14:val="tx1"/>
            </w14:solidFill>
          </w14:textFill>
        </w:rPr>
        <w:t>文明校园建设经费</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p>
    <w:p>
      <w:pPr>
        <w:pStyle w:val="10"/>
        <w:numPr>
          <w:ilvl w:val="0"/>
          <w:numId w:val="0"/>
        </w:numPr>
        <w:ind w:leftChars="250" w:firstLine="320" w:firstLineChars="100"/>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b/>
          <w:bCs/>
          <w:color w:val="000000" w:themeColor="text1"/>
          <w:sz w:val="32"/>
          <w:szCs w:val="32"/>
          <w14:textFill>
            <w14:solidFill>
              <w14:schemeClr w14:val="tx1"/>
            </w14:solidFill>
          </w14:textFill>
        </w:rPr>
        <w:t>教育支出（类）</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教育费附加安排的支出</w:t>
      </w:r>
      <w:r>
        <w:rPr>
          <w:rFonts w:hint="eastAsia" w:asciiTheme="minorEastAsia" w:hAnsiTheme="minorEastAsia" w:eastAsiaTheme="minorEastAsia"/>
          <w:b/>
          <w:bCs/>
          <w:color w:val="000000" w:themeColor="text1"/>
          <w:sz w:val="32"/>
          <w:szCs w:val="32"/>
          <w14:textFill>
            <w14:solidFill>
              <w14:schemeClr w14:val="tx1"/>
            </w14:solidFill>
          </w14:textFill>
        </w:rPr>
        <w:t>（款）</w:t>
      </w:r>
      <w:r>
        <w:rPr>
          <w:rFonts w:hint="eastAsia" w:asciiTheme="minorEastAsia" w:hAnsiTheme="minorEastAsia" w:eastAsiaTheme="minorEastAsia"/>
          <w:b/>
          <w:bCs/>
          <w:color w:val="000000" w:themeColor="text1"/>
          <w:sz w:val="32"/>
          <w:szCs w:val="32"/>
          <w:lang w:eastAsia="zh-CN"/>
          <w14:textFill>
            <w14:solidFill>
              <w14:schemeClr w14:val="tx1"/>
            </w14:solidFill>
          </w14:textFill>
        </w:rPr>
        <w:t>其他教育费附加</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安</w:t>
      </w:r>
    </w:p>
    <w:p>
      <w:pPr>
        <w:pStyle w:val="10"/>
        <w:numPr>
          <w:ilvl w:val="0"/>
          <w:numId w:val="0"/>
        </w:numPr>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lang w:eastAsia="zh-CN"/>
          <w14:textFill>
            <w14:solidFill>
              <w14:schemeClr w14:val="tx1"/>
            </w14:solidFill>
          </w14:textFill>
        </w:rPr>
        <w:t>排的支出</w:t>
      </w:r>
      <w:r>
        <w:rPr>
          <w:rFonts w:hint="eastAsia" w:asciiTheme="minorEastAsia" w:hAnsiTheme="minorEastAsia" w:eastAsiaTheme="minorEastAsia"/>
          <w:b/>
          <w:bCs/>
          <w:color w:val="000000" w:themeColor="text1"/>
          <w:sz w:val="32"/>
          <w:szCs w:val="32"/>
          <w14:textFill>
            <w14:solidFill>
              <w14:schemeClr w14:val="tx1"/>
            </w14:solidFill>
          </w14:textFill>
        </w:rPr>
        <w:t>（项）</w:t>
      </w:r>
    </w:p>
    <w:p>
      <w:pPr>
        <w:pStyle w:val="10"/>
        <w:numPr>
          <w:ilvl w:val="0"/>
          <w:numId w:val="0"/>
        </w:numPr>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686.24</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1143</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eastAsia="zh-CN"/>
          <w14:textFill>
            <w14:solidFill>
              <w14:schemeClr w14:val="tx1"/>
            </w14:solidFill>
          </w14:textFill>
        </w:rPr>
        <w:t>财政追加安排教职工绩效考评奖励。</w:t>
      </w:r>
    </w:p>
    <w:p>
      <w:pPr>
        <w:pStyle w:val="10"/>
        <w:numPr>
          <w:ilvl w:val="0"/>
          <w:numId w:val="3"/>
        </w:numPr>
        <w:ind w:firstLine="960" w:firstLineChars="300"/>
        <w:rPr>
          <w:rFonts w:hint="eastAsia" w:ascii="宋体" w:hAnsi="宋体"/>
          <w:b/>
          <w:bCs/>
          <w:color w:val="000000"/>
          <w:kern w:val="0"/>
          <w:sz w:val="32"/>
          <w:highlight w:val="white"/>
          <w:lang w:val="en-US"/>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社</w:t>
      </w:r>
      <w:r>
        <w:rPr>
          <w:rFonts w:hint="eastAsia" w:asciiTheme="minorEastAsia" w:hAnsiTheme="minorEastAsia" w:eastAsiaTheme="minorEastAsia"/>
          <w:b/>
          <w:bCs/>
          <w:color w:val="000000" w:themeColor="text1"/>
          <w:sz w:val="32"/>
          <w:szCs w:val="32"/>
          <w:lang w:val="en-US"/>
          <w14:textFill>
            <w14:solidFill>
              <w14:schemeClr w14:val="tx1"/>
            </w14:solidFill>
          </w14:textFill>
        </w:rPr>
        <w:t>会保障和就业支出（类）行政事业单位养老支出（款）机关事业单位基本养老保险缴费支出（项</w:t>
      </w:r>
      <w:r>
        <w:rPr>
          <w:rFonts w:hint="eastAsia" w:ascii="宋体" w:hAnsi="宋体"/>
          <w:b/>
          <w:bCs/>
          <w:color w:val="000000"/>
          <w:kern w:val="0"/>
          <w:sz w:val="32"/>
          <w:highlight w:val="white"/>
          <w:lang w:val="en-US"/>
        </w:rPr>
        <w:t>）</w:t>
      </w:r>
    </w:p>
    <w:p>
      <w:pPr>
        <w:pStyle w:val="10"/>
        <w:numPr>
          <w:ilvl w:val="0"/>
          <w:numId w:val="0"/>
        </w:numPr>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宋体" w:hAnsi="宋体"/>
          <w:color w:val="000000"/>
          <w:kern w:val="0"/>
          <w:sz w:val="32"/>
          <w:highlight w:val="white"/>
          <w:lang w:val="en-US" w:eastAsia="zh-CN"/>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184.28</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184.28</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无差异。</w:t>
      </w:r>
    </w:p>
    <w:p>
      <w:pPr>
        <w:numPr>
          <w:ilvl w:val="0"/>
          <w:numId w:val="0"/>
        </w:numPr>
        <w:ind w:firstLine="960" w:firstLineChars="300"/>
        <w:rPr>
          <w:rFonts w:hint="eastAsia" w:ascii="宋体" w:hAnsi="宋体"/>
          <w:b/>
          <w:bCs/>
          <w:color w:val="000000"/>
          <w:kern w:val="0"/>
          <w:sz w:val="32"/>
          <w:highlight w:val="white"/>
          <w:lang w:val="en-US"/>
        </w:rPr>
      </w:pP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5、</w:t>
      </w:r>
      <w:r>
        <w:rPr>
          <w:rFonts w:hint="eastAsia" w:ascii="宋体" w:hAnsi="宋体"/>
          <w:b/>
          <w:bCs/>
          <w:color w:val="000000"/>
          <w:kern w:val="0"/>
          <w:sz w:val="32"/>
          <w:highlight w:val="white"/>
          <w:lang w:val="en-US"/>
        </w:rPr>
        <w:t>社会保障和就业支出（类）抚恤（款）其他优抚支出（项）</w:t>
      </w:r>
    </w:p>
    <w:p>
      <w:pPr>
        <w:pStyle w:val="10"/>
        <w:numPr>
          <w:ilvl w:val="0"/>
          <w:numId w:val="0"/>
        </w:numPr>
        <w:ind w:firstLine="640" w:firstLineChars="200"/>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3.38</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eastAsia="zh-CN"/>
          <w14:textFill>
            <w14:solidFill>
              <w14:schemeClr w14:val="tx1"/>
            </w14:solidFill>
          </w14:textFill>
        </w:rPr>
        <w:t>财政追加安排抚恤金。</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b/>
          <w:bCs/>
          <w:color w:val="000000" w:themeColor="text1"/>
          <w:sz w:val="32"/>
          <w:szCs w:val="32"/>
          <w:lang w:val="en-US"/>
          <w14:textFill>
            <w14:solidFill>
              <w14:schemeClr w14:val="tx1"/>
            </w14:solidFill>
          </w14:textFill>
        </w:rPr>
        <w:t>卫生健康支出（类）行政事业单位医疗（款）事业单位医疗（项）</w:t>
      </w:r>
    </w:p>
    <w:p>
      <w:pPr>
        <w:pStyle w:val="10"/>
        <w:numPr>
          <w:ilvl w:val="0"/>
          <w:numId w:val="0"/>
        </w:numPr>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sz w:val="32"/>
          <w:szCs w:val="32"/>
        </w:rPr>
        <w:t>85.29</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85.29</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100 </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无差异。</w:t>
      </w:r>
    </w:p>
    <w:p>
      <w:pPr>
        <w:pStyle w:val="10"/>
        <w:numPr>
          <w:ilvl w:val="0"/>
          <w:numId w:val="4"/>
        </w:numPr>
        <w:ind w:left="960" w:leftChars="0" w:firstLine="0" w:firstLineChars="0"/>
        <w:rPr>
          <w:rFonts w:hint="eastAsia" w:asciiTheme="minorEastAsia" w:hAnsiTheme="minorEastAsia" w:eastAsiaTheme="minorEastAsia"/>
          <w:b/>
          <w:bCs/>
          <w:color w:val="000000" w:themeColor="text1"/>
          <w:sz w:val="32"/>
          <w:szCs w:val="32"/>
          <w:lang w:val="en-US"/>
          <w14:textFill>
            <w14:solidFill>
              <w14:schemeClr w14:val="tx1"/>
            </w14:solidFill>
          </w14:textFill>
        </w:rPr>
      </w:pPr>
      <w:r>
        <w:rPr>
          <w:rFonts w:hint="eastAsia" w:asciiTheme="minorEastAsia" w:hAnsiTheme="minorEastAsia" w:eastAsiaTheme="minorEastAsia"/>
          <w:b/>
          <w:bCs/>
          <w:color w:val="000000" w:themeColor="text1"/>
          <w:sz w:val="32"/>
          <w:szCs w:val="32"/>
          <w:lang w:val="en-US"/>
          <w14:textFill>
            <w14:solidFill>
              <w14:schemeClr w14:val="tx1"/>
            </w14:solidFill>
          </w14:textFill>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14:textFill>
            <w14:solidFill>
              <w14:schemeClr w14:val="tx1"/>
            </w14:solidFill>
          </w14:textFill>
        </w:rPr>
        <w:t>（项）</w:t>
      </w:r>
    </w:p>
    <w:p>
      <w:pPr>
        <w:pStyle w:val="10"/>
        <w:numPr>
          <w:ilvl w:val="0"/>
          <w:numId w:val="0"/>
        </w:numPr>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45.68</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45.68</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无差异。</w:t>
      </w:r>
    </w:p>
    <w:p>
      <w:pPr>
        <w:pStyle w:val="10"/>
        <w:numPr>
          <w:ilvl w:val="0"/>
          <w:numId w:val="4"/>
        </w:numPr>
        <w:ind w:left="960" w:leftChars="0" w:firstLine="0" w:firstLineChars="0"/>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0"/>
        <w:numPr>
          <w:ilvl w:val="0"/>
          <w:numId w:val="0"/>
        </w:numPr>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sz w:val="32"/>
          <w:szCs w:val="32"/>
        </w:rPr>
        <w:t>138.21</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sz w:val="32"/>
          <w:szCs w:val="32"/>
        </w:rPr>
        <w:t>138.21</w:t>
      </w:r>
      <w:r>
        <w:rPr>
          <w:rFonts w:hint="eastAsia" w:asciiTheme="minorEastAsia" w:hAnsiTheme="minorEastAsia" w:eastAsiaTheme="minorEastAsia"/>
          <w:color w:val="000000" w:themeColor="text1"/>
          <w:sz w:val="32"/>
          <w:szCs w:val="32"/>
          <w14:textFill>
            <w14:solidFill>
              <w14:schemeClr w14:val="tx1"/>
            </w14:solidFill>
          </w14:textFill>
        </w:rPr>
        <w:t>万元，完成年初预算的</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无差异。</w:t>
      </w:r>
    </w:p>
    <w:p>
      <w:pPr>
        <w:pStyle w:val="10"/>
        <w:numPr>
          <w:ilvl w:val="0"/>
          <w:numId w:val="4"/>
        </w:numPr>
        <w:ind w:left="960" w:leftChars="0" w:firstLine="0" w:firstLineChars="0"/>
        <w:rPr>
          <w:rFonts w:hint="eastAsia" w:asciiTheme="minorEastAsia" w:hAnsiTheme="minorEastAsia" w:eastAsiaTheme="minorEastAsia"/>
          <w:b/>
          <w:bCs/>
          <w:sz w:val="32"/>
          <w:szCs w:val="32"/>
          <w:lang w:val="en-US" w:eastAsia="zh-CN"/>
        </w:rPr>
      </w:pPr>
      <w:r>
        <w:rPr>
          <w:rFonts w:hint="eastAsia" w:asciiTheme="minorEastAsia" w:hAnsiTheme="minorEastAsia" w:eastAsiaTheme="minorEastAsia"/>
          <w:b/>
          <w:bCs/>
          <w:sz w:val="32"/>
          <w:szCs w:val="32"/>
          <w:lang w:val="en-US" w:eastAsia="zh-CN"/>
        </w:rPr>
        <w:t>其他支出（类</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b/>
          <w:bCs/>
          <w:color w:val="000000" w:themeColor="text1"/>
          <w:sz w:val="32"/>
          <w:szCs w:val="32"/>
          <w14:textFill>
            <w14:solidFill>
              <w14:schemeClr w14:val="tx1"/>
            </w14:solidFill>
          </w14:textFill>
        </w:rPr>
        <w:t>彩票公益金安排的支出</w:t>
      </w:r>
      <w:r>
        <w:rPr>
          <w:rFonts w:hint="eastAsia" w:asciiTheme="minorEastAsia" w:hAnsiTheme="minorEastAsia" w:eastAsiaTheme="minorEastAsia"/>
          <w:b/>
          <w:bCs/>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b/>
          <w:bCs/>
          <w:sz w:val="32"/>
          <w:szCs w:val="32"/>
          <w:lang w:val="en-US" w:eastAsia="zh-CN"/>
        </w:rPr>
        <w:t>款）</w:t>
      </w:r>
      <w:r>
        <w:rPr>
          <w:rFonts w:hint="eastAsia" w:asciiTheme="minorEastAsia" w:hAnsiTheme="minorEastAsia" w:eastAsiaTheme="minorEastAsia"/>
          <w:b/>
          <w:bCs/>
          <w:sz w:val="32"/>
          <w:szCs w:val="32"/>
        </w:rPr>
        <w:t>用于体育事业的彩</w:t>
      </w:r>
    </w:p>
    <w:p>
      <w:pPr>
        <w:pStyle w:val="10"/>
        <w:numPr>
          <w:ilvl w:val="0"/>
          <w:numId w:val="0"/>
        </w:numPr>
        <w:rPr>
          <w:rFonts w:hint="eastAsia" w:asciiTheme="minorEastAsia" w:hAnsiTheme="minorEastAsia" w:eastAsiaTheme="minorEastAsia"/>
          <w:b/>
          <w:bCs/>
          <w:sz w:val="32"/>
          <w:szCs w:val="32"/>
          <w:lang w:val="en-US" w:eastAsia="zh-CN"/>
        </w:rPr>
      </w:pPr>
      <w:r>
        <w:rPr>
          <w:rFonts w:hint="eastAsia" w:asciiTheme="minorEastAsia" w:hAnsiTheme="minorEastAsia" w:eastAsiaTheme="minorEastAsia"/>
          <w:b/>
          <w:bCs/>
          <w:sz w:val="32"/>
          <w:szCs w:val="32"/>
        </w:rPr>
        <w:t>票公益金支出</w:t>
      </w:r>
      <w:r>
        <w:rPr>
          <w:rFonts w:hint="eastAsia" w:asciiTheme="minorEastAsia" w:hAnsiTheme="minorEastAsia" w:eastAsiaTheme="minorEastAsia"/>
          <w:b/>
          <w:bCs/>
          <w:sz w:val="32"/>
          <w:szCs w:val="32"/>
          <w:lang w:val="en-US" w:eastAsia="zh-CN"/>
        </w:rPr>
        <w:t>（项）</w:t>
      </w:r>
    </w:p>
    <w:p>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小于</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年初预算数的主要原因是</w:t>
      </w:r>
      <w:r>
        <w:rPr>
          <w:rFonts w:hint="eastAsia" w:asciiTheme="minorEastAsia" w:hAnsiTheme="minorEastAsia" w:eastAsiaTheme="minorEastAsia"/>
          <w:color w:val="000000" w:themeColor="text1"/>
          <w:sz w:val="32"/>
          <w:szCs w:val="32"/>
          <w:lang w:eastAsia="zh-CN"/>
          <w14:textFill>
            <w14:solidFill>
              <w14:schemeClr w14:val="tx1"/>
            </w14:solidFill>
          </w14:textFill>
        </w:rPr>
        <w:t>上年结余用于</w:t>
      </w:r>
      <w:r>
        <w:rPr>
          <w:rFonts w:hint="eastAsia" w:asciiTheme="minorEastAsia" w:hAnsiTheme="minorEastAsia" w:eastAsiaTheme="minorEastAsia"/>
          <w:sz w:val="32"/>
          <w:szCs w:val="32"/>
        </w:rPr>
        <w:t>校园足球队的训练等开支。</w:t>
      </w:r>
    </w:p>
    <w:p>
      <w:pPr>
        <w:pStyle w:val="10"/>
        <w:ind w:firstLine="640" w:firstLineChars="20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2531万元，其中：人员经费2270.46万元，占基本支出的89.71%,主要包括基本工资、津贴补贴、奖金、五险一金等；公用经费260.54万元，占基本支出的10.29%，主要包括办公费、印刷费、培训费、劳务费等。</w:t>
      </w:r>
    </w:p>
    <w:p>
      <w:pPr>
        <w:pStyle w:val="10"/>
        <w:ind w:firstLine="640" w:firstLineChars="200"/>
        <w:rPr>
          <w:rFonts w:hAnsi="黑体"/>
          <w:b/>
          <w:sz w:val="32"/>
          <w:szCs w:val="32"/>
        </w:rPr>
      </w:pPr>
      <w:r>
        <w:rPr>
          <w:rFonts w:hint="eastAsia" w:hAnsi="黑体"/>
          <w:b/>
          <w:sz w:val="32"/>
          <w:szCs w:val="32"/>
        </w:rPr>
        <w:t>七、一般公共预算财政拨款三公经费支出决算情况说明</w:t>
      </w:r>
    </w:p>
    <w:p>
      <w:pPr>
        <w:pStyle w:val="10"/>
        <w:ind w:firstLine="320"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“三公”经费财政拨款支出预算为8万元，支出决算为0.13万元，完成预算的1.63%，其中：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因公出国（境）费支出预算为3万元，支出决算为0万元，完成预算的0%，决算数小于预算数的主要原因是未发生出国（境）费，与上年相比</w:t>
      </w:r>
      <w:r>
        <w:rPr>
          <w:rFonts w:hint="eastAsia" w:asciiTheme="minorEastAsia" w:hAnsiTheme="minorEastAsia" w:eastAsiaTheme="minorEastAsia"/>
          <w:sz w:val="32"/>
          <w:szCs w:val="32"/>
          <w:lang w:eastAsia="zh-CN"/>
        </w:rPr>
        <w:t>无增减变化</w:t>
      </w:r>
      <w:r>
        <w:rPr>
          <w:rFonts w:hint="eastAsia" w:asciiTheme="minorEastAsia" w:hAnsiTheme="minorEastAsia" w:eastAsiaTheme="minorEastAsia"/>
          <w:sz w:val="32"/>
          <w:szCs w:val="32"/>
        </w:rPr>
        <w:t>，主要原因是2019年度未发生出国（境）费。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5万元，支出决算为0.13万元，完成预算的2.6%，决算数小于预算数的主要原因是严格控制公务接待。与上年相比减少0.25万元，减少66.68%,减少的主要原因是严格执行相关规章制度，减少公务接待。</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w:t>
      </w:r>
      <w:r>
        <w:rPr>
          <w:rFonts w:hint="eastAsia" w:ascii="宋体" w:hAnsi="宋体" w:eastAsia="宋体"/>
          <w:bCs/>
          <w:sz w:val="32"/>
          <w:szCs w:val="32"/>
          <w:lang w:val="en-US" w:eastAsia="zh-CN"/>
        </w:rPr>
        <w:t>决算数与预算数一致为0的主要原因是单位无公车，</w:t>
      </w:r>
      <w:r>
        <w:rPr>
          <w:rFonts w:hint="eastAsia" w:asciiTheme="minorEastAsia" w:hAnsiTheme="minorEastAsia" w:eastAsiaTheme="minorEastAsia"/>
          <w:sz w:val="32"/>
          <w:szCs w:val="32"/>
        </w:rPr>
        <w:t>与上年相比减少1.2万元，减少100%,减少的主要原因是我校的公务车辆于2019年12月上交到岳阳市机关事务局。</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2020年度“三公”经费财政拨款支出决算中，公务接待费支出决算0.13万元，占100%,</w:t>
      </w:r>
      <w:r>
        <w:rPr>
          <w:rFonts w:hint="eastAsia" w:ascii="宋体" w:hAnsi="宋体" w:eastAsia="宋体" w:cs="宋体"/>
          <w:color w:val="000000"/>
          <w:kern w:val="0"/>
          <w:sz w:val="32"/>
          <w:szCs w:val="32"/>
        </w:rPr>
        <w:t>因公出国（境）费支出决算0万元，占0%,公务用车购置费及运行维护费支出决算0万元，占0%。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w:t>
      </w:r>
      <w:r>
        <w:rPr>
          <w:rFonts w:hint="eastAsia" w:ascii="宋体" w:hAnsi="宋体" w:eastAsia="宋体" w:cs="宋体"/>
          <w:color w:val="000000"/>
          <w:kern w:val="0"/>
          <w:sz w:val="32"/>
          <w:szCs w:val="32"/>
        </w:rPr>
        <w:t>因公出国（境）费支出决算为0万元，全年安排因公出国（境）团组0个，累计0人次。</w:t>
      </w:r>
    </w:p>
    <w:p>
      <w:pPr>
        <w:pStyle w:val="10"/>
        <w:ind w:firstLine="64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公务接待费支出决算为0.13万元，全年共接待来访团组1个、来宾36人次，主要是来我校交流学习发生的接待支出。</w:t>
      </w:r>
    </w:p>
    <w:p>
      <w:pPr>
        <w:ind w:firstLine="640" w:firstLineChars="200"/>
        <w:rPr>
          <w:rFonts w:hint="eastAsia" w:ascii="宋体" w:hAnsi="宋体"/>
          <w:sz w:val="32"/>
          <w:szCs w:val="32"/>
          <w:lang w:val="en-US" w:eastAsia="zh-CN"/>
        </w:rPr>
      </w:pPr>
      <w:r>
        <w:rPr>
          <w:rFonts w:hint="eastAsia" w:cs="黑体" w:asciiTheme="minorEastAsia" w:hAnsiTheme="minorEastAsia"/>
          <w:color w:val="000000"/>
          <w:kern w:val="0"/>
          <w:sz w:val="32"/>
          <w:szCs w:val="32"/>
          <w:lang w:val="en-US" w:eastAsia="zh-CN"/>
        </w:rPr>
        <w:t>3、</w:t>
      </w:r>
      <w:r>
        <w:rPr>
          <w:rFonts w:hint="eastAsia" w:ascii="宋体" w:hAnsi="宋体"/>
          <w:sz w:val="32"/>
          <w:szCs w:val="32"/>
        </w:rPr>
        <w:t>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2"/>
        <w:rPr>
          <w:rFonts w:hint="eastAsia" w:ascii="宋体" w:hAnsi="宋体"/>
          <w:sz w:val="32"/>
          <w:szCs w:val="32"/>
          <w:lang w:val="en-US" w:eastAsia="zh-CN"/>
        </w:rPr>
      </w:pPr>
    </w:p>
    <w:p>
      <w:pPr>
        <w:pStyle w:val="2"/>
        <w:rPr>
          <w:rFonts w:hint="eastAsia" w:ascii="宋体" w:hAnsi="宋体"/>
          <w:sz w:val="32"/>
          <w:szCs w:val="32"/>
          <w:lang w:val="en-US" w:eastAsia="zh-CN"/>
        </w:rPr>
      </w:pPr>
    </w:p>
    <w:p>
      <w:pPr>
        <w:pStyle w:val="10"/>
        <w:ind w:firstLine="640" w:firstLineChars="20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2020年度政府性基金预算财政拨款收入10万元；年初结转和结余0万元；支出10万元，其中项目支出10万元；年末结转和结余0万元。</w:t>
      </w:r>
    </w:p>
    <w:p>
      <w:pPr>
        <w:pStyle w:val="10"/>
        <w:ind w:firstLine="640" w:firstLineChars="200"/>
        <w:rPr>
          <w:rFonts w:hAnsi="黑体"/>
          <w:b/>
          <w:sz w:val="32"/>
          <w:szCs w:val="32"/>
        </w:rPr>
      </w:pPr>
      <w:r>
        <w:rPr>
          <w:rFonts w:hint="eastAsia" w:hAnsi="黑体"/>
          <w:b/>
          <w:sz w:val="32"/>
          <w:szCs w:val="32"/>
        </w:rPr>
        <w:t>九、国有资本经营预算财政拨款支出决算情况</w:t>
      </w:r>
    </w:p>
    <w:p>
      <w:pPr>
        <w:pStyle w:val="10"/>
        <w:rPr>
          <w:rFonts w:hAnsi="黑体"/>
          <w:b/>
          <w:sz w:val="32"/>
          <w:szCs w:val="32"/>
        </w:rPr>
      </w:pPr>
      <w:r>
        <w:rPr>
          <w:rFonts w:hint="eastAsia" w:asciiTheme="minorEastAsia" w:hAnsiTheme="minorEastAsia" w:eastAsiaTheme="minorEastAsia"/>
          <w:sz w:val="32"/>
          <w:szCs w:val="32"/>
        </w:rPr>
        <w:t xml:space="preserve">    岳阳市第十中学无国有资本经营预算财政拨款支出</w:t>
      </w:r>
      <w:r>
        <w:rPr>
          <w:rFonts w:asciiTheme="minorEastAsia" w:hAnsiTheme="minorEastAsia" w:eastAsiaTheme="minorEastAsia"/>
          <w:sz w:val="32"/>
          <w:szCs w:val="32"/>
        </w:rPr>
        <w:t>。</w:t>
      </w:r>
    </w:p>
    <w:p>
      <w:pPr>
        <w:pStyle w:val="10"/>
        <w:ind w:firstLine="640" w:firstLineChars="200"/>
        <w:rPr>
          <w:rFonts w:hAnsi="黑体"/>
          <w:b/>
          <w:sz w:val="32"/>
          <w:szCs w:val="32"/>
        </w:rPr>
      </w:pPr>
      <w:r>
        <w:rPr>
          <w:rFonts w:hint="eastAsia" w:hAnsi="黑体"/>
          <w:b/>
          <w:sz w:val="32"/>
          <w:szCs w:val="32"/>
        </w:rPr>
        <w:t>十、关于机关运行经费支出说明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pStyle w:val="10"/>
        <w:ind w:firstLine="640" w:firstLineChars="200"/>
        <w:rPr>
          <w:rFonts w:hAnsi="黑体"/>
          <w:b/>
          <w:sz w:val="32"/>
          <w:szCs w:val="32"/>
        </w:rPr>
      </w:pPr>
      <w:r>
        <w:rPr>
          <w:rFonts w:hint="eastAsia" w:hAnsi="黑体"/>
          <w:b/>
          <w:sz w:val="32"/>
          <w:szCs w:val="32"/>
        </w:rPr>
        <w:t>十一、一般性支出情况</w:t>
      </w:r>
    </w:p>
    <w:p>
      <w:pPr>
        <w:ind w:firstLine="640" w:firstLineChars="200"/>
        <w:rPr>
          <w:rFonts w:asciiTheme="minorEastAsia" w:hAnsiTheme="minorEastAsia"/>
          <w:sz w:val="32"/>
          <w:szCs w:val="32"/>
        </w:rPr>
      </w:pPr>
      <w:r>
        <w:rPr>
          <w:rFonts w:hint="eastAsia" w:asciiTheme="minorEastAsia" w:hAnsiTheme="minorEastAsia"/>
          <w:sz w:val="32"/>
          <w:szCs w:val="32"/>
        </w:rPr>
        <w:t>2020年本部门开支会议费0万元</w:t>
      </w:r>
      <w:r>
        <w:rPr>
          <w:rFonts w:hint="eastAsia" w:asciiTheme="minorEastAsia" w:hAnsiTheme="minorEastAsia"/>
          <w:sz w:val="32"/>
          <w:szCs w:val="32"/>
          <w:lang w:eastAsia="zh-CN"/>
        </w:rPr>
        <w:t>，召开会议</w:t>
      </w:r>
      <w:r>
        <w:rPr>
          <w:rFonts w:hint="eastAsia" w:asciiTheme="minorEastAsia" w:hAnsiTheme="minorEastAsia"/>
          <w:sz w:val="32"/>
          <w:szCs w:val="32"/>
          <w:lang w:val="en-US" w:eastAsia="zh-CN"/>
        </w:rPr>
        <w:t>0次，人数0人；</w:t>
      </w:r>
      <w:r>
        <w:rPr>
          <w:rFonts w:hint="eastAsia" w:asciiTheme="minorEastAsia" w:hAnsiTheme="minorEastAsia"/>
          <w:sz w:val="32"/>
          <w:szCs w:val="32"/>
        </w:rPr>
        <w:t>开支培训费12.98万元，用于开展教师业务培训，人数225人次，内容为教育教学培训等；我校未举办节庆、晚会、论坛、赛事等活动，开支0万元。</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Theme="minorEastAsia" w:hAnsiTheme="minorEastAsia" w:eastAsiaTheme="minorEastAsia"/>
          <w:sz w:val="32"/>
          <w:szCs w:val="32"/>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Ansi="黑体"/>
          <w:b/>
          <w:sz w:val="32"/>
          <w:szCs w:val="32"/>
        </w:rPr>
      </w:pPr>
      <w:r>
        <w:rPr>
          <w:rFonts w:hint="eastAsia" w:hAnsi="黑体"/>
          <w:b/>
          <w:sz w:val="32"/>
          <w:szCs w:val="32"/>
        </w:rPr>
        <w:t>十四、关于2020年度预算绩效情况的说明</w:t>
      </w:r>
    </w:p>
    <w:p>
      <w:pPr>
        <w:pStyle w:val="10"/>
        <w:ind w:firstLine="640" w:firstLineChars="200"/>
        <w:rPr>
          <w:rFonts w:hAnsi="黑体"/>
          <w:b/>
          <w:sz w:val="32"/>
          <w:szCs w:val="32"/>
        </w:rPr>
      </w:pPr>
      <w:r>
        <w:rPr>
          <w:rFonts w:hint="eastAsia" w:ascii="宋体" w:hAnsi="宋体" w:eastAsia="宋体" w:cs="宋体"/>
          <w:color w:val="000000"/>
          <w:kern w:val="0"/>
          <w:sz w:val="32"/>
          <w:szCs w:val="32"/>
        </w:rPr>
        <w:t>本部门预算绩效管理开展情况、绩效目标和绩效评价报告</w:t>
      </w:r>
      <w:r>
        <w:rPr>
          <w:rFonts w:hint="eastAsia" w:ascii="宋体" w:hAnsi="宋体" w:eastAsia="宋体" w:cs="宋体"/>
          <w:color w:val="000000"/>
          <w:kern w:val="0"/>
          <w:sz w:val="32"/>
          <w:szCs w:val="32"/>
          <w:lang w:eastAsia="zh-CN"/>
        </w:rPr>
        <w:t>详</w:t>
      </w:r>
      <w:r>
        <w:rPr>
          <w:rFonts w:hint="eastAsia" w:ascii="宋体" w:hAnsi="宋体" w:eastAsia="宋体" w:cs="宋体"/>
          <w:color w:val="000000"/>
          <w:kern w:val="0"/>
          <w:sz w:val="32"/>
          <w:szCs w:val="32"/>
        </w:rPr>
        <w:t>见第五部分附件</w:t>
      </w: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3.财政拨款收入：指本级财政当年拨付的资金。</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4.政府性基金：指各级政府及其所属部门根据法律、国家行政法规和中共中央、国务院有关文件的规定，为支持某项事业发展，按照国家规定程序批准，向公民、法人和其他组织征收的具有专项用途的资金。</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5.国有资本经营预算：国家以所有者身份对国有资本实行存量调整和增量分配而发生的各项收支预算，是政府预算的重要组成部分。</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6.教育支出（类）：是指用于政府教育事务支出，包括保障机构正常运转、完成日常和特定的工作任务或事业发展目标的支出。</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8.医疗卫生与计划生育支出（类）：是指用于医疗卫生与计划生育方面的支出，包括保障机构正常运转、完成日常和特定的工作任务或事业发展目标的支出。</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9.住房保障支出（类）：是指用于住房方面的支出，包括保障机构正常运转、完成日常和特定的工作任务或事业发展目标的支出。</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10.基本支出：指保障机构正常运转、完成支日常工作任务而发生的人员支出和公用支出。</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11.项目支出：指在基本支出之外为完成特定行政任务和事业发展目标所发生的支出。</w:t>
      </w:r>
    </w:p>
    <w:p>
      <w:pPr>
        <w:ind w:firstLine="707" w:firstLineChars="221"/>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12.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ind w:firstLine="707" w:firstLineChars="221"/>
        <w:jc w:val="left"/>
        <w:rPr>
          <w:rFonts w:cs="黑体" w:asciiTheme="minorEastAsia" w:hAnsiTheme="minorEastAsia"/>
          <w:color w:val="000000"/>
          <w:kern w:val="0"/>
          <w:sz w:val="32"/>
          <w:szCs w:val="32"/>
        </w:rPr>
      </w:pPr>
    </w:p>
    <w:p>
      <w:pPr>
        <w:pStyle w:val="10"/>
        <w:ind w:firstLine="640" w:firstLineChars="200"/>
        <w:rPr>
          <w:rFonts w:asciiTheme="minorEastAsia" w:hAnsiTheme="minorEastAsia" w:eastAsiaTheme="minorEastAsia"/>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720" w:firstLineChars="200"/>
        <w:jc w:val="center"/>
        <w:rPr>
          <w:rFonts w:cs="黑体" w:asciiTheme="minorEastAsia" w:hAnsiTheme="minorEastAsia"/>
          <w:b/>
          <w:color w:val="000000"/>
          <w:kern w:val="0"/>
          <w:sz w:val="36"/>
          <w:szCs w:val="32"/>
        </w:rPr>
      </w:pPr>
      <w:r>
        <w:rPr>
          <w:rFonts w:hint="eastAsia" w:cs="黑体" w:asciiTheme="minorEastAsia" w:hAnsiTheme="minorEastAsia"/>
          <w:b/>
          <w:color w:val="000000"/>
          <w:kern w:val="0"/>
          <w:sz w:val="36"/>
          <w:szCs w:val="32"/>
        </w:rPr>
        <w:t>2020年度部门整体支出绩效评价报告</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一、部门概况</w:t>
      </w:r>
    </w:p>
    <w:p>
      <w:pPr>
        <w:spacing w:line="312" w:lineRule="auto"/>
        <w:ind w:firstLine="560" w:firstLineChars="200"/>
        <w:rPr>
          <w:rFonts w:cs="Times New Roman" w:asciiTheme="minorEastAsia" w:hAnsiTheme="minorEastAsia"/>
          <w:sz w:val="28"/>
          <w:szCs w:val="32"/>
        </w:rPr>
      </w:pPr>
      <w:r>
        <w:rPr>
          <w:rFonts w:hint="eastAsia" w:cs="Times New Roman" w:asciiTheme="minorEastAsia" w:hAnsiTheme="minorEastAsia"/>
          <w:sz w:val="28"/>
          <w:szCs w:val="32"/>
        </w:rPr>
        <w:t>（一）基本情况</w:t>
      </w:r>
    </w:p>
    <w:p>
      <w:pPr>
        <w:widowControl/>
        <w:spacing w:line="312" w:lineRule="auto"/>
        <w:ind w:firstLine="430"/>
        <w:jc w:val="left"/>
        <w:rPr>
          <w:rFonts w:cs="Times New Roman" w:asciiTheme="minorEastAsia" w:hAnsiTheme="minorEastAsia"/>
          <w:sz w:val="28"/>
          <w:szCs w:val="32"/>
        </w:rPr>
      </w:pPr>
      <w:r>
        <w:rPr>
          <w:rFonts w:hint="eastAsia" w:cs="Times New Roman" w:asciiTheme="minorEastAsia" w:hAnsiTheme="minorEastAsia"/>
          <w:sz w:val="28"/>
          <w:szCs w:val="32"/>
        </w:rPr>
        <w:t>1．单位主要职能：实施义务教育，促进基础教育发展。</w:t>
      </w:r>
    </w:p>
    <w:p>
      <w:pPr>
        <w:widowControl/>
        <w:spacing w:line="312" w:lineRule="auto"/>
        <w:ind w:firstLine="430"/>
        <w:jc w:val="left"/>
        <w:rPr>
          <w:rFonts w:cs="Times New Roman" w:asciiTheme="minorEastAsia" w:hAnsiTheme="minorEastAsia"/>
          <w:sz w:val="28"/>
          <w:szCs w:val="32"/>
        </w:rPr>
      </w:pPr>
      <w:r>
        <w:rPr>
          <w:rFonts w:hint="eastAsia" w:cs="Times New Roman" w:asciiTheme="minorEastAsia" w:hAnsiTheme="minorEastAsia"/>
          <w:sz w:val="28"/>
          <w:szCs w:val="32"/>
        </w:rPr>
        <w:t>2．岳阳市第十中学成立于2003年，是一所财政全额拨款的事业单位（完全中学）。现有校长一名，副校长四名，下设机构：行政办公室、教务处、政教处、后勤处。</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3．现有在编在岗教职工</w:t>
      </w:r>
      <w:r>
        <w:rPr>
          <w:rFonts w:hint="eastAsia" w:asciiTheme="minorEastAsia" w:hAnsiTheme="minorEastAsia"/>
          <w:sz w:val="28"/>
          <w:szCs w:val="32"/>
        </w:rPr>
        <w:t>155</w:t>
      </w:r>
      <w:r>
        <w:rPr>
          <w:rFonts w:hint="eastAsia" w:cs="Times New Roman" w:asciiTheme="minorEastAsia" w:hAnsiTheme="minorEastAsia"/>
          <w:sz w:val="28"/>
          <w:szCs w:val="32"/>
        </w:rPr>
        <w:t>人，学生</w:t>
      </w:r>
      <w:r>
        <w:rPr>
          <w:rFonts w:hint="eastAsia" w:asciiTheme="minorEastAsia" w:hAnsiTheme="minorEastAsia"/>
          <w:sz w:val="28"/>
          <w:szCs w:val="32"/>
        </w:rPr>
        <w:t>1985</w:t>
      </w:r>
      <w:r>
        <w:rPr>
          <w:rFonts w:hint="eastAsia" w:cs="Times New Roman" w:asciiTheme="minorEastAsia" w:hAnsiTheme="minorEastAsia"/>
          <w:sz w:val="28"/>
          <w:szCs w:val="32"/>
        </w:rPr>
        <w:t>人，</w:t>
      </w:r>
      <w:r>
        <w:rPr>
          <w:rFonts w:hint="eastAsia" w:asciiTheme="minorEastAsia" w:hAnsiTheme="minorEastAsia"/>
          <w:sz w:val="28"/>
          <w:szCs w:val="32"/>
        </w:rPr>
        <w:t>39</w:t>
      </w:r>
      <w:r>
        <w:rPr>
          <w:rFonts w:hint="eastAsia" w:cs="Times New Roman" w:asciiTheme="minorEastAsia" w:hAnsiTheme="minorEastAsia"/>
          <w:sz w:val="28"/>
          <w:szCs w:val="32"/>
        </w:rPr>
        <w:t>个教学班。</w:t>
      </w:r>
    </w:p>
    <w:p>
      <w:pPr>
        <w:widowControl/>
        <w:spacing w:line="312" w:lineRule="auto"/>
        <w:ind w:firstLine="480"/>
        <w:rPr>
          <w:rFonts w:cs="Times New Roman" w:asciiTheme="minorEastAsia" w:hAnsiTheme="minorEastAsia"/>
          <w:sz w:val="28"/>
          <w:szCs w:val="32"/>
        </w:rPr>
      </w:pPr>
      <w:r>
        <w:rPr>
          <w:rFonts w:hint="eastAsia" w:asciiTheme="minorEastAsia" w:hAnsiTheme="minorEastAsia"/>
          <w:sz w:val="28"/>
          <w:szCs w:val="32"/>
        </w:rPr>
        <w:t>2020</w:t>
      </w:r>
      <w:r>
        <w:rPr>
          <w:rFonts w:hint="eastAsia" w:cs="Times New Roman" w:asciiTheme="minorEastAsia" w:hAnsiTheme="minorEastAsia"/>
          <w:sz w:val="28"/>
          <w:szCs w:val="32"/>
        </w:rPr>
        <w:t>年全年支出2270.17万元，主要用于人员经费和日常公用经费开支。</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二、部门整体支出管理及使用情况</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（一）基本支出</w:t>
      </w:r>
    </w:p>
    <w:p>
      <w:pPr>
        <w:widowControl/>
        <w:spacing w:line="312" w:lineRule="auto"/>
        <w:ind w:firstLine="480"/>
        <w:rPr>
          <w:rFonts w:asciiTheme="minorEastAsia" w:hAnsiTheme="minorEastAsia"/>
          <w:sz w:val="28"/>
          <w:szCs w:val="32"/>
        </w:rPr>
      </w:pPr>
      <w:r>
        <w:rPr>
          <w:rFonts w:hint="eastAsia" w:asciiTheme="minorEastAsia" w:hAnsiTheme="minorEastAsia"/>
          <w:sz w:val="28"/>
          <w:szCs w:val="32"/>
        </w:rPr>
        <w:t>全年支出2690.23万元。其中基本支出2531万元，占全年支出94.08%，项目支出15923万元，占全年支出 5.92%。其中工资福利支出2177.44万元，占全年支出80.94%；商品和服务支出353.31万元，占全年支出13.13%；对个人和家庭的补助支出141.82万元，占全年支出5.27%。资本性支出17.66万元，占全年支出0.66%。</w:t>
      </w:r>
    </w:p>
    <w:p>
      <w:pPr>
        <w:widowControl/>
        <w:shd w:val="clear" w:color="auto" w:fill="FFFFFF"/>
        <w:spacing w:line="312" w:lineRule="auto"/>
        <w:ind w:firstLine="645"/>
        <w:jc w:val="left"/>
        <w:rPr>
          <w:rFonts w:cs="Times New Roman" w:asciiTheme="minorEastAsia" w:hAnsiTheme="minorEastAsia"/>
          <w:sz w:val="28"/>
          <w:szCs w:val="32"/>
        </w:rPr>
      </w:pPr>
      <w:r>
        <w:rPr>
          <w:rFonts w:hint="eastAsia" w:cs="Times New Roman" w:asciiTheme="minorEastAsia" w:hAnsiTheme="minorEastAsia"/>
          <w:sz w:val="28"/>
          <w:szCs w:val="32"/>
        </w:rPr>
        <w:t>（二）专项支出</w:t>
      </w:r>
    </w:p>
    <w:p>
      <w:pPr>
        <w:widowControl/>
        <w:shd w:val="clear" w:color="auto" w:fill="FFFFFF"/>
        <w:spacing w:line="312" w:lineRule="auto"/>
        <w:ind w:firstLine="645"/>
        <w:jc w:val="left"/>
        <w:rPr>
          <w:rFonts w:cs="Times New Roman" w:asciiTheme="minorEastAsia" w:hAnsiTheme="minorEastAsia"/>
          <w:sz w:val="28"/>
          <w:szCs w:val="32"/>
        </w:rPr>
      </w:pPr>
      <w:r>
        <w:rPr>
          <w:rFonts w:hint="eastAsia" w:cs="Times New Roman" w:asciiTheme="minorEastAsia" w:hAnsiTheme="minorEastAsia"/>
          <w:sz w:val="28"/>
          <w:szCs w:val="32"/>
        </w:rPr>
        <w:t>我校全年项目支出149.23万元 元。其中普通教育支出139.85万元，其他教育附加费安排的支出6万元，其他优抚支出3.38万元。</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（三）资产管理情况</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我校财务管理制度健全，执行制度严格合规，会计核算符合相关规定，资金专款专用，资金支付依据和开支标准合法合规，严格执行政府采购。资产分为流动资产固定资产，具体包括：银行存款、其他应收款、固定资产。固定资产、办公家具和用品严格按照内部控制规范的《资产管理办法》、《政府采购预算》、《政府采购管理办法》进行配置和处置。我校严格按照财务管理的相关要求，建立了《固定资产管理办法》、《货币资金管理、应收款和无形资产》和《政府采购预算》及《政府采购管理办法》等固定资产和办公用品使用、审批、稽核的内部管理规范。</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2020年末我校资产原值总额5606.98万元。</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三、部门专项组织实施情况</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按照市财政局预算科通知有关要求，及时完成相关库报送工作，按时完成2020年预算编制工作，并按时提交部门预算草案。按规定编制政府采购预算，预算编制全面、科学。</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2020年部门决算、绩效目标填报及年末结余结转都是严格按照市财政局的要求认真完成。</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财政拨款安排支出主要用于保障我校正常运转、完成日常工作任务以教学任务等相关工作。 基本支出用于保障我校正常运转的日常支出，包括基本工资、津贴补贴等人员经费以及办公费、印刷费、水电费、办公设备购置等日常公用经费和学生助学金等支出。项目支出，用于保障我校为完成特定发展目标，用于专项业务工作的经费支出。</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为加强专项项目管理，我校就重点专项项目制定了《专项资金管理制度》等多项专项业务管理办法，各专项业务按照国家相关法律法规、主管部门相关文件精神、业务管理制度和专项资金管理办法实施，并按照相关质量控制体系要求实施专项项目，通过满意度调查，评价为优秀。</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四、单位整体支出绩效评价</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（一）经济效益评价</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本年资金投入进度正常；“三公”经费总体控制较好，未超本年预算和上年决算支出。预算管理方面，建立了《预决算管理办法》，制度执行总体较为有效，仍需进一步强化；资金使用管理需进一步加强。资产管理方面，建立了《固定资产管理办法》、《货币资金、应收款和无形资产管理办法》、《资产清查办法》等资产管理制度，定期进行了盘点和资产清理，总体执行较好。</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（二）效率性评价和有效性评价</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近年来在市委、市政府及上级相关部门的高度重视和关怀下，学校得到了长足发展，基础建设和基本设施趋于完善：根据2020年度部门整体支出状况的概述和分析，部门整体支出绩效情况如下：</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学校的相关工程顺利完成，专款专用。项目预算和结算都经市财政投资评审办进行评审，严格控制成本，把成本降低到最低限度。根据学校实际情况，一般项目都在寒暑假进行，严格控制项目实施进度，不影响正常教学秩序，项目完成质量都是合格。接市财政局绩效自评工作通知，我校认真学习有关文件精神，组织财务、总务人员对照标准逐条予以自评，自我分析评价，总结经验找出不足，我们认为我校所有项目都在按规范走程序，有序进行，严格执行专款专用制度，无截留、挪用、擅自扩大资金使用范围，严格管理，会计核算真实规范。无任何违规现象，总的来说处于良好状态。</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 xml:space="preserve"> 五、存在的主要问题</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1.学校建校时间较长，教室数量紧张，教学楼老师办公室不够，无室内体育场馆等。2.公用经费不足。3.学校的信息化教学设备严重老化。</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六、有关建议</w:t>
      </w:r>
    </w:p>
    <w:p>
      <w:pPr>
        <w:widowControl/>
        <w:spacing w:line="312" w:lineRule="auto"/>
        <w:ind w:firstLine="480"/>
        <w:rPr>
          <w:rFonts w:cs="Times New Roman" w:asciiTheme="minorEastAsia" w:hAnsiTheme="minorEastAsia"/>
          <w:sz w:val="28"/>
          <w:szCs w:val="32"/>
        </w:rPr>
      </w:pPr>
      <w:r>
        <w:rPr>
          <w:rFonts w:hint="eastAsia" w:cs="Times New Roman" w:asciiTheme="minorEastAsia" w:hAnsiTheme="minorEastAsia"/>
          <w:sz w:val="28"/>
          <w:szCs w:val="32"/>
        </w:rPr>
        <w:t>1.新建教学楼和室内体育场馆，2.更新教学一线的班班通设备和学生机房。3.提高公务卡使用效率，支出尽量采取刷卡或转账模式。</w:t>
      </w:r>
    </w:p>
    <w:p>
      <w:pPr>
        <w:ind w:firstLine="720" w:firstLineChars="200"/>
        <w:jc w:val="left"/>
        <w:rPr>
          <w:rFonts w:cs="黑体" w:asciiTheme="minorEastAsia" w:hAnsiTheme="minorEastAsia"/>
          <w:color w:val="000000"/>
          <w:kern w:val="0"/>
          <w:sz w:val="36"/>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4E533"/>
    <w:multiLevelType w:val="singleLevel"/>
    <w:tmpl w:val="86C4E533"/>
    <w:lvl w:ilvl="0" w:tentative="0">
      <w:start w:val="1"/>
      <w:numFmt w:val="decimal"/>
      <w:suff w:val="nothing"/>
      <w:lvlText w:val="%1、"/>
      <w:lvlJc w:val="left"/>
    </w:lvl>
  </w:abstractNum>
  <w:abstractNum w:abstractNumId="1">
    <w:nsid w:val="09DE32B9"/>
    <w:multiLevelType w:val="singleLevel"/>
    <w:tmpl w:val="09DE32B9"/>
    <w:lvl w:ilvl="0" w:tentative="0">
      <w:start w:val="7"/>
      <w:numFmt w:val="decimal"/>
      <w:suff w:val="nothing"/>
      <w:lvlText w:val="%1、"/>
      <w:lvlJc w:val="left"/>
      <w:pPr>
        <w:ind w:left="960" w:leftChars="0" w:firstLine="0" w:firstLineChars="0"/>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83314C"/>
    <w:multiLevelType w:val="singleLevel"/>
    <w:tmpl w:val="5583314C"/>
    <w:lvl w:ilvl="0" w:tentative="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GNmZjAyMWUyZjNlYzBkMDdmZGZhMWVhZGNiMDQifQ=="/>
  </w:docVars>
  <w:rsids>
    <w:rsidRoot w:val="004506F9"/>
    <w:rsid w:val="0002229B"/>
    <w:rsid w:val="000273BD"/>
    <w:rsid w:val="0003450A"/>
    <w:rsid w:val="000415B7"/>
    <w:rsid w:val="00041E3F"/>
    <w:rsid w:val="00047552"/>
    <w:rsid w:val="00055DAA"/>
    <w:rsid w:val="00061F7B"/>
    <w:rsid w:val="000658A3"/>
    <w:rsid w:val="00074155"/>
    <w:rsid w:val="00083D6F"/>
    <w:rsid w:val="000A3EC4"/>
    <w:rsid w:val="000A3F69"/>
    <w:rsid w:val="000B2E42"/>
    <w:rsid w:val="000E3EB2"/>
    <w:rsid w:val="00103957"/>
    <w:rsid w:val="001331CD"/>
    <w:rsid w:val="00136D48"/>
    <w:rsid w:val="00137513"/>
    <w:rsid w:val="00152C6D"/>
    <w:rsid w:val="00162D39"/>
    <w:rsid w:val="001678BD"/>
    <w:rsid w:val="00185DB4"/>
    <w:rsid w:val="001A67DB"/>
    <w:rsid w:val="001C3C29"/>
    <w:rsid w:val="001C3D2F"/>
    <w:rsid w:val="001D4F1A"/>
    <w:rsid w:val="001D51E5"/>
    <w:rsid w:val="001E080D"/>
    <w:rsid w:val="001E2C94"/>
    <w:rsid w:val="001E53D0"/>
    <w:rsid w:val="001F0C3B"/>
    <w:rsid w:val="00202C82"/>
    <w:rsid w:val="00206858"/>
    <w:rsid w:val="00210B4D"/>
    <w:rsid w:val="00214427"/>
    <w:rsid w:val="0021741E"/>
    <w:rsid w:val="002218DD"/>
    <w:rsid w:val="00226CB7"/>
    <w:rsid w:val="0025144E"/>
    <w:rsid w:val="00254B8C"/>
    <w:rsid w:val="00264552"/>
    <w:rsid w:val="00264EF9"/>
    <w:rsid w:val="00265724"/>
    <w:rsid w:val="00266CC5"/>
    <w:rsid w:val="0027426B"/>
    <w:rsid w:val="002B11FD"/>
    <w:rsid w:val="002C77D7"/>
    <w:rsid w:val="002D7169"/>
    <w:rsid w:val="002E0A30"/>
    <w:rsid w:val="00300B28"/>
    <w:rsid w:val="003130C4"/>
    <w:rsid w:val="00316C4B"/>
    <w:rsid w:val="0032192B"/>
    <w:rsid w:val="003479BD"/>
    <w:rsid w:val="00353197"/>
    <w:rsid w:val="0037037C"/>
    <w:rsid w:val="0037197D"/>
    <w:rsid w:val="003768D5"/>
    <w:rsid w:val="00384695"/>
    <w:rsid w:val="00386D80"/>
    <w:rsid w:val="00391104"/>
    <w:rsid w:val="003A3C37"/>
    <w:rsid w:val="003A6467"/>
    <w:rsid w:val="003B598E"/>
    <w:rsid w:val="003C47E6"/>
    <w:rsid w:val="003C4FC2"/>
    <w:rsid w:val="00416E61"/>
    <w:rsid w:val="0042790C"/>
    <w:rsid w:val="00430E57"/>
    <w:rsid w:val="004412A5"/>
    <w:rsid w:val="00444985"/>
    <w:rsid w:val="00446E04"/>
    <w:rsid w:val="004506F9"/>
    <w:rsid w:val="00467B33"/>
    <w:rsid w:val="004717A2"/>
    <w:rsid w:val="00472D1F"/>
    <w:rsid w:val="00473DF3"/>
    <w:rsid w:val="004821F3"/>
    <w:rsid w:val="00487911"/>
    <w:rsid w:val="00491741"/>
    <w:rsid w:val="004943B6"/>
    <w:rsid w:val="004A576F"/>
    <w:rsid w:val="00500E5F"/>
    <w:rsid w:val="005122EF"/>
    <w:rsid w:val="0051441A"/>
    <w:rsid w:val="00517C33"/>
    <w:rsid w:val="00523644"/>
    <w:rsid w:val="00525244"/>
    <w:rsid w:val="0054069E"/>
    <w:rsid w:val="00544866"/>
    <w:rsid w:val="00547800"/>
    <w:rsid w:val="005767CC"/>
    <w:rsid w:val="00587146"/>
    <w:rsid w:val="00590D9F"/>
    <w:rsid w:val="005921EA"/>
    <w:rsid w:val="00595D26"/>
    <w:rsid w:val="005A74E6"/>
    <w:rsid w:val="005B404E"/>
    <w:rsid w:val="005B74B2"/>
    <w:rsid w:val="005C4137"/>
    <w:rsid w:val="005D4D55"/>
    <w:rsid w:val="005E2CFB"/>
    <w:rsid w:val="005F3D1C"/>
    <w:rsid w:val="0062378F"/>
    <w:rsid w:val="00637267"/>
    <w:rsid w:val="00641842"/>
    <w:rsid w:val="00651EEC"/>
    <w:rsid w:val="00691E8C"/>
    <w:rsid w:val="006A22C4"/>
    <w:rsid w:val="006A351B"/>
    <w:rsid w:val="006B0422"/>
    <w:rsid w:val="006C1B53"/>
    <w:rsid w:val="006D7730"/>
    <w:rsid w:val="006E5284"/>
    <w:rsid w:val="006E65D9"/>
    <w:rsid w:val="006F3EB5"/>
    <w:rsid w:val="00702195"/>
    <w:rsid w:val="00702E34"/>
    <w:rsid w:val="00704395"/>
    <w:rsid w:val="00717006"/>
    <w:rsid w:val="00717621"/>
    <w:rsid w:val="00720FF1"/>
    <w:rsid w:val="00726D97"/>
    <w:rsid w:val="00727A53"/>
    <w:rsid w:val="00770C9A"/>
    <w:rsid w:val="00771B32"/>
    <w:rsid w:val="00787B42"/>
    <w:rsid w:val="00797F32"/>
    <w:rsid w:val="007B5C03"/>
    <w:rsid w:val="007C4539"/>
    <w:rsid w:val="007E35C3"/>
    <w:rsid w:val="007F3657"/>
    <w:rsid w:val="0080212E"/>
    <w:rsid w:val="0081209C"/>
    <w:rsid w:val="00812ED5"/>
    <w:rsid w:val="00815484"/>
    <w:rsid w:val="008277D9"/>
    <w:rsid w:val="00831569"/>
    <w:rsid w:val="0084478C"/>
    <w:rsid w:val="00864069"/>
    <w:rsid w:val="0086638C"/>
    <w:rsid w:val="00893EDE"/>
    <w:rsid w:val="008A1D01"/>
    <w:rsid w:val="008A3E8D"/>
    <w:rsid w:val="008B684F"/>
    <w:rsid w:val="008C264A"/>
    <w:rsid w:val="009237C4"/>
    <w:rsid w:val="00924F27"/>
    <w:rsid w:val="00931E3B"/>
    <w:rsid w:val="00944C48"/>
    <w:rsid w:val="00946CB9"/>
    <w:rsid w:val="00950252"/>
    <w:rsid w:val="00967F5D"/>
    <w:rsid w:val="00990E31"/>
    <w:rsid w:val="009A0F95"/>
    <w:rsid w:val="009B3ADF"/>
    <w:rsid w:val="009B5FB9"/>
    <w:rsid w:val="009C3B52"/>
    <w:rsid w:val="009E6817"/>
    <w:rsid w:val="009E6E9A"/>
    <w:rsid w:val="00A01D2B"/>
    <w:rsid w:val="00A158D4"/>
    <w:rsid w:val="00A27BC4"/>
    <w:rsid w:val="00A42218"/>
    <w:rsid w:val="00A4621A"/>
    <w:rsid w:val="00A70249"/>
    <w:rsid w:val="00A70B02"/>
    <w:rsid w:val="00A71D9F"/>
    <w:rsid w:val="00A7797D"/>
    <w:rsid w:val="00A82128"/>
    <w:rsid w:val="00A92E9F"/>
    <w:rsid w:val="00AB3427"/>
    <w:rsid w:val="00AF00FA"/>
    <w:rsid w:val="00AF5B1D"/>
    <w:rsid w:val="00B06B27"/>
    <w:rsid w:val="00B33BEA"/>
    <w:rsid w:val="00B4259B"/>
    <w:rsid w:val="00B57C9F"/>
    <w:rsid w:val="00B63572"/>
    <w:rsid w:val="00B641E0"/>
    <w:rsid w:val="00B7598E"/>
    <w:rsid w:val="00B845B3"/>
    <w:rsid w:val="00B85D8B"/>
    <w:rsid w:val="00B927E6"/>
    <w:rsid w:val="00BB4A40"/>
    <w:rsid w:val="00BD6C3E"/>
    <w:rsid w:val="00BE3674"/>
    <w:rsid w:val="00BE5A0B"/>
    <w:rsid w:val="00C02918"/>
    <w:rsid w:val="00C02CD4"/>
    <w:rsid w:val="00C10681"/>
    <w:rsid w:val="00C1476C"/>
    <w:rsid w:val="00C172ED"/>
    <w:rsid w:val="00C3049A"/>
    <w:rsid w:val="00C31B1E"/>
    <w:rsid w:val="00C53E74"/>
    <w:rsid w:val="00C77645"/>
    <w:rsid w:val="00CE04C3"/>
    <w:rsid w:val="00CE76A0"/>
    <w:rsid w:val="00D05F0E"/>
    <w:rsid w:val="00D148C6"/>
    <w:rsid w:val="00D17A8A"/>
    <w:rsid w:val="00D22204"/>
    <w:rsid w:val="00D31A98"/>
    <w:rsid w:val="00D415BA"/>
    <w:rsid w:val="00D43451"/>
    <w:rsid w:val="00D644EE"/>
    <w:rsid w:val="00D93710"/>
    <w:rsid w:val="00DA683A"/>
    <w:rsid w:val="00DD06FF"/>
    <w:rsid w:val="00DD5FE9"/>
    <w:rsid w:val="00DE797E"/>
    <w:rsid w:val="00E00C7A"/>
    <w:rsid w:val="00E0287D"/>
    <w:rsid w:val="00E1007A"/>
    <w:rsid w:val="00E20FBF"/>
    <w:rsid w:val="00E37D6C"/>
    <w:rsid w:val="00E55B68"/>
    <w:rsid w:val="00E67BE6"/>
    <w:rsid w:val="00E7090F"/>
    <w:rsid w:val="00E8683C"/>
    <w:rsid w:val="00EA2B72"/>
    <w:rsid w:val="00EA3901"/>
    <w:rsid w:val="00EA5F28"/>
    <w:rsid w:val="00EB0879"/>
    <w:rsid w:val="00EC24C9"/>
    <w:rsid w:val="00EE7E5A"/>
    <w:rsid w:val="00F05331"/>
    <w:rsid w:val="00F2318A"/>
    <w:rsid w:val="00F439A3"/>
    <w:rsid w:val="00F74360"/>
    <w:rsid w:val="00F94AB6"/>
    <w:rsid w:val="00FB462F"/>
    <w:rsid w:val="00FB5DFF"/>
    <w:rsid w:val="00FE16FA"/>
    <w:rsid w:val="00FE328A"/>
    <w:rsid w:val="00FE6269"/>
    <w:rsid w:val="02941C3A"/>
    <w:rsid w:val="0AE321CB"/>
    <w:rsid w:val="135215E8"/>
    <w:rsid w:val="17B33E2D"/>
    <w:rsid w:val="1C7A2F72"/>
    <w:rsid w:val="21DC088B"/>
    <w:rsid w:val="34C94F73"/>
    <w:rsid w:val="3DA2368E"/>
    <w:rsid w:val="44507DE3"/>
    <w:rsid w:val="488B752C"/>
    <w:rsid w:val="50062B16"/>
    <w:rsid w:val="58484227"/>
    <w:rsid w:val="5DC30B53"/>
    <w:rsid w:val="615D41E8"/>
    <w:rsid w:val="62263792"/>
    <w:rsid w:val="63EB18FC"/>
    <w:rsid w:val="6D122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2"/>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10F8-7AC6-4F29-AD4E-57E7CFDF26C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9153</Words>
  <Characters>12147</Characters>
  <Lines>103</Lines>
  <Paragraphs>29</Paragraphs>
  <TotalTime>10</TotalTime>
  <ScaleCrop>false</ScaleCrop>
  <LinksUpToDate>false</LinksUpToDate>
  <CharactersWithSpaces>13468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German Phillip</cp:lastModifiedBy>
  <cp:lastPrinted>2022-06-14T07:23:00Z</cp:lastPrinted>
  <dcterms:modified xsi:type="dcterms:W3CDTF">2022-09-06T10:03:02Z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AC1BCA1240B146209D77254116DC8700</vt:lpwstr>
  </property>
</Properties>
</file>