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岳阳市教育建设投资资产管理中心部门决算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rFonts w:ascii="仿宋_GB2312" w:hAnsi="仿宋_GB2312" w:eastAsia="仿宋_GB2312" w:cs="仿宋_GB2312"/>
          <w:b/>
          <w:sz w:val="36"/>
          <w:szCs w:val="28"/>
        </w:rPr>
      </w:pPr>
      <w:r>
        <w:rPr>
          <w:rFonts w:hint="eastAsia" w:ascii="仿宋_GB2312" w:hAnsi="仿宋_GB2312" w:eastAsia="仿宋_GB2312" w:cs="仿宋_GB2312"/>
          <w:b/>
          <w:sz w:val="36"/>
          <w:szCs w:val="28"/>
        </w:rPr>
        <w:t>目录</w:t>
      </w:r>
    </w:p>
    <w:p>
      <w:pPr>
        <w:pStyle w:val="9"/>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第一部分岳阳市教育建设投资资产管理中心单位概况</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第二部分2020年度部门决算表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八、政府性基金预算财政拨款收入支出决算表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九、国有资本经营预算财政拨款支出决算表</w:t>
      </w:r>
    </w:p>
    <w:p>
      <w:pPr>
        <w:pStyle w:val="9"/>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第三部分2020年度部门决算情况说明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第四部分名词解释</w:t>
      </w:r>
    </w:p>
    <w:p>
      <w:pPr>
        <w:autoSpaceDE w:val="0"/>
        <w:autoSpaceDN w:val="0"/>
        <w:adjustRightInd w:val="0"/>
        <w:spacing w:line="500" w:lineRule="exact"/>
        <w:jc w:val="lef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岳阳市教育建设投资资产管理中心单位概况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部门职责</w:t>
      </w:r>
    </w:p>
    <w:p>
      <w:pPr>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（一）为市直教育单位基本建设提供保障。</w:t>
      </w:r>
    </w:p>
    <w:p>
      <w:pPr>
        <w:ind w:firstLine="800" w:firstLineChars="250"/>
        <w:jc w:val="left"/>
        <w:rPr>
          <w:rFonts w:ascii="仿宋_GB2312" w:hAnsi="仿宋_GB2312" w:eastAsia="仿宋_GB2312" w:cs="仿宋_GB2312"/>
          <w:sz w:val="28"/>
          <w:szCs w:val="32"/>
        </w:rPr>
      </w:pPr>
      <w:r>
        <w:rPr>
          <w:rFonts w:hint="eastAsia" w:ascii="仿宋_GB2312" w:hAnsi="仿宋_GB2312" w:eastAsia="仿宋_GB2312" w:cs="仿宋_GB2312"/>
          <w:sz w:val="32"/>
          <w:szCs w:val="32"/>
        </w:rPr>
        <w:t>（二）指定市直教育单位教育投资管理的规章制度，编报基建及维修计划和项目管理，负责基建及维修项目的预、决算，负责市直教育单位投资、融资、债务管理和非经营性国有资产管理，监管市直教育单位经营性国有资产。</w:t>
      </w:r>
    </w:p>
    <w:p>
      <w:pPr>
        <w:widowControl/>
        <w:spacing w:line="60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二、机构设置及决算单位构成</w:t>
      </w:r>
    </w:p>
    <w:p>
      <w:pPr>
        <w:widowControl/>
        <w:spacing w:line="600" w:lineRule="exac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（一）内设机构设置。资产管理中心1个科室</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在职在编人数10人，内设</w:t>
      </w:r>
      <w:bookmarkStart w:id="0" w:name="_GoBack"/>
      <w:bookmarkEnd w:id="0"/>
      <w:r>
        <w:rPr>
          <w:rFonts w:hint="eastAsia" w:ascii="仿宋_GB2312" w:hAnsi="仿宋_GB2312" w:eastAsia="仿宋_GB2312" w:cs="仿宋_GB2312"/>
          <w:bCs/>
          <w:kern w:val="0"/>
          <w:sz w:val="32"/>
          <w:szCs w:val="32"/>
          <w:highlight w:val="none"/>
          <w:lang w:val="en-US" w:eastAsia="zh-CN"/>
        </w:rPr>
        <w:t>2个部门为工程部和财务室，分别负责工程项目的前期报建及现场管理、负责工程项目及前期费用的结算。</w:t>
      </w:r>
    </w:p>
    <w:p>
      <w:pPr>
        <w:widowControl/>
        <w:spacing w:line="60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（二）决算单位构成。资产管理中心单位2020年部门决算汇总公开单位构成包括：岳阳市教育建设投资资产管理中心单位本级。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 xml:space="preserve"> （见附件）</w:t>
      </w: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仿宋_GB2312" w:hAnsi="仿宋_GB2312" w:eastAsia="仿宋_GB2312" w:cs="仿宋_GB2312"/>
          <w:color w:val="000000"/>
          <w:kern w:val="0"/>
          <w:sz w:val="28"/>
          <w:szCs w:val="28"/>
        </w:rPr>
      </w:pPr>
      <w:r>
        <w:rPr>
          <w:sz w:val="70"/>
          <w:szCs w:val="70"/>
        </w:rPr>
        <w:br w:type="page"/>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一、收入支出决算总体情况说明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收入16292.49万，与上年相比增加954.4万元，增加6.2%，主要是因为棚改资金的增加。2020年度支出15936.94万，与上年相比减少1651.92万元，减少9.39%，主要是因为国有土地使用权出让收入及对应专项债务收入安排的支出。</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二、收入决算情况说明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本年收入合计16292.49万元，其中：财政拨款收入16292.49万元，占100%。</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三、支出决算情况说明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本年支出合计15936.94万元，其中：基本支出0万元，占0%；项目支出15936.94万元，占100%。</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四、财政拨款收入支出决算总体情况说明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2020年度收入16292.49万，与上年相比增加954.4万元，增加6.2%，主要是因为棚改资金的增加。2020年度支出15936.94万，与上年相比减少1651.92万元，减少9.39%，主要是因为国有土地使用权出让收入及对应专项债务收入安排的支出。</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五、一般公共预算财政拨款支出决算情况说明</w:t>
      </w:r>
    </w:p>
    <w:p>
      <w:pPr>
        <w:pStyle w:val="9"/>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（一）财政拨款支出决算总体情况</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2020年度财政拨款支出15936.94万元，占本年支出合计的100%，减少1651.92万元，减少9.39%，主要是因为国有土地使用权出让收入及对应专项债务收入安排的支出。</w:t>
      </w:r>
    </w:p>
    <w:p>
      <w:pPr>
        <w:pStyle w:val="9"/>
        <w:ind w:firstLine="420" w:firstLineChars="15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（二）财政拨款支出决算结构情况</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2020年度财政拨款支出15936.94万元，主要用于以下方面：教育（类）支出15686.94万元，占98.43%;住房保障支出250万元，占1.57%。</w:t>
      </w:r>
    </w:p>
    <w:p>
      <w:pPr>
        <w:pStyle w:val="9"/>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（三）财政拨款支出决算具体情况</w:t>
      </w:r>
    </w:p>
    <w:p>
      <w:pPr>
        <w:pStyle w:val="9"/>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2020年度财政拨款支出年初预算数为11024.4万元，支出决算数为15936.94万元，完成年初预算的100%，其中：国内债务付息576万元，占比3.61%；资本性支出（基本建设）15360.94万元，占比96.39%。</w:t>
      </w:r>
    </w:p>
    <w:p>
      <w:pPr>
        <w:pStyle w:val="9"/>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1、一般公共服务：教育支出（205）  </w:t>
      </w:r>
    </w:p>
    <w:p>
      <w:pPr>
        <w:pStyle w:val="9"/>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年初预算为</w:t>
      </w:r>
      <w:r>
        <w:rPr>
          <w:rFonts w:hint="eastAsia" w:ascii="Times New Roman" w:hAnsi="Times New Roman" w:eastAsia="仿宋_GB2312" w:cs="Times New Roman"/>
          <w:szCs w:val="21"/>
        </w:rPr>
        <w:t>11024.4</w:t>
      </w:r>
      <w:r>
        <w:rPr>
          <w:rFonts w:hint="eastAsia" w:ascii="仿宋_GB2312" w:hAnsi="仿宋_GB2312" w:eastAsia="仿宋_GB2312" w:cs="仿宋_GB2312"/>
          <w:sz w:val="28"/>
          <w:szCs w:val="28"/>
        </w:rPr>
        <w:t>万元，支出决算为15686.94万元，其他教育费附加安排的支出15247.04万元,初中教育400万元。完成年初预算的100%，决算数大于年初预算数的主要原因是：上年结转资金和当年增加的中央资金。</w:t>
      </w:r>
    </w:p>
    <w:p>
      <w:pPr>
        <w:pStyle w:val="9"/>
        <w:numPr>
          <w:ilvl w:val="0"/>
          <w:numId w:val="2"/>
        </w:numPr>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一般公共服务：住房保障支出（221） 棚户区改造</w:t>
      </w:r>
    </w:p>
    <w:p>
      <w:pPr>
        <w:pStyle w:val="9"/>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年初预算为0万元，支出决算为250万元，完成年初预算的100%，决算数大于年初预算数的主要原因是：当年增加的中央专项资金。</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六、一般公共预算财政拨款基本支出决算情况说明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2020年度财政拨款基本支出0万元,项目支出15936.94万元，其中：国内债务付息576万元，占比3.61%；资本性支出（基本建设）15360.94万元，占比96.39%。</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七、一般公共预算财政拨款三公经费支出决算情况说明</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（一）“三公”经费财政拨款支出决算总体情况说明</w:t>
      </w:r>
    </w:p>
    <w:p>
      <w:pPr>
        <w:pStyle w:val="9"/>
        <w:rPr>
          <w:rFonts w:ascii="仿宋_GB2312" w:hAnsi="仿宋_GB2312" w:eastAsia="仿宋_GB2312" w:cs="仿宋_GB2312"/>
          <w:sz w:val="28"/>
          <w:szCs w:val="28"/>
        </w:rPr>
      </w:pPr>
      <w:r>
        <w:rPr>
          <w:rFonts w:hint="eastAsia" w:ascii="仿宋_GB2312" w:hAnsi="仿宋_GB2312" w:eastAsia="仿宋_GB2312" w:cs="仿宋_GB2312"/>
          <w:sz w:val="28"/>
          <w:szCs w:val="28"/>
        </w:rPr>
        <w:t>本单位2020年无三公经费支出，主要原因是所有人员及相关经费在岳阳市教育体育局列支</w:t>
      </w:r>
    </w:p>
    <w:p>
      <w:pPr>
        <w:pStyle w:val="9"/>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，与上年持平。</w:t>
      </w:r>
    </w:p>
    <w:p>
      <w:pPr>
        <w:pStyle w:val="9"/>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，与上年持平。</w:t>
      </w:r>
    </w:p>
    <w:p>
      <w:pPr>
        <w:pStyle w:val="9"/>
        <w:ind w:firstLine="640" w:firstLineChars="200"/>
        <w:rPr>
          <w:rFonts w:ascii="仿宋_GB2312" w:hAnsi="仿宋_GB2312" w:eastAsia="仿宋_GB2312" w:cs="仿宋_GB2312"/>
          <w:sz w:val="28"/>
          <w:szCs w:val="28"/>
        </w:rPr>
      </w:pPr>
      <w:r>
        <w:rPr>
          <w:rFonts w:hint="eastAsia" w:ascii="宋体" w:hAnsi="宋体" w:eastAsia="宋体"/>
          <w:sz w:val="32"/>
          <w:szCs w:val="32"/>
        </w:rPr>
        <w:t>公务用车购置费及运行维护费支出预算为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，与上年持平。</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（二）“三公”经费财政拨款支出决算具体情况说明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本单位2020年无三公经费支出，主要原因是所有人员及相关经费在岳阳市教育体育局列支</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3、公务用车购置费及运行维护费支出决算为0万元，其中：公务用车购置费0万元，本单位（单位本级或某二级机构）更新公务用车0辆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公务用车运行维护费0万元，截止2020年12月31日，我单位开支财政拨款的公务用车保有量为0辆。</w:t>
      </w:r>
    </w:p>
    <w:p>
      <w:pPr>
        <w:pStyle w:val="9"/>
        <w:ind w:firstLine="560" w:firstLineChars="200"/>
        <w:rPr>
          <w:rFonts w:ascii="仿宋_GB2312" w:hAnsi="仿宋_GB2312" w:eastAsia="仿宋_GB2312" w:cs="仿宋_GB2312"/>
          <w:sz w:val="28"/>
          <w:szCs w:val="28"/>
        </w:rPr>
      </w:pP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八、政府性基金预算收入支出决算情况</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2020年度本单位无政府性基金安排的支出。</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九、国有资本经营预算财政拨款支出决算情况</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2020年度本单位无国有资本经营的支出。</w:t>
      </w:r>
    </w:p>
    <w:p>
      <w:pPr>
        <w:pStyle w:val="9"/>
        <w:numPr>
          <w:ilvl w:val="0"/>
          <w:numId w:val="3"/>
        </w:numP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关于机关运行经费支出说明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本单位2020年无机关运行经费，主要原因是所有人员及相关经费在岳阳市教育体育局列支。</w:t>
      </w:r>
    </w:p>
    <w:p>
      <w:pPr>
        <w:pStyle w:val="9"/>
        <w:numPr>
          <w:ilvl w:val="0"/>
          <w:numId w:val="4"/>
        </w:numPr>
        <w:rPr>
          <w:rFonts w:ascii="仿宋_GB2312" w:hAnsi="仿宋_GB2312" w:eastAsia="仿宋_GB2312" w:cs="仿宋_GB2312"/>
          <w:b/>
          <w:sz w:val="28"/>
          <w:szCs w:val="28"/>
        </w:rPr>
      </w:pPr>
      <w:r>
        <w:rPr>
          <w:rFonts w:hint="eastAsia" w:ascii="仿宋_GB2312" w:hAnsi="仿宋_GB2312" w:eastAsia="仿宋_GB2312" w:cs="仿宋_GB2312"/>
          <w:b/>
          <w:sz w:val="28"/>
          <w:szCs w:val="28"/>
        </w:rPr>
        <w:t>一般性支出情况</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2020年度本单位未计划举办会议、培训、节庆、晚会、论坛、赛事活动。所有相关支出在岳阳市教育体育局中列支。</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十二、关于政府采购支出说明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本部门2020年度政府采购支出总额15936.94万元，其中：政府采购货物支出1326.24万元、政府采购工程支出14210.7万元、政府采购服务支出400万元。</w:t>
      </w:r>
      <w:r>
        <w:rPr>
          <w:rFonts w:ascii="仿宋_GB2312" w:hAnsi="仿宋_GB2312" w:eastAsia="仿宋_GB2312" w:cs="仿宋_GB2312"/>
          <w:sz w:val="28"/>
          <w:szCs w:val="28"/>
        </w:rPr>
        <w:t>授予中小企业合同金额13</w:t>
      </w:r>
      <w:r>
        <w:rPr>
          <w:rFonts w:hint="eastAsia" w:ascii="仿宋_GB2312" w:hAnsi="仿宋_GB2312" w:eastAsia="仿宋_GB2312" w:cs="仿宋_GB2312"/>
          <w:sz w:val="28"/>
          <w:szCs w:val="28"/>
        </w:rPr>
        <w:t>26.24</w:t>
      </w:r>
      <w:r>
        <w:rPr>
          <w:rFonts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rPr>
        <w:t>100</w:t>
      </w:r>
      <w:r>
        <w:rPr>
          <w:rFonts w:ascii="仿宋_GB2312" w:hAnsi="仿宋_GB2312" w:eastAsia="仿宋_GB2312" w:cs="仿宋_GB2312"/>
          <w:sz w:val="28"/>
          <w:szCs w:val="28"/>
        </w:rPr>
        <w:t>%，其中：授予小微企业合同金额</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万元，占政府采购支出总额的</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w:t>
      </w:r>
    </w:p>
    <w:p>
      <w:pPr>
        <w:pStyle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十三、关于国有资产占用情况说明</w:t>
      </w:r>
    </w:p>
    <w:p>
      <w:pPr>
        <w:pStyle w:val="9"/>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截至上一年12月底，本单位共有车辆0辆，价值50万元以上通用设备0台，单位价值100万元以上专用设备0台。</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b/>
          <w:sz w:val="28"/>
          <w:szCs w:val="28"/>
        </w:rPr>
        <w:t>十四、关于2020年度预算绩效情况的说明</w:t>
      </w:r>
    </w:p>
    <w:p>
      <w:pPr>
        <w:pStyle w:val="9"/>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本单位所有支出实行绩效目标管理。纳入2020年单位整体支出绩效目标的金额为15936.94万元，其中，基本支出0.00万元，项目支出15936.94万元，绩效目标详见文尾附表中单位预算公开表格。</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pStyle w:val="9"/>
        <w:jc w:val="center"/>
        <w:rPr>
          <w:sz w:val="72"/>
          <w:szCs w:val="72"/>
        </w:rPr>
      </w:pPr>
      <w:r>
        <w:rPr>
          <w:rFonts w:hint="eastAsia"/>
          <w:sz w:val="72"/>
          <w:szCs w:val="72"/>
        </w:rPr>
        <w:t>名词解释</w:t>
      </w:r>
    </w:p>
    <w:p>
      <w:pPr>
        <w:pStyle w:val="9"/>
        <w:jc w:val="center"/>
        <w:rPr>
          <w:sz w:val="72"/>
          <w:szCs w:val="72"/>
        </w:rPr>
      </w:pPr>
    </w:p>
    <w:p>
      <w:pPr>
        <w:pStyle w:val="9"/>
        <w:jc w:val="both"/>
        <w:rPr>
          <w:sz w:val="72"/>
          <w:szCs w:val="72"/>
        </w:rPr>
      </w:pPr>
      <w:r>
        <w:rPr>
          <w:rFonts w:hint="eastAsia" w:ascii="仿宋_GB2312" w:hAnsi="宋体" w:eastAsia="仿宋_GB2312" w:cs="仿宋_GB2312"/>
          <w:color w:val="auto"/>
          <w:sz w:val="28"/>
          <w:szCs w:val="28"/>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仿宋_GB2312"/>
          <w:color w:val="auto"/>
          <w:sz w:val="28"/>
          <w:szCs w:val="28"/>
        </w:rPr>
        <w:br w:type="textWrapping"/>
      </w:r>
      <w:r>
        <w:rPr>
          <w:rFonts w:hint="eastAsia" w:ascii="仿宋_GB2312" w:hAnsi="宋体" w:eastAsia="仿宋_GB2312" w:cs="仿宋_GB2312"/>
          <w:color w:val="auto"/>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仿宋_GB2312" w:hAnsi="仿宋_GB2312" w:eastAsia="仿宋_GB2312" w:cs="仿宋_GB2312"/>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77113"/>
    <w:multiLevelType w:val="singleLevel"/>
    <w:tmpl w:val="1DF77113"/>
    <w:lvl w:ilvl="0" w:tentative="0">
      <w:start w:val="2"/>
      <w:numFmt w:val="decimal"/>
      <w:suff w:val="nothing"/>
      <w:lvlText w:val="%1、"/>
      <w:lvlJc w:val="left"/>
    </w:lvl>
  </w:abstractNum>
  <w:abstractNum w:abstractNumId="1">
    <w:nsid w:val="225DB78F"/>
    <w:multiLevelType w:val="singleLevel"/>
    <w:tmpl w:val="225DB78F"/>
    <w:lvl w:ilvl="0" w:tentative="0">
      <w:start w:val="10"/>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0C03B4"/>
    <w:multiLevelType w:val="singleLevel"/>
    <w:tmpl w:val="4E0C03B4"/>
    <w:lvl w:ilvl="0" w:tentative="0">
      <w:start w:val="1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ZmOGNmZjAyMWUyZjNlYzBkMDdmZGZhMWVhZGNiMDQ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A1A01"/>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53AA8"/>
    <w:rsid w:val="00D644EE"/>
    <w:rsid w:val="00DD06FF"/>
    <w:rsid w:val="00DD5FE9"/>
    <w:rsid w:val="00E00C7A"/>
    <w:rsid w:val="00E37D6C"/>
    <w:rsid w:val="00E43DF8"/>
    <w:rsid w:val="00E55B68"/>
    <w:rsid w:val="00E67BE6"/>
    <w:rsid w:val="00E8683C"/>
    <w:rsid w:val="00EA2B72"/>
    <w:rsid w:val="00F74360"/>
    <w:rsid w:val="00FB462F"/>
    <w:rsid w:val="00FE16FA"/>
    <w:rsid w:val="00FE328A"/>
    <w:rsid w:val="00FE6269"/>
    <w:rsid w:val="00FE7DE4"/>
    <w:rsid w:val="0118412D"/>
    <w:rsid w:val="0D157B96"/>
    <w:rsid w:val="0E0A2063"/>
    <w:rsid w:val="0EAF7BF2"/>
    <w:rsid w:val="10A47D33"/>
    <w:rsid w:val="131616DE"/>
    <w:rsid w:val="13FC4F23"/>
    <w:rsid w:val="158144A1"/>
    <w:rsid w:val="170872B7"/>
    <w:rsid w:val="17161E9F"/>
    <w:rsid w:val="1B125540"/>
    <w:rsid w:val="1C674401"/>
    <w:rsid w:val="211B536A"/>
    <w:rsid w:val="25573B9E"/>
    <w:rsid w:val="25B5378E"/>
    <w:rsid w:val="29261C6E"/>
    <w:rsid w:val="2C0A3A09"/>
    <w:rsid w:val="2D0E1654"/>
    <w:rsid w:val="3016010A"/>
    <w:rsid w:val="322D1303"/>
    <w:rsid w:val="358069A5"/>
    <w:rsid w:val="38AB7897"/>
    <w:rsid w:val="3915120A"/>
    <w:rsid w:val="41D527D9"/>
    <w:rsid w:val="428C3646"/>
    <w:rsid w:val="43C2474B"/>
    <w:rsid w:val="4EC85425"/>
    <w:rsid w:val="53B50C3D"/>
    <w:rsid w:val="5449777D"/>
    <w:rsid w:val="5692101F"/>
    <w:rsid w:val="5D4D2261"/>
    <w:rsid w:val="5EFD1E83"/>
    <w:rsid w:val="601F3CC1"/>
    <w:rsid w:val="627576D1"/>
    <w:rsid w:val="6649579C"/>
    <w:rsid w:val="68E8162C"/>
    <w:rsid w:val="706B32A5"/>
    <w:rsid w:val="72423B0F"/>
    <w:rsid w:val="75E21180"/>
    <w:rsid w:val="7CF54886"/>
    <w:rsid w:val="7D162CBA"/>
    <w:rsid w:val="7F385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2743</Words>
  <Characters>3108</Characters>
  <Lines>24</Lines>
  <Paragraphs>6</Paragraphs>
  <TotalTime>4</TotalTime>
  <ScaleCrop>false</ScaleCrop>
  <LinksUpToDate>false</LinksUpToDate>
  <CharactersWithSpaces>3155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German Phillip</cp:lastModifiedBy>
  <cp:lastPrinted>2021-07-28T00:12:00Z</cp:lastPrinted>
  <dcterms:modified xsi:type="dcterms:W3CDTF">2022-09-06T13:46:36Z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A718A5F2D090462ABF5F323E8337DF77</vt:lpwstr>
  </property>
</Properties>
</file>