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岳阳市</w:t>
            </w:r>
            <w:bookmarkStart w:id="0" w:name="_GoBack"/>
            <w:bookmarkEnd w:id="0"/>
            <w:r>
              <w:rPr>
                <w:rFonts w:hint="eastAsia" w:ascii="方正小标宋简体" w:hAnsi="方正小标宋简体" w:eastAsia="方正小标宋简体" w:cs="方正小标宋简体"/>
                <w:i w:val="0"/>
                <w:iCs w:val="0"/>
                <w:color w:val="auto"/>
                <w:kern w:val="0"/>
                <w:sz w:val="36"/>
                <w:szCs w:val="36"/>
                <w:u w:val="none"/>
                <w:lang w:val="en-US" w:eastAsia="zh-CN" w:bidi="ar"/>
              </w:rPr>
              <w:t>农业科学研究院2021年度单位预算公开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keepNext w:val="0"/>
              <w:keepLines w:val="0"/>
              <w:widowControl/>
              <w:numPr>
                <w:ilvl w:val="0"/>
                <w:numId w:val="1"/>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2021年单位预算说明</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第二部分  单位预算公开表格</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一、收支总表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二、收入总表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三、支出总表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六、财政拨款收支总表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七、一般公共预算支出表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十五、政府性基金预算支出表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十八、国有资产经营预算支出表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二十一、支出预算项目明细表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cs="仿宋_GB2312"/>
                <w:i w:val="0"/>
                <w:iCs w:val="0"/>
                <w:color w:val="auto"/>
                <w:kern w:val="0"/>
                <w:sz w:val="28"/>
                <w:szCs w:val="28"/>
                <w:u w:val="none"/>
                <w:lang w:val="en-US" w:eastAsia="zh-CN" w:bidi="ar"/>
              </w:rPr>
              <w:t>二十四、一般公共预算基本支出总表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一、单位基本概况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ind w:firstLine="560" w:firstLineChars="20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市农业科学研究院是由市农业农村局管理的副处级公益一类事业单位，是全市唯一的农业综合性科研单位，在履行职责过程中坚持和加强党对农业科学研究院工作的集中统一领导。主要职责如下：</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1、贯彻执行国家有关农业农村的提创自主科研创新能力、高度重视科研工作的思想，坚持“科研为立院之本、合作为发展之路”，立足“鱼米之乡”资源禀赋，紧密结合地方产业发展和市场需求，选择优势领域，集中力量，重点突破，着力服务打造高档优质稻、蔬菜、经济作物、油料、西甜瓜、畜牧、水产等特色优势产业。</w:t>
            </w:r>
          </w:p>
          <w:p>
            <w:pPr>
              <w:keepNext w:val="0"/>
              <w:keepLines w:val="0"/>
              <w:widowControl/>
              <w:suppressLineNumbers w:val="0"/>
              <w:ind w:firstLine="560" w:firstLineChars="20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2、负责地方特色品种的保护与改良；负责组织开展水稻、经济作物、蔬菜、西甜瓜、畜牧业、渔业品种改良、选育与生产技术研究以及新品种、新技术的引进、示范与推广；负责开展植物新品种测试技术、农业生态环境、农机应用技术、植物保护技术、农业农村发展等研究与应用；负责建立农业科技示范基地和农业高科技示范园，集成、熟化推广农业技术成果，组织农业科研成果转化；承担国家、省级重大科技专项与重点研发遍地计划的实施与管理；承担本地工重大农业项目的科学研究、技术实施和示范推广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ind w:firstLine="560" w:firstLineChars="20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sz w:val="28"/>
                <w:szCs w:val="28"/>
                <w:u w:val="none"/>
              </w:rPr>
              <w:t>1、市农业科学研究院设下列10个内设机构：党委办、办公室、人事科、工会、财务科、科技管理科、产业发展科、基地管理科、离退休人员管理服务科、农牧职工科。</w:t>
            </w:r>
          </w:p>
          <w:p>
            <w:pPr>
              <w:keepNext w:val="0"/>
              <w:keepLines w:val="0"/>
              <w:widowControl/>
              <w:suppressLineNumbers w:val="0"/>
              <w:ind w:firstLine="560" w:firstLineChars="20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sz w:val="28"/>
                <w:szCs w:val="28"/>
                <w:u w:val="none"/>
              </w:rPr>
              <w:t>2、市农业科学研究院设有下列7个下设机构：经济作物研究所、水稻研究所、植物新品种测试技术研究所、蔬菜研究所、农业生态环境研究所、畜牧研究所、水产研究所。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8"/>
                <w:szCs w:val="28"/>
                <w:u w:val="none"/>
                <w:lang w:val="en-US" w:eastAsia="zh-CN" w:bidi="ar"/>
              </w:rPr>
            </w:pPr>
            <w:r>
              <w:rPr>
                <w:rFonts w:hint="eastAsia" w:ascii="黑体" w:hAnsi="宋体" w:eastAsia="黑体" w:cs="黑体"/>
                <w:i w:val="0"/>
                <w:iCs w:val="0"/>
                <w:color w:val="auto"/>
                <w:kern w:val="0"/>
                <w:sz w:val="28"/>
                <w:szCs w:val="28"/>
                <w:u w:val="none"/>
                <w:lang w:val="en-US" w:eastAsia="zh-CN" w:bidi="ar"/>
              </w:rPr>
              <w:t>二、单位收支总体情况</w:t>
            </w:r>
          </w:p>
          <w:p>
            <w:pPr>
              <w:keepNext w:val="0"/>
              <w:keepLines w:val="0"/>
              <w:widowControl/>
              <w:suppressLineNumbers w:val="0"/>
              <w:jc w:val="left"/>
              <w:textAlignment w:val="center"/>
              <w:rPr>
                <w:rFonts w:hint="default"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本单位为二级预算单位，没有预算独立、财务独立核算的下属预算单位，因此纳入2021年部门预算公开范围的为本单位本级预算。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（一）收入预算</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 xml:space="preserve">    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1,845.30万元，其中，一般公共预算拨款1,845.30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收入较去年增加52.68万元，增幅2.9%，原因是新增人员</w:t>
            </w:r>
            <w:r>
              <w:rPr>
                <w:rFonts w:hint="eastAsia" w:ascii="仿宋_GB2312" w:hAnsi="宋体"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2021年本单位支出预算1,845.30万元，其中，社会保障和就业支出201.47万元，卫生健康支出86.82万元，农林水支出1,416.19万元，住房保障支出140.82万元。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支出较去年增加52.68万元，其中基本支出较去年增加114.52万元，原因是新增人员；项目支出较去年减少61.84万元，原因是非税收入征收项目取消。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2021年一般公共预算拨款支出预算1,845.30万元，其中，社会保障和就业支出201.47万元，占10.9%，卫生健康支出86.82万元，占4.7%，农林水支出1,416.19万元，占76.7%，住房保障支出140.82万元，占7.6%。具体安排情况如下：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1,779.60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8"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65.70万元，是指单位为完成特定行政工作任务或事业发展目标而发生的支出，包括有关业务工作经费、运行维护经费等。其中包括农作物研究24.30万元、深化国有农场税费改革转移支付24.30万元、农业环境研究9.00万元、畜禽品种改良及流行病防控7.20万元、水产品良种繁育与推广0.90万元</w:t>
            </w:r>
            <w:r>
              <w:rPr>
                <w:rFonts w:hint="eastAsia" w:ascii="仿宋_GB2312" w:hAnsi="宋体" w:cs="仿宋_GB2312"/>
                <w:i w:val="0"/>
                <w:iCs w:val="0"/>
                <w:color w:val="auto"/>
                <w:kern w:val="0"/>
                <w:sz w:val="28"/>
                <w:szCs w:val="28"/>
                <w:u w:val="none"/>
                <w:lang w:val="en-US" w:eastAsia="zh-CN" w:bidi="ar"/>
              </w:rPr>
              <w:t>，主要用于</w:t>
            </w:r>
            <w:r>
              <w:rPr>
                <w:rFonts w:hint="eastAsia" w:ascii="仿宋_GB2312" w:hAnsi="宋体" w:eastAsia="仿宋_GB2312" w:cs="仿宋_GB2312"/>
                <w:i w:val="0"/>
                <w:iCs w:val="0"/>
                <w:color w:val="auto"/>
                <w:kern w:val="0"/>
                <w:sz w:val="28"/>
                <w:szCs w:val="28"/>
                <w:u w:val="none"/>
                <w:lang w:val="en-US" w:eastAsia="zh-CN" w:bidi="ar"/>
              </w:rPr>
              <w:t>农业综合性科研。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本单位2021年机关运行经费当年一般公共预算拨款168.13万元。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较去年减少1.78万元，降幅-1.0%，原因是人员调整和厉行节约。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本单位2021年“三公”经费预算数22.75万元，其中公务接待费14.65万元，因公出国（境）费0.00万元，公务用车购置及运行费8.10万元（其中公务用车购置费0.00万元，公务用车运行费8.10万元，）。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比上一年减少2.53万元，降低10%，主要原因是厉行节约。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本单位2021年会议费预算5.00万元，拟召开6次会议，人数526人</w:t>
            </w:r>
            <w:r>
              <w:rPr>
                <w:rFonts w:hint="eastAsia" w:ascii="仿宋_GB2312" w:hAnsi="宋体" w:cs="仿宋_GB2312"/>
                <w:i w:val="0"/>
                <w:iCs w:val="0"/>
                <w:color w:val="auto"/>
                <w:kern w:val="0"/>
                <w:sz w:val="28"/>
                <w:szCs w:val="28"/>
                <w:u w:val="none"/>
                <w:lang w:val="en-US" w:eastAsia="zh-CN" w:bidi="ar"/>
              </w:rPr>
              <w:t>，</w:t>
            </w:r>
            <w:r>
              <w:rPr>
                <w:rFonts w:hint="eastAsia" w:ascii="仿宋_GB2312" w:hAnsi="宋体" w:eastAsia="仿宋_GB2312" w:cs="仿宋_GB2312"/>
                <w:i w:val="0"/>
                <w:iCs w:val="0"/>
                <w:color w:val="auto"/>
                <w:kern w:val="0"/>
                <w:sz w:val="28"/>
                <w:szCs w:val="28"/>
                <w:u w:val="none"/>
                <w:lang w:val="en-US" w:eastAsia="zh-CN" w:bidi="ar"/>
              </w:rPr>
              <w:t>内容为农业综合性科研</w:t>
            </w:r>
            <w:r>
              <w:rPr>
                <w:rFonts w:hint="eastAsia" w:ascii="仿宋_GB2312" w:hAnsi="宋体" w:cs="仿宋_GB2312"/>
                <w:i w:val="0"/>
                <w:iCs w:val="0"/>
                <w:color w:val="auto"/>
                <w:kern w:val="0"/>
                <w:sz w:val="28"/>
                <w:szCs w:val="28"/>
                <w:u w:val="none"/>
                <w:lang w:val="en-US" w:eastAsia="zh-CN" w:bidi="ar"/>
              </w:rPr>
              <w:t>业务工作</w:t>
            </w:r>
            <w:r>
              <w:rPr>
                <w:rFonts w:hint="eastAsia" w:ascii="仿宋_GB2312" w:hAnsi="宋体" w:eastAsia="仿宋_GB2312" w:cs="仿宋_GB2312"/>
                <w:i w:val="0"/>
                <w:iCs w:val="0"/>
                <w:color w:val="auto"/>
                <w:kern w:val="0"/>
                <w:sz w:val="28"/>
                <w:szCs w:val="28"/>
                <w:u w:val="none"/>
                <w:lang w:val="en-US" w:eastAsia="zh-CN" w:bidi="ar"/>
              </w:rPr>
              <w:t>；培训费预算4.08万元，拟开展5次培训，人数438人，内容为农业综合性科研</w:t>
            </w:r>
            <w:r>
              <w:rPr>
                <w:rFonts w:hint="eastAsia" w:ascii="仿宋_GB2312" w:hAnsi="宋体" w:cs="仿宋_GB2312"/>
                <w:i w:val="0"/>
                <w:iCs w:val="0"/>
                <w:color w:val="auto"/>
                <w:kern w:val="0"/>
                <w:sz w:val="28"/>
                <w:szCs w:val="28"/>
                <w:u w:val="none"/>
                <w:lang w:val="en-US" w:eastAsia="zh-CN" w:bidi="ar"/>
              </w:rPr>
              <w:t>培训。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2021年度本单位未安排政府采购预算。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截至上一年12月底，本单位共有车辆</w:t>
            </w:r>
            <w:r>
              <w:rPr>
                <w:rFonts w:hint="eastAsia" w:ascii="仿宋_GB2312" w:hAnsi="宋体" w:cs="仿宋_GB2312"/>
                <w:i w:val="0"/>
                <w:iCs w:val="0"/>
                <w:color w:val="auto"/>
                <w:kern w:val="0"/>
                <w:sz w:val="28"/>
                <w:szCs w:val="28"/>
                <w:u w:val="none"/>
                <w:lang w:val="en-US" w:eastAsia="zh-CN" w:bidi="ar"/>
              </w:rPr>
              <w:t>3</w:t>
            </w:r>
            <w:r>
              <w:rPr>
                <w:rFonts w:hint="eastAsia" w:ascii="仿宋_GB2312" w:hAnsi="宋体" w:eastAsia="仿宋_GB2312" w:cs="仿宋_GB2312"/>
                <w:i w:val="0"/>
                <w:iCs w:val="0"/>
                <w:color w:val="auto"/>
                <w:kern w:val="0"/>
                <w:sz w:val="28"/>
                <w:szCs w:val="28"/>
                <w:u w:val="none"/>
                <w:lang w:val="en-US" w:eastAsia="zh-CN" w:bidi="ar"/>
              </w:rPr>
              <w:t>辆，其中领导干部用车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辆，一般公务用车</w:t>
            </w:r>
            <w:r>
              <w:rPr>
                <w:rFonts w:hint="eastAsia" w:ascii="仿宋_GB2312" w:hAnsi="宋体" w:cs="仿宋_GB2312"/>
                <w:i w:val="0"/>
                <w:iCs w:val="0"/>
                <w:color w:val="auto"/>
                <w:kern w:val="0"/>
                <w:sz w:val="28"/>
                <w:szCs w:val="28"/>
                <w:u w:val="none"/>
                <w:lang w:val="en-US" w:eastAsia="zh-CN" w:bidi="ar"/>
              </w:rPr>
              <w:t>2</w:t>
            </w:r>
            <w:r>
              <w:rPr>
                <w:rFonts w:hint="eastAsia" w:ascii="仿宋_GB2312" w:hAnsi="宋体" w:eastAsia="仿宋_GB2312" w:cs="仿宋_GB2312"/>
                <w:i w:val="0"/>
                <w:iCs w:val="0"/>
                <w:color w:val="auto"/>
                <w:kern w:val="0"/>
                <w:sz w:val="28"/>
                <w:szCs w:val="28"/>
                <w:u w:val="none"/>
                <w:lang w:val="en-US" w:eastAsia="zh-CN" w:bidi="ar"/>
              </w:rPr>
              <w:t>辆，其他用车</w:t>
            </w:r>
            <w:r>
              <w:rPr>
                <w:rFonts w:hint="eastAsia" w:ascii="仿宋_GB2312" w:hAnsi="宋体" w:cs="仿宋_GB2312"/>
                <w:i w:val="0"/>
                <w:iCs w:val="0"/>
                <w:color w:val="auto"/>
                <w:kern w:val="0"/>
                <w:sz w:val="28"/>
                <w:szCs w:val="28"/>
                <w:u w:val="none"/>
                <w:lang w:val="en-US" w:eastAsia="zh-CN" w:bidi="ar"/>
              </w:rPr>
              <w:t>1</w:t>
            </w:r>
            <w:r>
              <w:rPr>
                <w:rFonts w:hint="eastAsia" w:ascii="仿宋_GB2312" w:hAnsi="宋体" w:eastAsia="仿宋_GB2312" w:cs="仿宋_GB2312"/>
                <w:i w:val="0"/>
                <w:iCs w:val="0"/>
                <w:color w:val="auto"/>
                <w:kern w:val="0"/>
                <w:sz w:val="28"/>
                <w:szCs w:val="28"/>
                <w:u w:val="none"/>
                <w:lang w:val="en-US" w:eastAsia="zh-CN" w:bidi="ar"/>
              </w:rPr>
              <w:t>辆。单位价值50万元以上通用设备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台，单位价值100万元以上专用设备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2021年度本单位未计划处置或新增车辆、设备等。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本单位所有支出实行绩效目标管理。纳入2021年单位整体支出绩效目标的金额为1,845.30万元，其中，基本支出1,779.60万元，项目支出65.70万元，绩效目标详见文尾附表中预算公开表格的表22-23。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第二部分  单位预算公开表格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二、收入总表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三、支出总表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六、财政拨款收支总表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七、一般公共预算支出表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十五、政府性基金预算支出表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十八、国有资产经营预算支出表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二十一、支出预算项目明细表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cs="仿宋_GB2312"/>
                <w:i w:val="0"/>
                <w:iCs w:val="0"/>
                <w:color w:val="auto"/>
                <w:kern w:val="0"/>
                <w:sz w:val="28"/>
                <w:szCs w:val="28"/>
                <w:u w:val="none"/>
                <w:lang w:val="en-US" w:eastAsia="zh-CN" w:bidi="ar"/>
              </w:rPr>
              <w:t>二十四、一般公共预算基本支出总表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CA6C5B"/>
    <w:multiLevelType w:val="singleLevel"/>
    <w:tmpl w:val="D0CA6C5B"/>
    <w:lvl w:ilvl="0" w:tentative="0">
      <w:start w:val="1"/>
      <w:numFmt w:val="chineseCounting"/>
      <w:suff w:val="nothing"/>
      <w:lvlText w:val="%1、"/>
      <w:lvlJc w:val="left"/>
      <w:rPr>
        <w:rFonts w:hint="eastAsia"/>
      </w:rPr>
    </w:lvl>
  </w:abstractNum>
  <w:abstractNum w:abstractNumId="1">
    <w:nsid w:val="194A60B1"/>
    <w:multiLevelType w:val="singleLevel"/>
    <w:tmpl w:val="194A60B1"/>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2MTUwZDI2NGI2MWJkMGUwNDI0OTE3MDA4NWEzNWUifQ=="/>
  </w:docVars>
  <w:rsids>
    <w:rsidRoot w:val="48885009"/>
    <w:rsid w:val="060F4036"/>
    <w:rsid w:val="19DA0BBC"/>
    <w:rsid w:val="1D996EEF"/>
    <w:rsid w:val="277B2FD1"/>
    <w:rsid w:val="2CEA1B7C"/>
    <w:rsid w:val="312E36D8"/>
    <w:rsid w:val="3B51265F"/>
    <w:rsid w:val="41287D3B"/>
    <w:rsid w:val="48885009"/>
    <w:rsid w:val="4E542F0D"/>
    <w:rsid w:val="707F6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3461</Words>
  <Characters>3772</Characters>
  <Lines>0</Lines>
  <Paragraphs>0</Paragraphs>
  <TotalTime>2</TotalTime>
  <ScaleCrop>false</ScaleCrop>
  <LinksUpToDate>false</LinksUpToDate>
  <CharactersWithSpaces>3927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余小龙</cp:lastModifiedBy>
  <dcterms:modified xsi:type="dcterms:W3CDTF">2022-09-05T07:35:59Z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1F6CD9A91233441FAABDBE58EE16D2E2</vt:lpwstr>
  </property>
</Properties>
</file>