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公安局云溪分局2021年度单位预算公开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预防制止和侦查违法犯罪活动；维护社会治安秩序，制止危害社会治安秩序的行为；组织实施消防工作，实行消防监督；管理枪支弹药、控制刀具和易燃易爆、剧毒、放射等危险物品；对法律、法规指定的特种行业进行管理；警卫国家规定的特定人员，守卫重要的场所和设施；管理集会、游行、示威活动；管理户政、国籍、出入境事务和外国人在中国境内居留、旅行的有关事务；维护国边境地区的治安秩序；管理监督计算机信息系统的安全保卫工作；指导监督国家机关、社会团体、企业事业组织和重点建设工程的治安保卫工作，指导治安保卫委员会等群众性组织的治安防范工作；法律法规规定的其他职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独立编制、核算机构数 1 个，现有人员编制 169名，预算人数169名。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本单位为二级预算单位，没有预算独立、财务独立核算的下属预算单位。因此纳入2021年部门预算公开范围的为本单位本级预算。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3,178.81万元，其中，一般公共预算拨款3,178.81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收入较去年减少0.98万元，降幅0.0%，基本持平。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2021年本单位支出预算3,178.81万元，其中，公共安全支出2,607.38万元，社会保障和就业支出242.33万元，卫生健康支出160.18万元，住房保障支出168.92万元。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支出较去年减少0.98万元，其中基本支出较去年增加29万元，原因是工资福利增加；项目支出较去年减少29.98万元，原因是维稳特费经费减少。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3,178.81万元，其中，公共安全支出2,607.38万元，占82.0%，社会保障和就业支出242.33万元，占7.6%，卫生健康支出160.18万元，占5.0%，住房保障支出168.92万元，占5.3%。具体安排情况如下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2,412.77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766.04万元，是指单位为完成特定行政工作任务或事业发展目标而发生的支出，包括有关业务工作经费、运行维护经费等。其中包括中央政法转移支付办案费294.20万元、人民警察加班、值勤岗位津贴280.22万元、办案经费100.00万元、治安电子监控平台建设53.80万元、乡镇派出所民警工作津贴14.40万元、拘留所经费13.44万元、维稳及特费工作经费9.98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,，主要用于执法办案支出、城市治安电子监控人员工资及工作经费、拘留所拘留人员医疗伙食费、乡镇派出所民警乡镇补贴以及民警加班执勤津贴。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本单位2021年机关运行经费当年一般公共预算拨款433.71万元。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较去年减少10.27万元，降幅-2.3%，原因是在职民警实有人数减少。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本单位2021年“三公”经费预算数110.52万元，其中公务接待费5.22万元，因公出国（境）费0.00万元，公务用车购置及运行费105.30万元（其中公务用车购置费0.00万元，公务用车运行费105.30万元）。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比上一年减少11.7万元，下降10%，主要原因是公务用车运行维护费核减10%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，厉行节约。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121212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2021年度本单位未计划召开会议；培训费预算15.00万元，拟开展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121212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121212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121212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121212"/>
                <w:kern w:val="0"/>
                <w:sz w:val="28"/>
                <w:szCs w:val="28"/>
                <w:u w:val="none"/>
                <w:lang w:val="en-US" w:eastAsia="zh-CN" w:bidi="ar"/>
              </w:rPr>
              <w:t>人，内容为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121212"/>
                <w:kern w:val="0"/>
                <w:sz w:val="28"/>
                <w:szCs w:val="28"/>
                <w:u w:val="none"/>
                <w:lang w:val="en-US" w:eastAsia="zh-CN" w:bidi="ar"/>
              </w:rPr>
              <w:t>大练兵警务实战培训。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</w:rPr>
              <w:t xml:space="preserve">2021年本部门政府采购预算总额 </w:t>
            </w:r>
            <w:r>
              <w:rPr>
                <w:rFonts w:hint="eastAsia"/>
                <w:lang w:eastAsia="zh-CN"/>
              </w:rPr>
              <w:t>16.8</w:t>
            </w:r>
            <w:r>
              <w:rPr>
                <w:rFonts w:hint="eastAsia"/>
              </w:rPr>
              <w:t>万元，其中，货物类采购预算</w:t>
            </w:r>
            <w:r>
              <w:rPr>
                <w:rFonts w:hint="eastAsia"/>
                <w:lang w:eastAsia="zh-CN"/>
              </w:rPr>
              <w:t>16.8</w:t>
            </w:r>
            <w:r>
              <w:rPr>
                <w:rFonts w:hint="eastAsia"/>
              </w:rPr>
              <w:t>万元；工程类采购预算</w:t>
            </w:r>
            <w:r>
              <w:rPr>
                <w:rFonts w:hint="eastAsia"/>
                <w:lang w:eastAsia="zh-CN"/>
              </w:rPr>
              <w:t>0万</w:t>
            </w:r>
            <w:r>
              <w:rPr>
                <w:rFonts w:hint="eastAsia"/>
              </w:rPr>
              <w:t>元；服务类采购预算0 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（机要通信用车 2辆，执法执勤用车34辆，特种专业技术用车 2辆）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2021年拟报废处置公务用车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辆，拟新增配置车辆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辆，主要用于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执法执勤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，资金来源为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单位自筹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2021年拟新增配备单位价值50万元以上通用设备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本单位所有支出实行绩效目标管理。纳入2021年单位整体支出绩效目标的金额为3,178.81万元，其中，基本支出2,412.77万元，项目支出766.04万元，绩效目标详见文尾附表中预算公开表格的表22-23。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一般公共预算基本支出总表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>
      <w:pPr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59E87"/>
    <w:multiLevelType w:val="singleLevel"/>
    <w:tmpl w:val="63159E87"/>
    <w:lvl w:ilvl="0" w:tentative="0">
      <w:start w:val="1"/>
      <w:numFmt w:val="chineseCount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3432</Words>
  <Characters>3795</Characters>
  <Lines>0</Lines>
  <Paragraphs>0</Paragraphs>
  <ScaleCrop>false</ScaleCrop>
  <LinksUpToDate>false</LinksUpToDate>
  <CharactersWithSpaces>3977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2022-06-07T19:01:00Z</dcterms:created>
  <dc:creator>German Phillip</dc:creator>
  <cp:lastModifiedBy>唐唐佳锦的iPhone</cp:lastModifiedBy>
  <dcterms:modified xsi:type="dcterms:W3CDTF">2022-09-05T15:00:59Z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2052-11.28.1</vt:lpwstr>
  </property>
  <property fmtid="{D5CDD505-2E9C-101B-9397-08002B2CF9AE}" pid="3" name="ICV">
    <vt:lpwstr>CAEB3DCB16ED45B89F19960E423BC2F5</vt:lpwstr>
  </property>
</Properties>
</file>