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 xml:space="preserve">  岳阳市园林绿化中心2021年度单位预算公开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第一部分  2021年单位预算说明</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第二部分  单位预算公开表格</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w:t>
            </w:r>
            <w:r>
              <w:rPr>
                <w:rFonts w:hint="eastAsia" w:ascii="仿宋_GB2312" w:hAnsi="宋体" w:cs="仿宋_GB2312"/>
                <w:i w:val="0"/>
                <w:iCs w:val="0"/>
                <w:color w:val="auto"/>
                <w:kern w:val="0"/>
                <w:sz w:val="28"/>
                <w:szCs w:val="28"/>
                <w:u w:val="none"/>
                <w:lang w:val="en-US" w:eastAsia="zh-CN" w:bidi="ar"/>
              </w:rPr>
              <w:t>一般公共预算基本支出总表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ind w:firstLine="0" w:firstLineChars="0"/>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val="en-US" w:eastAsia="zh-CN"/>
              </w:rPr>
              <w:t>1.</w:t>
            </w:r>
            <w:r>
              <w:rPr>
                <w:rFonts w:hint="eastAsia"/>
                <w:color w:val="auto"/>
                <w:lang w:eastAsia="zh-CN"/>
              </w:rPr>
              <w:t>贯彻执行城市园林绿化（含城市雕塑，下同）相关法律法规和政策，参与拟订和组织落实有关实施办法；参与拟订全市园林绿化工作的中长期规划，并组织实施；参与编制和实施《岳阳市城市绿地系统规划》等各类园林绿化专项规划。</w:t>
            </w:r>
          </w:p>
          <w:p>
            <w:pPr>
              <w:ind w:firstLine="0" w:firstLineChars="0"/>
              <w:rPr>
                <w:rFonts w:hint="eastAsia"/>
                <w:color w:val="auto"/>
                <w:lang w:eastAsia="zh-CN"/>
              </w:rPr>
            </w:pPr>
            <w:r>
              <w:rPr>
                <w:rFonts w:hint="eastAsia"/>
                <w:color w:val="auto"/>
                <w:lang w:eastAsia="zh-CN"/>
              </w:rPr>
              <w:t>　　</w:t>
            </w:r>
            <w:r>
              <w:rPr>
                <w:rFonts w:hint="eastAsia"/>
                <w:color w:val="auto"/>
                <w:lang w:val="en-US" w:eastAsia="zh-CN"/>
              </w:rPr>
              <w:t>2.</w:t>
            </w:r>
            <w:r>
              <w:rPr>
                <w:rFonts w:hint="eastAsia"/>
                <w:color w:val="auto"/>
                <w:lang w:eastAsia="zh-CN"/>
              </w:rPr>
              <w:t>受委托承担城区新建，改建，扩建园林绿化工程建设质量，安全监督中的事务性工作，参与竣工验收；受委托承担园林绿化工程质量评价并录入园林绿化市场主体信用评价系统；具体承办上级交办的工程建设任务。</w:t>
            </w:r>
          </w:p>
          <w:p>
            <w:pPr>
              <w:ind w:firstLine="0" w:firstLineChars="0"/>
              <w:rPr>
                <w:rFonts w:hint="eastAsia"/>
                <w:color w:val="auto"/>
                <w:lang w:eastAsia="zh-CN"/>
              </w:rPr>
            </w:pPr>
            <w:r>
              <w:rPr>
                <w:rFonts w:hint="eastAsia"/>
                <w:color w:val="auto"/>
                <w:lang w:eastAsia="zh-CN"/>
              </w:rPr>
              <w:t>　　</w:t>
            </w:r>
            <w:r>
              <w:rPr>
                <w:rFonts w:hint="eastAsia"/>
                <w:color w:val="auto"/>
                <w:lang w:val="en-US" w:eastAsia="zh-CN"/>
              </w:rPr>
              <w:t>3.</w:t>
            </w:r>
            <w:r>
              <w:rPr>
                <w:rFonts w:hint="eastAsia"/>
                <w:color w:val="auto"/>
                <w:lang w:eastAsia="zh-CN"/>
              </w:rPr>
              <w:t>负责指导和监督城市公园，广场和城市主次干道附属绿地等城市绿地及配套设施的养护管理工作。</w:t>
            </w:r>
          </w:p>
          <w:p>
            <w:pPr>
              <w:ind w:firstLine="0" w:firstLineChars="0"/>
              <w:rPr>
                <w:rFonts w:hint="eastAsia"/>
                <w:color w:val="auto"/>
                <w:lang w:eastAsia="zh-CN"/>
              </w:rPr>
            </w:pPr>
            <w:r>
              <w:rPr>
                <w:rFonts w:hint="eastAsia"/>
                <w:color w:val="auto"/>
                <w:lang w:eastAsia="zh-CN"/>
              </w:rPr>
              <w:t>　　</w:t>
            </w:r>
            <w:r>
              <w:rPr>
                <w:rFonts w:hint="eastAsia"/>
                <w:color w:val="auto"/>
                <w:lang w:val="en-US" w:eastAsia="zh-CN"/>
              </w:rPr>
              <w:t>4.</w:t>
            </w:r>
            <w:r>
              <w:rPr>
                <w:rFonts w:hint="eastAsia"/>
                <w:color w:val="auto"/>
                <w:lang w:eastAsia="zh-CN"/>
              </w:rPr>
              <w:t>负责全市园林绿化信息系统的建设和管理。受委托承担本城市绿地规划，设计，建设管理等技术标准和园林绿化考评实细则的拟定工作。</w:t>
            </w:r>
          </w:p>
          <w:p>
            <w:pPr>
              <w:ind w:firstLine="0" w:firstLineChars="0"/>
              <w:rPr>
                <w:rFonts w:hint="eastAsia"/>
                <w:color w:val="auto"/>
                <w:lang w:eastAsia="zh-CN"/>
              </w:rPr>
            </w:pPr>
            <w:r>
              <w:rPr>
                <w:rFonts w:hint="eastAsia"/>
                <w:color w:val="auto"/>
                <w:lang w:eastAsia="zh-CN"/>
              </w:rPr>
              <w:t>　　</w:t>
            </w:r>
            <w:r>
              <w:rPr>
                <w:rFonts w:hint="eastAsia"/>
                <w:color w:val="auto"/>
                <w:lang w:val="en-US" w:eastAsia="zh-CN"/>
              </w:rPr>
              <w:t>5.</w:t>
            </w:r>
            <w:r>
              <w:rPr>
                <w:rFonts w:hint="eastAsia"/>
                <w:color w:val="auto"/>
                <w:lang w:eastAsia="zh-CN"/>
              </w:rPr>
              <w:t>参与研究制定，组织实施全市园林绿化行业科技发展规划；负责全市园林建设，园林科研，花卉生产，苗木培育，古树名木保护等技术指导工作；负责指导园林绿化科技项目攻关和科技成果的转化，应用，推广以及新技术的引进工作。</w:t>
            </w:r>
          </w:p>
          <w:p>
            <w:pPr>
              <w:ind w:firstLine="0" w:firstLineChars="0"/>
              <w:rPr>
                <w:rFonts w:hint="eastAsia"/>
                <w:color w:val="auto"/>
                <w:lang w:eastAsia="zh-CN"/>
              </w:rPr>
            </w:pPr>
            <w:r>
              <w:rPr>
                <w:rFonts w:hint="eastAsia"/>
                <w:color w:val="auto"/>
                <w:lang w:eastAsia="zh-CN"/>
              </w:rPr>
              <w:t>　　</w:t>
            </w:r>
            <w:r>
              <w:rPr>
                <w:rFonts w:hint="eastAsia"/>
                <w:color w:val="auto"/>
                <w:lang w:val="en-US" w:eastAsia="zh-CN"/>
              </w:rPr>
              <w:t>6.</w:t>
            </w:r>
            <w:r>
              <w:rPr>
                <w:rFonts w:hint="eastAsia"/>
                <w:color w:val="auto"/>
                <w:lang w:eastAsia="zh-CN"/>
              </w:rPr>
              <w:t>参与国家园林城市复查等各类园林绿化创建活动。</w:t>
            </w:r>
          </w:p>
          <w:p>
            <w:pPr>
              <w:ind w:firstLine="0" w:firstLineChars="0"/>
              <w:rPr>
                <w:rFonts w:hint="eastAsia"/>
                <w:color w:val="auto"/>
                <w:lang w:eastAsia="zh-CN"/>
              </w:rPr>
            </w:pPr>
            <w:r>
              <w:rPr>
                <w:rFonts w:hint="eastAsia"/>
                <w:color w:val="auto"/>
                <w:lang w:eastAsia="zh-CN"/>
              </w:rPr>
              <w:t>　　</w:t>
            </w:r>
            <w:r>
              <w:rPr>
                <w:rFonts w:hint="eastAsia"/>
                <w:color w:val="auto"/>
                <w:lang w:val="en-US" w:eastAsia="zh-CN"/>
              </w:rPr>
              <w:t>7.</w:t>
            </w:r>
            <w:r>
              <w:rPr>
                <w:rFonts w:hint="eastAsia"/>
                <w:color w:val="auto"/>
                <w:lang w:eastAsia="zh-CN"/>
              </w:rPr>
              <w:t>负责组织大型花卉展览和城市绿化周等园林绿化科普宣传的具体实施工作。</w:t>
            </w:r>
          </w:p>
          <w:p>
            <w:pPr>
              <w:ind w:firstLine="0" w:firstLineChars="0"/>
              <w:rPr>
                <w:rFonts w:hint="eastAsia"/>
                <w:color w:val="auto"/>
                <w:lang w:eastAsia="zh-CN"/>
              </w:rPr>
            </w:pPr>
            <w:r>
              <w:rPr>
                <w:rFonts w:hint="eastAsia"/>
                <w:color w:val="auto"/>
                <w:lang w:eastAsia="zh-CN"/>
              </w:rPr>
              <w:t>　　</w:t>
            </w:r>
            <w:r>
              <w:rPr>
                <w:rFonts w:hint="eastAsia"/>
                <w:color w:val="auto"/>
                <w:lang w:val="en-US" w:eastAsia="zh-CN"/>
              </w:rPr>
              <w:t>8.</w:t>
            </w:r>
            <w:r>
              <w:rPr>
                <w:rFonts w:hint="eastAsia"/>
                <w:color w:val="auto"/>
                <w:lang w:eastAsia="zh-CN"/>
              </w:rPr>
              <w:t>具体承办园林绿化工程建设的行业指导；组织开展园林绿化行业协学术，技术交流活动。</w:t>
            </w:r>
          </w:p>
          <w:p>
            <w:pPr>
              <w:ind w:firstLine="0" w:firstLineChars="0"/>
              <w:rPr>
                <w:rFonts w:hint="eastAsia" w:ascii="仿宋_GB2312" w:hAnsi="宋体" w:eastAsia="仿宋_GB2312" w:cs="仿宋_GB2312"/>
                <w:i w:val="0"/>
                <w:iCs w:val="0"/>
                <w:color w:val="auto"/>
                <w:sz w:val="28"/>
                <w:szCs w:val="28"/>
                <w:u w:val="none"/>
              </w:rPr>
            </w:pPr>
            <w:r>
              <w:rPr>
                <w:rFonts w:hint="eastAsia"/>
                <w:color w:val="auto"/>
                <w:lang w:eastAsia="zh-CN"/>
              </w:rPr>
              <w:t>　　</w:t>
            </w:r>
            <w:r>
              <w:rPr>
                <w:rFonts w:hint="eastAsia"/>
                <w:color w:val="auto"/>
                <w:lang w:val="en-US" w:eastAsia="zh-CN"/>
              </w:rPr>
              <w:t>9.</w:t>
            </w:r>
            <w:r>
              <w:rPr>
                <w:rFonts w:hint="eastAsia"/>
                <w:color w:val="auto"/>
                <w:lang w:eastAsia="zh-CN"/>
              </w:rPr>
              <w:t>承办上级部门交办的其他事项。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独立编制、核算机构数1个，现有人员编制32人，公益一类事业单位，下设科室办公室、工程建设质量安全科、管理和考评科、技术科、信息科、人事教育科、计财审计科、党委办公室、离退休人员管理服务科。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ind w:left="560" w:leftChars="0" w:firstLine="0" w:firstLineChars="0"/>
              <w:jc w:val="left"/>
              <w:textAlignment w:val="center"/>
              <w:rPr>
                <w:rFonts w:hint="eastAsia" w:ascii="黑体" w:hAnsi="宋体" w:eastAsia="黑体" w:cs="黑体"/>
                <w:i w:val="0"/>
                <w:iCs w:val="0"/>
                <w:color w:val="auto"/>
                <w:kern w:val="0"/>
                <w:sz w:val="28"/>
                <w:szCs w:val="28"/>
                <w:u w:val="none"/>
                <w:lang w:val="en-US" w:eastAsia="zh-CN" w:bidi="ar"/>
              </w:rPr>
            </w:pPr>
            <w:r>
              <w:rPr>
                <w:rFonts w:hint="eastAsia" w:ascii="黑体" w:hAnsi="宋体" w:eastAsia="黑体" w:cs="黑体"/>
                <w:i w:val="0"/>
                <w:iCs w:val="0"/>
                <w:color w:val="auto"/>
                <w:kern w:val="0"/>
                <w:sz w:val="28"/>
                <w:szCs w:val="28"/>
                <w:u w:val="none"/>
                <w:lang w:val="en-US" w:eastAsia="zh-CN" w:bidi="ar"/>
              </w:rPr>
              <w:t>单位收支总体情况</w:t>
            </w:r>
          </w:p>
          <w:p>
            <w:pPr>
              <w:keepNext w:val="0"/>
              <w:keepLines w:val="0"/>
              <w:widowControl/>
              <w:numPr>
                <w:ilvl w:val="0"/>
                <w:numId w:val="0"/>
              </w:numPr>
              <w:suppressLineNumbers w:val="0"/>
              <w:ind w:left="560" w:leftChars="0"/>
              <w:jc w:val="left"/>
              <w:textAlignment w:val="center"/>
              <w:rPr>
                <w:rFonts w:hint="default" w:ascii="黑体" w:hAnsi="宋体" w:eastAsia="黑体" w:cs="黑体"/>
                <w:i w:val="0"/>
                <w:iCs w:val="0"/>
                <w:color w:val="auto"/>
                <w:kern w:val="0"/>
                <w:sz w:val="28"/>
                <w:szCs w:val="28"/>
                <w:u w:val="none"/>
                <w:lang w:val="en-US" w:eastAsia="zh-CN" w:bidi="ar"/>
              </w:rPr>
            </w:pPr>
            <w:r>
              <w:rPr>
                <w:rFonts w:hint="eastAsia" w:ascii="黑体" w:hAnsi="宋体" w:eastAsia="黑体" w:cs="黑体"/>
                <w:i w:val="0"/>
                <w:iCs w:val="0"/>
                <w:color w:val="auto"/>
                <w:kern w:val="0"/>
                <w:sz w:val="28"/>
                <w:szCs w:val="28"/>
                <w:u w:val="none"/>
                <w:lang w:val="en-US" w:eastAsia="zh-CN" w:bidi="ar"/>
              </w:rPr>
              <w:t xml:space="preserve">  </w:t>
            </w:r>
            <w:r>
              <w:rPr>
                <w:rFonts w:hint="eastAsia" w:ascii="仿宋" w:hAnsi="仿宋" w:eastAsia="仿宋" w:cs="仿宋"/>
                <w:b w:val="0"/>
                <w:bCs w:val="0"/>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972.34万元，其中，一般公共预算拨款972.34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收入较去年增加78.24万元，增幅8.8%，原因是新增10人，人员经费增加。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2021年本单位支出预算972.34万元，其中，社会保障和就业支出33.71万元，卫生健康支出22.09万元，城乡社区支出893.30万元，住房保障支出23.24万元。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支出较去年增加78.24万元，其中基本支出较去年增加119.84万元，原因是人员</w:t>
            </w:r>
            <w:r>
              <w:rPr>
                <w:rFonts w:hint="eastAsia" w:ascii="仿宋_GB2312" w:hAnsi="宋体" w:cs="仿宋_GB2312"/>
                <w:i w:val="0"/>
                <w:iCs w:val="0"/>
                <w:color w:val="auto"/>
                <w:kern w:val="0"/>
                <w:sz w:val="28"/>
                <w:szCs w:val="28"/>
                <w:u w:val="none"/>
                <w:lang w:val="en-US" w:eastAsia="zh-CN" w:bidi="ar"/>
              </w:rPr>
              <w:t>增加</w:t>
            </w:r>
            <w:r>
              <w:rPr>
                <w:rFonts w:hint="eastAsia" w:ascii="仿宋_GB2312" w:hAnsi="宋体" w:eastAsia="仿宋_GB2312"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000000" w:themeColor="text1"/>
                <w:kern w:val="0"/>
                <w:sz w:val="28"/>
                <w:szCs w:val="28"/>
                <w:u w:val="none"/>
                <w:lang w:val="en-US" w:eastAsia="zh-CN" w:bidi="ar"/>
                <w14:textFill>
                  <w14:solidFill>
                    <w14:schemeClr w14:val="tx1"/>
                  </w14:solidFill>
                </w14:textFill>
              </w:rPr>
              <w:t>项目支出较去年减少41.6万元，原因</w:t>
            </w:r>
            <w:r>
              <w:rPr>
                <w:rFonts w:hint="eastAsia" w:ascii="仿宋_GB2312" w:hAnsi="宋体" w:cs="仿宋_GB2312"/>
                <w:i w:val="0"/>
                <w:iCs w:val="0"/>
                <w:color w:val="000000" w:themeColor="text1"/>
                <w:kern w:val="0"/>
                <w:sz w:val="28"/>
                <w:szCs w:val="28"/>
                <w:u w:val="none"/>
                <w:lang w:val="en-US" w:eastAsia="zh-CN" w:bidi="ar"/>
                <w14:textFill>
                  <w14:solidFill>
                    <w14:schemeClr w14:val="tx1"/>
                  </w14:solidFill>
                </w14:textFill>
              </w:rPr>
              <w:t>是</w:t>
            </w:r>
            <w:r>
              <w:rPr>
                <w:rFonts w:hint="eastAsia" w:ascii="仿宋_GB2312" w:hAnsi="宋体" w:cs="仿宋_GB2312"/>
                <w:i w:val="0"/>
                <w:iCs w:val="0"/>
                <w:color w:val="auto"/>
                <w:kern w:val="0"/>
                <w:sz w:val="28"/>
                <w:szCs w:val="28"/>
                <w:u w:val="none"/>
                <w:lang w:val="en-US" w:eastAsia="zh-CN" w:bidi="ar"/>
              </w:rPr>
              <w:t>厉行节约，压减</w:t>
            </w:r>
            <w:r>
              <w:rPr>
                <w:rFonts w:hint="eastAsia" w:ascii="仿宋_GB2312" w:hAnsi="宋体" w:eastAsia="仿宋_GB2312" w:cs="仿宋_GB2312"/>
                <w:i w:val="0"/>
                <w:iCs w:val="0"/>
                <w:color w:val="000000" w:themeColor="text1"/>
                <w:kern w:val="0"/>
                <w:sz w:val="28"/>
                <w:szCs w:val="28"/>
                <w:u w:val="none"/>
                <w:lang w:val="en-US" w:eastAsia="zh-CN" w:bidi="ar"/>
                <w14:textFill>
                  <w14:solidFill>
                    <w14:schemeClr w14:val="tx1"/>
                  </w14:solidFill>
                </w14:textFill>
              </w:rPr>
              <w:t>项目</w:t>
            </w:r>
            <w:r>
              <w:rPr>
                <w:rFonts w:hint="eastAsia" w:ascii="仿宋_GB2312" w:hAnsi="宋体" w:cs="仿宋_GB2312"/>
                <w:i w:val="0"/>
                <w:iCs w:val="0"/>
                <w:color w:val="auto"/>
                <w:kern w:val="0"/>
                <w:sz w:val="28"/>
                <w:szCs w:val="28"/>
                <w:u w:val="none"/>
                <w:lang w:val="en-US" w:eastAsia="zh-CN" w:bidi="ar"/>
              </w:rPr>
              <w:t>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2021年一般公共预算拨款支出预算972.34万元，其中，社会保障和就业支出33.71万元，占3.5%，卫生健康支出22.09万元，占2.3%，城乡社区支出893.30万元，占91.9%，住房保障支出23.24万元，占2.4%。具体安排情况如下：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324.34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648.00万元，是指单位为完成特定行政工作任务或事业发展目标而发生的支出，包括有关业务工作经费、运行维护经费等。其中包括园林绿地信息系统维护经费35.00万元、鲜花一条街专项维护经费270.00万元、园林主题活动40.00万元，主要用于每年度按园林景观规范标准重新整理地形，以花境形式栽植当季节草本、宿根、木本花卉植物，并根据花期规律及时补充更换花卉植物、开展园林绿化相关宣传、科普活动及花展活动等方面；非税收入征收成本161.00万元、园林养护考评工作经费60.00万元、社会绿化管理工作经费37.00万元，主要用于全年定期考核市城市园林绿地管养单位的绿化养护成果及创建及迎检时不属于我中心管养范围内社会绿化的工作协调和临时维护任务、事业发展目标而发生等方面；园林科研经费45.00万元，主要是用于园林绿化事业的可持续发展，保持在全省行业的领先地位等方面</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本单位2021年机关运行经费当年一般公共预算拨款51.61万元。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较去年增加14.68万元，增幅39.8%，原因是</w:t>
            </w:r>
            <w:r>
              <w:rPr>
                <w:rFonts w:hint="eastAsia"/>
                <w:color w:val="auto"/>
                <w:lang w:eastAsia="zh-CN"/>
              </w:rPr>
              <w:t>新增人员10人。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本单位2021年“三公”经费预算数35.34万元，其中公务接待费25.51万元，因公出国（境）费0.00万元，公务用车购置及运行费等9.83万元（其中公务用车购置费0.00万元，公务用车运行费9.83万元）。</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比上一年减少3.53万元，降低10%，主要原因</w:t>
            </w:r>
            <w:r>
              <w:rPr>
                <w:rFonts w:hint="eastAsia" w:ascii="仿宋_GB2312" w:hAnsi="宋体" w:cs="仿宋_GB2312"/>
                <w:i w:val="0"/>
                <w:iCs w:val="0"/>
                <w:color w:val="auto"/>
                <w:kern w:val="0"/>
                <w:sz w:val="28"/>
                <w:szCs w:val="28"/>
                <w:u w:val="none"/>
                <w:lang w:val="en-US" w:eastAsia="zh-CN" w:bidi="ar"/>
              </w:rPr>
              <w:t>是厉行节约，压减三公经费。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本单位2021年会议费预算2.00万元，拟召开1次会议，人数100人，内容为年终工作总结大会；培训费预算2.52万元，拟开展3次培训，人数20人，内容为处级干部培训、业务科室技术培训</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本单位2021年政府采购预算总额56万元</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其中货物类采购 23万元，工程类采购 21万元，服务类采购12万元。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w:t>
            </w:r>
            <w:r>
              <w:rPr>
                <w:rFonts w:hint="eastAsia"/>
                <w:color w:val="auto"/>
                <w:lang w:eastAsia="zh-CN"/>
              </w:rPr>
              <w:t>1辆，其中领导干部用车0辆，一般公务用车1辆，其他用车0辆。</w:t>
            </w:r>
            <w:r>
              <w:rPr>
                <w:rFonts w:hint="eastAsia" w:ascii="仿宋_GB2312" w:hAnsi="宋体" w:eastAsia="仿宋_GB2312" w:cs="仿宋_GB2312"/>
                <w:i w:val="0"/>
                <w:iCs w:val="0"/>
                <w:color w:val="auto"/>
                <w:kern w:val="0"/>
                <w:sz w:val="28"/>
                <w:szCs w:val="28"/>
                <w:u w:val="none"/>
                <w:lang w:val="en-US" w:eastAsia="zh-CN" w:bidi="ar"/>
              </w:rPr>
              <w:t>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2021年拟报废处置公务用车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辆，拟新增配置车辆</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w:t>
            </w:r>
            <w:r>
              <w:rPr>
                <w:rFonts w:hint="eastAsia"/>
                <w:color w:val="auto"/>
                <w:lang w:eastAsia="zh-CN"/>
              </w:rPr>
              <w:t>。</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2021年拟新增配备单位价值50万元以上通用设备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本单位所有支出实行绩效目标管理。纳入2021年单位整体支出绩效目标的金额为972.34万元，其中，基本支出324.34万元，项目支出648.00万元，绩效目标详见文尾附表中预算公开表格的表22-23。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w:t>
            </w:r>
            <w:r>
              <w:rPr>
                <w:rFonts w:hint="eastAsia" w:ascii="仿宋_GB2312" w:hAnsi="宋体" w:cs="仿宋_GB2312"/>
                <w:i w:val="0"/>
                <w:iCs w:val="0"/>
                <w:color w:val="auto"/>
                <w:kern w:val="0"/>
                <w:sz w:val="28"/>
                <w:szCs w:val="28"/>
                <w:u w:val="none"/>
                <w:lang w:val="en-US" w:eastAsia="zh-CN" w:bidi="ar"/>
              </w:rPr>
              <w:t>一般公共预算基本支出总表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6D6564"/>
    <w:multiLevelType w:val="singleLevel"/>
    <w:tmpl w:val="E86D6564"/>
    <w:lvl w:ilvl="0" w:tentative="0">
      <w:start w:val="2"/>
      <w:numFmt w:val="chineseCounting"/>
      <w:suff w:val="nothing"/>
      <w:lvlText w:val="%1、"/>
      <w:lvlJc w:val="left"/>
      <w:pPr>
        <w:ind w:left="56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YjE2NzhkNDM2Y2Y5NzI2YzFkODFmZGY5MzM4MWUifQ=="/>
  </w:docVars>
  <w:rsids>
    <w:rsidRoot w:val="48885009"/>
    <w:rsid w:val="0172408C"/>
    <w:rsid w:val="060F4036"/>
    <w:rsid w:val="07453DF4"/>
    <w:rsid w:val="089270BA"/>
    <w:rsid w:val="18B61304"/>
    <w:rsid w:val="1BDC2DB4"/>
    <w:rsid w:val="274839A5"/>
    <w:rsid w:val="312E36D8"/>
    <w:rsid w:val="3B51265F"/>
    <w:rsid w:val="3D442584"/>
    <w:rsid w:val="48885009"/>
    <w:rsid w:val="48B4555B"/>
    <w:rsid w:val="4E526501"/>
    <w:rsid w:val="4E542F0D"/>
    <w:rsid w:val="4F4C559E"/>
    <w:rsid w:val="521A5DA0"/>
    <w:rsid w:val="55FC0B81"/>
    <w:rsid w:val="690D1DF6"/>
    <w:rsid w:val="69647061"/>
    <w:rsid w:val="707F6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3805</Words>
  <Characters>4130</Characters>
  <Lines>0</Lines>
  <Paragraphs>0</Paragraphs>
  <TotalTime>0</TotalTime>
  <ScaleCrop>false</ScaleCrop>
  <LinksUpToDate>false</LinksUpToDate>
  <CharactersWithSpaces>4318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AOC</cp:lastModifiedBy>
  <dcterms:modified xsi:type="dcterms:W3CDTF">2022-09-07T00:59:19Z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9FFC5E602BB44625AC6E7746D439BA46</vt:lpwstr>
  </property>
</Properties>
</file>