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岳阳市停车管理办公室（公共自行车管理中心）2021年度单位预算公开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2021年单位预算说明</w:t>
            </w:r>
          </w:p>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单位预算公开表格</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w:t>
            </w:r>
            <w:r>
              <w:rPr>
                <w:rFonts w:hint="eastAsia" w:ascii="仿宋_GB2312" w:hAnsi="宋体" w:cs="仿宋_GB2312"/>
                <w:i w:val="0"/>
                <w:iCs w:val="0"/>
                <w:color w:val="auto"/>
                <w:kern w:val="0"/>
                <w:sz w:val="28"/>
                <w:szCs w:val="28"/>
                <w:u w:val="none"/>
                <w:lang w:val="en-US" w:eastAsia="zh-CN" w:bidi="ar"/>
              </w:rPr>
              <w:t>四</w:t>
            </w:r>
            <w:r>
              <w:rPr>
                <w:rFonts w:hint="eastAsia" w:ascii="仿宋_GB2312" w:hAnsi="宋体" w:eastAsia="仿宋_GB2312" w:cs="仿宋_GB2312"/>
                <w:i w:val="0"/>
                <w:iCs w:val="0"/>
                <w:color w:val="auto"/>
                <w:kern w:val="0"/>
                <w:sz w:val="28"/>
                <w:szCs w:val="28"/>
                <w:u w:val="none"/>
                <w:lang w:val="en-US" w:eastAsia="zh-CN" w:bidi="ar"/>
              </w:rPr>
              <w:t>、一般</w:t>
            </w:r>
            <w:r>
              <w:rPr>
                <w:rFonts w:hint="eastAsia" w:ascii="仿宋_GB2312" w:hAnsi="宋体" w:cs="仿宋_GB2312"/>
                <w:i w:val="0"/>
                <w:iCs w:val="0"/>
                <w:color w:val="auto"/>
                <w:kern w:val="0"/>
                <w:sz w:val="28"/>
                <w:szCs w:val="28"/>
                <w:u w:val="none"/>
                <w:lang w:val="en-US" w:eastAsia="zh-CN" w:bidi="ar"/>
              </w:rPr>
              <w:t>公共</w:t>
            </w:r>
            <w:r>
              <w:rPr>
                <w:rFonts w:hint="eastAsia" w:ascii="仿宋_GB2312" w:hAnsi="宋体" w:eastAsia="仿宋_GB2312" w:cs="仿宋_GB2312"/>
                <w:i w:val="0"/>
                <w:iCs w:val="0"/>
                <w:color w:val="auto"/>
                <w:kern w:val="0"/>
                <w:sz w:val="28"/>
                <w:szCs w:val="28"/>
                <w:u w:val="none"/>
                <w:lang w:val="en-US" w:eastAsia="zh-CN" w:bidi="ar"/>
              </w:rPr>
              <w:t>预算基本支出</w:t>
            </w:r>
            <w:r>
              <w:rPr>
                <w:rFonts w:hint="eastAsia" w:ascii="仿宋_GB2312" w:hAnsi="宋体" w:cs="仿宋_GB2312"/>
                <w:i w:val="0"/>
                <w:iCs w:val="0"/>
                <w:color w:val="auto"/>
                <w:kern w:val="0"/>
                <w:sz w:val="28"/>
                <w:szCs w:val="28"/>
                <w:u w:val="none"/>
                <w:lang w:val="en-US" w:eastAsia="zh-CN" w:bidi="ar"/>
              </w:rPr>
              <w:t>总</w:t>
            </w:r>
            <w:r>
              <w:rPr>
                <w:rFonts w:hint="eastAsia" w:ascii="仿宋_GB2312" w:hAnsi="宋体" w:eastAsia="仿宋_GB2312" w:cs="仿宋_GB2312"/>
                <w:i w:val="0"/>
                <w:iCs w:val="0"/>
                <w:color w:val="auto"/>
                <w:kern w:val="0"/>
                <w:sz w:val="28"/>
                <w:szCs w:val="28"/>
                <w:u w:val="none"/>
                <w:lang w:val="en-US" w:eastAsia="zh-CN" w:bidi="ar"/>
              </w:rPr>
              <w:t>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贯彻执行国家和省有关建设社会停车场、城建公益项目及城市交通慢行系统的法律法规及建议；根据市委、市政府授权，负责中心城区公共自行车租赁系统的规划、建设、宣传、运营监管及相关协调工作；负责对县市建设公共自行车租赁系统的业务指导；负责受理对公共自行车建设和运营管理的建议、投诉、举报等有关工作；负责对中心城区机动车道与非机动车道以外区域的车辆停放进行规范化管理，对乱停乱靠车辆和擅自划定停车泊位的违法行为依法实施行政处罚；负责对经营性单位或个人需占用城市人行道停放车辆的，依法办理相关手续（其他用途车辆除外）；负责对社会停车场（含地下停车场）的收费和停车管理实行行政审批和业务指导，对擅自变更停车用途的行为实施行政处罚；负责对公益性社会停车场的设立进行规划和报建，对枫桥湖社会停车场及市政府交办管理的其他社会停车场进行维护和管理；城区公共临时停车泊位停车收费工作；完成市委、市政府和市城市管理和综合执法局交办的职责范围内的其他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独立编制、核算机构1个，现有人员编制22人，为公益一类事业单位。下设股室：综合股、财务股、停车管理股、公共自行车租赁系统管理股四个职能股室。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本单位为二级预算单位，没有预算独立、财务独立核算的下属预算单位，因此纳入2021年部门预算公开范围的为本单位本级预算。</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（一）收入预算</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1,319.37万元，其中，一般公共预算拨款1,319.37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收入较去年减少5.84万元，降幅-0.4%，</w:t>
            </w:r>
            <w:r>
              <w:rPr>
                <w:rFonts w:hint="eastAsia" w:ascii="仿宋_GB2312" w:hAnsi="宋体" w:cs="仿宋_GB2312"/>
                <w:i w:val="0"/>
                <w:iCs w:val="0"/>
                <w:color w:val="auto"/>
                <w:kern w:val="0"/>
                <w:sz w:val="28"/>
                <w:szCs w:val="28"/>
                <w:u w:val="none"/>
                <w:lang w:val="en-US" w:eastAsia="zh-CN" w:bidi="ar"/>
              </w:rPr>
              <w:t>其中基本支出预算增加23.06万元，</w:t>
            </w:r>
            <w:r>
              <w:rPr>
                <w:rFonts w:hint="eastAsia" w:ascii="仿宋_GB2312" w:hAnsi="宋体" w:eastAsia="仿宋_GB2312" w:cs="仿宋_GB2312"/>
                <w:i w:val="0"/>
                <w:iCs w:val="0"/>
                <w:color w:val="auto"/>
                <w:kern w:val="0"/>
                <w:sz w:val="28"/>
                <w:szCs w:val="28"/>
                <w:u w:val="none"/>
                <w:lang w:val="en-US" w:eastAsia="zh-CN" w:bidi="ar"/>
              </w:rPr>
              <w:t>原因是</w:t>
            </w:r>
            <w:r>
              <w:rPr>
                <w:rFonts w:hint="eastAsia" w:ascii="仿宋_GB2312" w:hAnsi="宋体" w:cs="仿宋_GB2312"/>
                <w:i w:val="0"/>
                <w:iCs w:val="0"/>
                <w:color w:val="auto"/>
                <w:kern w:val="0"/>
                <w:sz w:val="28"/>
                <w:szCs w:val="28"/>
                <w:u w:val="none"/>
                <w:lang w:val="en-US" w:eastAsia="zh-CN" w:bidi="ar"/>
              </w:rPr>
              <w:t>本年新增2名工作人员，工资福利预算相应增加；项目支出预算减少28.90万元，原因是本单位严格执行了压减一般性财政拨款支出。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2021年本单位支出预算1,319.37万元，其中，社会保障和就业支出22.16万元，卫生健康支出9.30万元，城乡社区支出1,272.82万元，住房保障支出15.09万元。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eastAsia="仿宋_GB2312" w:cs="仿宋_GB2312"/>
                <w:i w:val="0"/>
                <w:iCs w:val="0"/>
                <w:color w:val="FF0000"/>
                <w:kern w:val="0"/>
                <w:sz w:val="28"/>
                <w:szCs w:val="28"/>
                <w:u w:val="none"/>
                <w:lang w:val="en-US" w:eastAsia="zh-CN" w:bidi="ar"/>
              </w:rPr>
              <w:t xml:space="preserve"> </w:t>
            </w:r>
            <w:r>
              <w:rPr>
                <w:rFonts w:hint="eastAsia" w:ascii="仿宋_GB2312" w:hAnsi="宋体" w:eastAsia="仿宋_GB2312" w:cs="仿宋_GB2312"/>
                <w:i w:val="0"/>
                <w:iCs w:val="0"/>
                <w:color w:val="auto"/>
                <w:kern w:val="0"/>
                <w:sz w:val="28"/>
                <w:szCs w:val="28"/>
                <w:u w:val="none"/>
                <w:lang w:val="en-US" w:eastAsia="zh-CN" w:bidi="ar"/>
              </w:rPr>
              <w:t>支出较去年减少5.84万元，其中基本支出较去年增加23.06万元，原因是</w:t>
            </w:r>
            <w:r>
              <w:rPr>
                <w:rFonts w:hint="eastAsia" w:ascii="仿宋_GB2312" w:hAnsi="宋体" w:cs="仿宋_GB2312"/>
                <w:i w:val="0"/>
                <w:iCs w:val="0"/>
                <w:color w:val="auto"/>
                <w:kern w:val="0"/>
                <w:sz w:val="28"/>
                <w:szCs w:val="28"/>
                <w:u w:val="none"/>
                <w:lang w:val="en-US" w:eastAsia="zh-CN" w:bidi="ar"/>
              </w:rPr>
              <w:t>本年新增2名工作人员，工资福利预算相应增加</w:t>
            </w:r>
            <w:r>
              <w:rPr>
                <w:rFonts w:hint="eastAsia" w:ascii="仿宋_GB2312" w:hAnsi="宋体" w:eastAsia="仿宋_GB2312" w:cs="仿宋_GB2312"/>
                <w:i w:val="0"/>
                <w:iCs w:val="0"/>
                <w:color w:val="auto"/>
                <w:kern w:val="0"/>
                <w:sz w:val="28"/>
                <w:szCs w:val="28"/>
                <w:u w:val="none"/>
                <w:lang w:val="en-US" w:eastAsia="zh-CN" w:bidi="ar"/>
              </w:rPr>
              <w:t>；项目支出较去年减少28.9万元，原因是</w:t>
            </w:r>
            <w:r>
              <w:rPr>
                <w:rFonts w:hint="eastAsia" w:ascii="仿宋_GB2312" w:hAnsi="宋体" w:cs="仿宋_GB2312"/>
                <w:i w:val="0"/>
                <w:iCs w:val="0"/>
                <w:color w:val="auto"/>
                <w:kern w:val="0"/>
                <w:sz w:val="28"/>
                <w:szCs w:val="28"/>
                <w:u w:val="none"/>
                <w:lang w:val="en-US" w:eastAsia="zh-CN" w:bidi="ar"/>
              </w:rPr>
              <w:t>本单位严格执行了压减一般性财政拨款支出。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2021年一般公共预算拨款支出预算1,319.37万元，其中，社会保障和就业支出22.16万元，占1.7%，卫生健康支出9.30万元，占0.7%，城乡社区支出1,272.82万元，占96.5%，住房保障支出15.09万元，占1.1%。具体安排情况如下：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202.97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1,116.40万元，是指单位为完成特定行政工作任务或事业发展目标而发生的支出，包括有关业务工作经费、运行维护经费等。其中包括办案费12.00万元、非税收入征收成本1.40万元、公共自行车租赁系统管理办工作经费23.00万元、公共自行车运营公司运营管理费884.00万元、公共自行车租赁系统站点网络流量费84.00万元、执法巡逻车辆补助（含拖车经费）31.00万元、执法、执勤经费29.00万元、设施设备维护费33.00万元、协管员人员经费19.00万元</w:t>
            </w:r>
            <w:r>
              <w:rPr>
                <w:rFonts w:hint="eastAsia" w:ascii="仿宋_GB2312" w:hAnsi="宋体" w:cs="仿宋_GB2312"/>
                <w:i w:val="0"/>
                <w:iCs w:val="0"/>
                <w:color w:val="auto"/>
                <w:kern w:val="0"/>
                <w:sz w:val="28"/>
                <w:szCs w:val="28"/>
                <w:u w:val="none"/>
                <w:lang w:val="en-US" w:eastAsia="zh-CN" w:bidi="ar"/>
              </w:rPr>
              <w:t>，主要用于公共自行车运营管理、停车管理及停车设施安装与维护、枫桥湖停车场管理和停车收费宣传等方面。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本单位2021年机关运行经费当年一般公共预算拨款29.68万元。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较去年增加1.81万元，增幅6.5%，原因是</w:t>
            </w:r>
            <w:r>
              <w:rPr>
                <w:rFonts w:hint="eastAsia" w:ascii="仿宋_GB2312" w:hAnsi="宋体" w:cs="仿宋_GB2312"/>
                <w:i w:val="0"/>
                <w:iCs w:val="0"/>
                <w:color w:val="auto"/>
                <w:kern w:val="0"/>
                <w:sz w:val="28"/>
                <w:szCs w:val="28"/>
                <w:u w:val="none"/>
                <w:lang w:val="en-US" w:eastAsia="zh-CN" w:bidi="ar"/>
              </w:rPr>
              <w:t>本年新增2名工作人员，公用经费预算相应增加。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w:t>
            </w:r>
            <w:r>
              <w:rPr>
                <w:rFonts w:hint="eastAsia" w:ascii="仿宋_GB2312" w:hAnsi="宋体" w:cs="仿宋_GB2312"/>
                <w:i w:val="0"/>
                <w:iCs w:val="0"/>
                <w:color w:val="auto"/>
                <w:kern w:val="0"/>
                <w:sz w:val="28"/>
                <w:szCs w:val="28"/>
                <w:u w:val="none"/>
                <w:lang w:val="en-US" w:eastAsia="zh-CN" w:bidi="ar"/>
              </w:rPr>
              <w:t>25.</w:t>
            </w:r>
            <w:r>
              <w:rPr>
                <w:rFonts w:hint="eastAsia" w:ascii="仿宋_GB2312" w:hAnsi="宋体" w:eastAsia="仿宋_GB2312" w:cs="仿宋_GB2312"/>
                <w:i w:val="0"/>
                <w:iCs w:val="0"/>
                <w:color w:val="auto"/>
                <w:kern w:val="0"/>
                <w:sz w:val="28"/>
                <w:szCs w:val="28"/>
                <w:u w:val="none"/>
                <w:lang w:val="en-US" w:eastAsia="zh-CN" w:bidi="ar"/>
              </w:rPr>
              <w:t>50万元，其中公务接待费3.00万元，因公出国（境）费0.00万元，公务用车购置及运行费等2</w:t>
            </w:r>
            <w:r>
              <w:rPr>
                <w:rFonts w:hint="eastAsia" w:ascii="仿宋_GB2312" w:hAnsi="宋体" w:cs="仿宋_GB2312"/>
                <w:i w:val="0"/>
                <w:iCs w:val="0"/>
                <w:color w:val="auto"/>
                <w:kern w:val="0"/>
                <w:sz w:val="28"/>
                <w:szCs w:val="28"/>
                <w:u w:val="none"/>
                <w:lang w:val="en-US" w:eastAsia="zh-CN" w:bidi="ar"/>
              </w:rPr>
              <w:t>2</w:t>
            </w:r>
            <w:r>
              <w:rPr>
                <w:rFonts w:hint="eastAsia" w:ascii="仿宋_GB2312" w:hAnsi="宋体" w:eastAsia="仿宋_GB2312" w:cs="仿宋_GB2312"/>
                <w:i w:val="0"/>
                <w:iCs w:val="0"/>
                <w:color w:val="auto"/>
                <w:kern w:val="0"/>
                <w:sz w:val="28"/>
                <w:szCs w:val="28"/>
                <w:u w:val="none"/>
                <w:lang w:val="en-US" w:eastAsia="zh-CN" w:bidi="ar"/>
              </w:rPr>
              <w:t>.50万元（其中公务用车购置费0.00万元，公务用车运行费22.50万元）。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与上年持平。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2021年度本单位未计划召开会议；培训费预算0.80万元，拟开展</w:t>
            </w:r>
            <w:r>
              <w:rPr>
                <w:rFonts w:hint="eastAsia" w:ascii="仿宋_GB2312" w:hAnsi="宋体" w:cs="仿宋_GB2312"/>
                <w:i w:val="0"/>
                <w:iCs w:val="0"/>
                <w:color w:val="auto"/>
                <w:kern w:val="0"/>
                <w:sz w:val="28"/>
                <w:szCs w:val="28"/>
                <w:u w:val="none"/>
                <w:lang w:val="en-US" w:eastAsia="zh-CN" w:bidi="ar"/>
              </w:rPr>
              <w:t>3</w:t>
            </w:r>
            <w:r>
              <w:rPr>
                <w:rFonts w:hint="eastAsia" w:ascii="仿宋_GB2312" w:hAnsi="宋体" w:eastAsia="仿宋_GB2312" w:cs="仿宋_GB2312"/>
                <w:i w:val="0"/>
                <w:iCs w:val="0"/>
                <w:color w:val="auto"/>
                <w:kern w:val="0"/>
                <w:sz w:val="28"/>
                <w:szCs w:val="28"/>
                <w:u w:val="none"/>
                <w:lang w:val="en-US" w:eastAsia="zh-CN" w:bidi="ar"/>
              </w:rPr>
              <w:t>次培训，人数</w:t>
            </w:r>
            <w:r>
              <w:rPr>
                <w:rFonts w:hint="eastAsia" w:ascii="仿宋_GB2312" w:hAnsi="宋体" w:cs="仿宋_GB2312"/>
                <w:i w:val="0"/>
                <w:iCs w:val="0"/>
                <w:color w:val="auto"/>
                <w:kern w:val="0"/>
                <w:sz w:val="28"/>
                <w:szCs w:val="28"/>
                <w:u w:val="none"/>
                <w:lang w:val="en-US" w:eastAsia="zh-CN" w:bidi="ar"/>
              </w:rPr>
              <w:t>8</w:t>
            </w:r>
            <w:r>
              <w:rPr>
                <w:rFonts w:hint="eastAsia" w:ascii="仿宋_GB2312" w:hAnsi="宋体" w:eastAsia="仿宋_GB2312" w:cs="仿宋_GB2312"/>
                <w:i w:val="0"/>
                <w:iCs w:val="0"/>
                <w:color w:val="auto"/>
                <w:kern w:val="0"/>
                <w:sz w:val="28"/>
                <w:szCs w:val="28"/>
                <w:u w:val="none"/>
                <w:lang w:val="en-US" w:eastAsia="zh-CN" w:bidi="ar"/>
              </w:rPr>
              <w:t>人</w:t>
            </w:r>
            <w:r>
              <w:rPr>
                <w:rFonts w:hint="eastAsia" w:ascii="仿宋_GB2312" w:hAnsi="宋体" w:cs="仿宋_GB2312"/>
                <w:i w:val="0"/>
                <w:iCs w:val="0"/>
                <w:color w:val="auto"/>
                <w:kern w:val="0"/>
                <w:sz w:val="28"/>
                <w:szCs w:val="28"/>
                <w:u w:val="none"/>
                <w:lang w:val="en-US" w:eastAsia="zh-CN" w:bidi="ar"/>
              </w:rPr>
              <w:t>次</w:t>
            </w:r>
            <w:r>
              <w:rPr>
                <w:rFonts w:hint="eastAsia" w:ascii="仿宋_GB2312" w:hAnsi="宋体" w:eastAsia="仿宋_GB2312" w:cs="仿宋_GB2312"/>
                <w:i w:val="0"/>
                <w:iCs w:val="0"/>
                <w:color w:val="auto"/>
                <w:kern w:val="0"/>
                <w:sz w:val="28"/>
                <w:szCs w:val="28"/>
                <w:u w:val="none"/>
                <w:lang w:val="en-US" w:eastAsia="zh-CN" w:bidi="ar"/>
              </w:rPr>
              <w:t>，内容为</w:t>
            </w:r>
            <w:r>
              <w:rPr>
                <w:rFonts w:hint="eastAsia" w:ascii="仿宋_GB2312" w:hAnsi="宋体" w:cs="仿宋_GB2312"/>
                <w:i w:val="0"/>
                <w:iCs w:val="0"/>
                <w:color w:val="auto"/>
                <w:kern w:val="0"/>
                <w:sz w:val="28"/>
                <w:szCs w:val="28"/>
                <w:u w:val="none"/>
                <w:lang w:val="en-US" w:eastAsia="zh-CN" w:bidi="ar"/>
              </w:rPr>
              <w:t>参加人事、财务专业培训、入党积极分子培训及专业人员继续教育等培训。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本单位2021年政府采购预算总额1104.25万元，其中工程类70.00万元，货物类19.30万元，服务类1014.95万元。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w:t>
            </w:r>
            <w:r>
              <w:rPr>
                <w:rFonts w:hint="eastAsia" w:ascii="仿宋_GB2312" w:hAnsi="宋体" w:cs="仿宋_GB2312"/>
                <w:i w:val="0"/>
                <w:iCs w:val="0"/>
                <w:color w:val="auto"/>
                <w:kern w:val="0"/>
                <w:sz w:val="28"/>
                <w:szCs w:val="28"/>
                <w:u w:val="none"/>
                <w:lang w:val="en-US" w:eastAsia="zh-CN" w:bidi="ar"/>
              </w:rPr>
              <w:t>4</w:t>
            </w:r>
            <w:r>
              <w:rPr>
                <w:rFonts w:hint="eastAsia" w:ascii="仿宋_GB2312" w:hAnsi="宋体" w:eastAsia="仿宋_GB2312" w:cs="仿宋_GB2312"/>
                <w:i w:val="0"/>
                <w:iCs w:val="0"/>
                <w:color w:val="auto"/>
                <w:kern w:val="0"/>
                <w:sz w:val="28"/>
                <w:szCs w:val="28"/>
                <w:u w:val="none"/>
                <w:lang w:val="en-US" w:eastAsia="zh-CN" w:bidi="ar"/>
              </w:rPr>
              <w:t>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3</w:t>
            </w:r>
            <w:r>
              <w:rPr>
                <w:rFonts w:hint="eastAsia" w:ascii="仿宋_GB2312" w:hAnsi="宋体" w:eastAsia="仿宋_GB2312" w:cs="仿宋_GB2312"/>
                <w:i w:val="0"/>
                <w:iCs w:val="0"/>
                <w:color w:val="auto"/>
                <w:kern w:val="0"/>
                <w:sz w:val="28"/>
                <w:szCs w:val="28"/>
                <w:u w:val="none"/>
                <w:lang w:val="en-US" w:eastAsia="zh-CN" w:bidi="ar"/>
              </w:rPr>
              <w:t>辆，其他用车</w:t>
            </w:r>
            <w:r>
              <w:rPr>
                <w:rFonts w:hint="eastAsia" w:ascii="仿宋_GB2312" w:hAnsi="宋体" w:cs="仿宋_GB2312"/>
                <w:i w:val="0"/>
                <w:iCs w:val="0"/>
                <w:color w:val="auto"/>
                <w:kern w:val="0"/>
                <w:sz w:val="28"/>
                <w:szCs w:val="28"/>
                <w:u w:val="none"/>
                <w:lang w:val="en-US" w:eastAsia="zh-CN" w:bidi="ar"/>
              </w:rPr>
              <w:t>1</w:t>
            </w:r>
            <w:r>
              <w:rPr>
                <w:rFonts w:hint="eastAsia" w:ascii="仿宋_GB2312" w:hAnsi="宋体" w:eastAsia="仿宋_GB2312" w:cs="仿宋_GB2312"/>
                <w:i w:val="0"/>
                <w:iCs w:val="0"/>
                <w:color w:val="auto"/>
                <w:kern w:val="0"/>
                <w:sz w:val="28"/>
                <w:szCs w:val="28"/>
                <w:u w:val="none"/>
                <w:lang w:val="en-US" w:eastAsia="zh-CN" w:bidi="ar"/>
              </w:rPr>
              <w:t>辆。单位价值50万元以上通用设备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本单位所有支出实行绩效目标管理。纳入2021年单位整体支出绩效目标的金额为1,319.37万元，其中，基本支出202.97万元，项目支出1,116.40万元，绩效目标详见文尾附表中预算公开表格的表22-23。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收支总表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bookmarkStart w:id="0" w:name="_GoBack"/>
            <w:bookmarkEnd w:id="0"/>
            <w:r>
              <w:rPr>
                <w:rFonts w:hint="eastAsia" w:ascii="仿宋_GB2312" w:hAnsi="宋体" w:eastAsia="仿宋_GB2312" w:cs="仿宋_GB2312"/>
                <w:i w:val="0"/>
                <w:iCs w:val="0"/>
                <w:color w:val="auto"/>
                <w:kern w:val="0"/>
                <w:sz w:val="28"/>
                <w:szCs w:val="28"/>
                <w:u w:val="none"/>
                <w:lang w:val="en-US" w:eastAsia="zh-CN" w:bidi="ar"/>
              </w:rPr>
              <w:t>收入总表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支出预算分类汇总表（按政府预算经济分类）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支出预算分类汇总表（按部门预算经济分类）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财政拨款收支总表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一般公共预算基本支出表--人员经费(工资福利支出)(按政府预算经济分类)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一般公共预算基本支出表--人员经费(工资福利支出)(按部门预算经济分类)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一般公共预算基本支出表--人员经费(对个人和家庭的补助)(按政府预算经济分类)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一般公共预算基本支出表--人员经费(对个人和家庭的补助)（按部门预算经济分类）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一般公共预算基本支出表--公用经费(商品和服务支出)（按政府预算经济分类）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一般公共预算基本支出表--公用经费(商品和服务支出)(按部门预算经济分类)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一般公共预算“三公”经费支出表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政府性基金预算支出分类汇总表（按政府预算经济分类）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政府性基金预算支出分类汇总表（按部门预算经济分类）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国有资产经营预算支出表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纳入专户管理的非税收入拨款支出预算表(按政府预算经济分类)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纳入专户管理的非税收入拨款支出预算表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支出预算项目明细表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财政支出项目预算绩效目标申报表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w:t>
            </w:r>
            <w:r>
              <w:rPr>
                <w:rFonts w:hint="eastAsia" w:ascii="仿宋_GB2312" w:hAnsi="宋体" w:cs="仿宋_GB2312"/>
                <w:i w:val="0"/>
                <w:iCs w:val="0"/>
                <w:color w:val="auto"/>
                <w:kern w:val="0"/>
                <w:sz w:val="28"/>
                <w:szCs w:val="28"/>
                <w:u w:val="none"/>
                <w:lang w:val="en-US" w:eastAsia="zh-CN" w:bidi="ar"/>
              </w:rPr>
              <w:t>四</w:t>
            </w:r>
            <w:r>
              <w:rPr>
                <w:rFonts w:hint="eastAsia" w:ascii="仿宋_GB2312" w:hAnsi="宋体" w:eastAsia="仿宋_GB2312" w:cs="仿宋_GB2312"/>
                <w:i w:val="0"/>
                <w:iCs w:val="0"/>
                <w:color w:val="auto"/>
                <w:kern w:val="0"/>
                <w:sz w:val="28"/>
                <w:szCs w:val="28"/>
                <w:u w:val="none"/>
                <w:lang w:val="en-US" w:eastAsia="zh-CN" w:bidi="ar"/>
              </w:rPr>
              <w:t>、一般</w:t>
            </w:r>
            <w:r>
              <w:rPr>
                <w:rFonts w:hint="eastAsia" w:ascii="仿宋_GB2312" w:hAnsi="宋体" w:cs="仿宋_GB2312"/>
                <w:i w:val="0"/>
                <w:iCs w:val="0"/>
                <w:color w:val="auto"/>
                <w:kern w:val="0"/>
                <w:sz w:val="28"/>
                <w:szCs w:val="28"/>
                <w:u w:val="none"/>
                <w:lang w:val="en-US" w:eastAsia="zh-CN" w:bidi="ar"/>
              </w:rPr>
              <w:t>公共</w:t>
            </w:r>
            <w:r>
              <w:rPr>
                <w:rFonts w:hint="eastAsia" w:ascii="仿宋_GB2312" w:hAnsi="宋体" w:eastAsia="仿宋_GB2312" w:cs="仿宋_GB2312"/>
                <w:i w:val="0"/>
                <w:iCs w:val="0"/>
                <w:color w:val="auto"/>
                <w:kern w:val="0"/>
                <w:sz w:val="28"/>
                <w:szCs w:val="28"/>
                <w:u w:val="none"/>
                <w:lang w:val="en-US" w:eastAsia="zh-CN" w:bidi="ar"/>
              </w:rPr>
              <w:t>预算基本支出</w:t>
            </w:r>
            <w:r>
              <w:rPr>
                <w:rFonts w:hint="eastAsia" w:ascii="仿宋_GB2312" w:hAnsi="宋体" w:cs="仿宋_GB2312"/>
                <w:i w:val="0"/>
                <w:iCs w:val="0"/>
                <w:color w:val="auto"/>
                <w:kern w:val="0"/>
                <w:sz w:val="28"/>
                <w:szCs w:val="28"/>
                <w:u w:val="none"/>
                <w:lang w:val="en-US" w:eastAsia="zh-CN" w:bidi="ar"/>
              </w:rPr>
              <w:t>总</w:t>
            </w:r>
            <w:r>
              <w:rPr>
                <w:rFonts w:hint="eastAsia" w:ascii="仿宋_GB2312" w:hAnsi="宋体" w:eastAsia="仿宋_GB2312" w:cs="仿宋_GB2312"/>
                <w:i w:val="0"/>
                <w:iCs w:val="0"/>
                <w:color w:val="auto"/>
                <w:kern w:val="0"/>
                <w:sz w:val="28"/>
                <w:szCs w:val="28"/>
                <w:u w:val="none"/>
                <w:lang w:val="en-US" w:eastAsia="zh-CN" w:bidi="ar"/>
              </w:rPr>
              <w:t>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6FD4F3"/>
    <w:multiLevelType w:val="singleLevel"/>
    <w:tmpl w:val="F46FD4F3"/>
    <w:lvl w:ilvl="0" w:tentative="0">
      <w:start w:val="1"/>
      <w:numFmt w:val="chineseCounting"/>
      <w:suff w:val="space"/>
      <w:lvlText w:val="第%1部分"/>
      <w:lvlJc w:val="left"/>
      <w:rPr>
        <w:rFonts w:hint="eastAsia"/>
      </w:rPr>
    </w:lvl>
  </w:abstractNum>
  <w:abstractNum w:abstractNumId="1">
    <w:nsid w:val="6F9DFB20"/>
    <w:multiLevelType w:val="singleLevel"/>
    <w:tmpl w:val="6F9DFB2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wYjE2NzhkNDM2Y2Y5NzI2YzFkODFmZGY5MzM4MWUifQ=="/>
  </w:docVars>
  <w:rsids>
    <w:rsidRoot w:val="48885009"/>
    <w:rsid w:val="005E51C3"/>
    <w:rsid w:val="060F4036"/>
    <w:rsid w:val="07453DF4"/>
    <w:rsid w:val="081128A2"/>
    <w:rsid w:val="08421D7D"/>
    <w:rsid w:val="089270BA"/>
    <w:rsid w:val="09DE1F31"/>
    <w:rsid w:val="0BEF4CA9"/>
    <w:rsid w:val="0F0C5B71"/>
    <w:rsid w:val="10142F30"/>
    <w:rsid w:val="13056638"/>
    <w:rsid w:val="1AA03612"/>
    <w:rsid w:val="1B214753"/>
    <w:rsid w:val="1BDC2DB4"/>
    <w:rsid w:val="1F282554"/>
    <w:rsid w:val="213351E0"/>
    <w:rsid w:val="25290E6D"/>
    <w:rsid w:val="29866F61"/>
    <w:rsid w:val="2AA9206F"/>
    <w:rsid w:val="312E36D8"/>
    <w:rsid w:val="31A57A34"/>
    <w:rsid w:val="373352CB"/>
    <w:rsid w:val="3A4D6EBA"/>
    <w:rsid w:val="3B51265F"/>
    <w:rsid w:val="3CA31014"/>
    <w:rsid w:val="3D442584"/>
    <w:rsid w:val="40E56A5B"/>
    <w:rsid w:val="41C21F3C"/>
    <w:rsid w:val="42864D18"/>
    <w:rsid w:val="48885009"/>
    <w:rsid w:val="491F5076"/>
    <w:rsid w:val="4E542F0D"/>
    <w:rsid w:val="4F4C559E"/>
    <w:rsid w:val="55FC0B81"/>
    <w:rsid w:val="56B17399"/>
    <w:rsid w:val="573945F7"/>
    <w:rsid w:val="5AA601F5"/>
    <w:rsid w:val="5C57185E"/>
    <w:rsid w:val="5E3F6182"/>
    <w:rsid w:val="5F7A6829"/>
    <w:rsid w:val="69647061"/>
    <w:rsid w:val="69EA378A"/>
    <w:rsid w:val="6E443E56"/>
    <w:rsid w:val="707F6E1E"/>
    <w:rsid w:val="74CD402D"/>
    <w:rsid w:val="74E05C5A"/>
    <w:rsid w:val="77F66884"/>
    <w:rsid w:val="786D1EFA"/>
    <w:rsid w:val="7E9D1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3548</Words>
  <Characters>3885</Characters>
  <Lines>0</Lines>
  <Paragraphs>0</Paragraphs>
  <TotalTime>36</TotalTime>
  <ScaleCrop>false</ScaleCrop>
  <LinksUpToDate>false</LinksUpToDate>
  <CharactersWithSpaces>4050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AOC</cp:lastModifiedBy>
  <dcterms:modified xsi:type="dcterms:W3CDTF">2022-09-07T01:15:46Z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DFE93FB932A0415684727601982A4B6F</vt:lpwstr>
  </property>
</Properties>
</file>