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岳阳市智慧城管指挥中心2021年度单位预算公开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p>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单位预算公开表格</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、一般</w:t>
            </w:r>
            <w:r>
              <w:rPr>
                <w:rFonts w:hint="eastAsia" w:ascii="仿宋_GB2312" w:hAnsi="宋体" w:cs="仿宋_GB2312"/>
                <w:i w:val="0"/>
                <w:iCs w:val="0"/>
                <w:color w:val="auto"/>
                <w:kern w:val="0"/>
                <w:sz w:val="28"/>
                <w:szCs w:val="28"/>
                <w:u w:val="none"/>
                <w:lang w:val="en-US" w:eastAsia="zh-CN" w:bidi="ar"/>
              </w:rPr>
              <w:t>公共</w:t>
            </w:r>
            <w:r>
              <w:rPr>
                <w:rFonts w:hint="eastAsia" w:ascii="仿宋_GB2312" w:hAnsi="宋体" w:eastAsia="仿宋_GB2312" w:cs="仿宋_GB2312"/>
                <w:i w:val="0"/>
                <w:iCs w:val="0"/>
                <w:color w:val="auto"/>
                <w:kern w:val="0"/>
                <w:sz w:val="28"/>
                <w:szCs w:val="28"/>
                <w:u w:val="none"/>
                <w:lang w:val="en-US" w:eastAsia="zh-CN" w:bidi="ar"/>
              </w:rPr>
              <w:t>预算基本支出</w:t>
            </w:r>
            <w:r>
              <w:rPr>
                <w:rFonts w:hint="eastAsia" w:ascii="仿宋_GB2312" w:hAnsi="宋体" w:cs="仿宋_GB2312"/>
                <w:i w:val="0"/>
                <w:iCs w:val="0"/>
                <w:color w:val="auto"/>
                <w:kern w:val="0"/>
                <w:sz w:val="28"/>
                <w:szCs w:val="28"/>
                <w:u w:val="none"/>
                <w:lang w:val="en-US" w:eastAsia="zh-CN" w:bidi="ar"/>
              </w:rPr>
              <w:t>总</w:t>
            </w:r>
            <w:r>
              <w:rPr>
                <w:rFonts w:hint="eastAsia" w:ascii="仿宋_GB2312" w:hAnsi="宋体" w:eastAsia="仿宋_GB2312" w:cs="仿宋_GB2312"/>
                <w:i w:val="0"/>
                <w:iCs w:val="0"/>
                <w:color w:val="auto"/>
                <w:kern w:val="0"/>
                <w:sz w:val="28"/>
                <w:szCs w:val="28"/>
                <w:u w:val="none"/>
                <w:lang w:val="en-US" w:eastAsia="zh-CN" w:bidi="ar"/>
              </w:rPr>
              <w:t>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1.贯彻执行国家和省有关数字化城市管理的法律法规。</w:t>
            </w:r>
          </w:p>
          <w:p>
            <w:pPr>
              <w:ind w:firstLine="0" w:firstLineChars="0"/>
              <w:rPr>
                <w:rFonts w:hint="eastAsia"/>
                <w:color w:val="auto"/>
                <w:lang w:eastAsia="zh-CN"/>
              </w:rPr>
            </w:pPr>
            <w:r>
              <w:rPr>
                <w:rFonts w:hint="eastAsia"/>
                <w:color w:val="auto"/>
                <w:lang w:eastAsia="zh-CN"/>
              </w:rPr>
              <w:t>　　2.根据授权负责中心地区数字化城市管理监督、指挥、调度和协调工作。</w:t>
            </w:r>
          </w:p>
          <w:p>
            <w:pPr>
              <w:ind w:firstLine="0" w:firstLineChars="0"/>
              <w:rPr>
                <w:rFonts w:hint="eastAsia"/>
                <w:color w:val="auto"/>
                <w:lang w:eastAsia="zh-CN"/>
              </w:rPr>
            </w:pPr>
            <w:r>
              <w:rPr>
                <w:rFonts w:hint="eastAsia"/>
                <w:color w:val="auto"/>
                <w:lang w:eastAsia="zh-CN"/>
              </w:rPr>
              <w:t>　　3.负责城市管理监督指挥系统市级平台的日常维护和管理。</w:t>
            </w:r>
          </w:p>
          <w:p>
            <w:pPr>
              <w:ind w:firstLine="0" w:firstLineChars="0"/>
              <w:rPr>
                <w:rFonts w:hint="eastAsia"/>
                <w:color w:val="auto"/>
                <w:lang w:eastAsia="zh-CN"/>
              </w:rPr>
            </w:pPr>
            <w:r>
              <w:rPr>
                <w:rFonts w:hint="eastAsia"/>
                <w:color w:val="auto"/>
                <w:lang w:eastAsia="zh-CN"/>
              </w:rPr>
              <w:t>　　4.负责对各类城市管理信息的收集、分析和整理，为城市管理现状及市级责任部门、岳阳楼区政府、岳阳经济技术开发区管委会、湖南岳阳洞庭湖旅游度假区管委会和相关责任人履行城市管事职责和情况提供考核评价的依据。</w:t>
            </w:r>
          </w:p>
          <w:p>
            <w:pPr>
              <w:ind w:firstLine="0" w:firstLineChars="0"/>
              <w:rPr>
                <w:rFonts w:hint="eastAsia"/>
                <w:color w:val="auto"/>
                <w:lang w:eastAsia="zh-CN"/>
              </w:rPr>
            </w:pPr>
            <w:r>
              <w:rPr>
                <w:rFonts w:hint="eastAsia"/>
                <w:color w:val="auto"/>
                <w:lang w:eastAsia="zh-CN"/>
              </w:rPr>
              <w:t>　　5.负责对数字化城市管理信息采集工作和平台受理工作进行监督。</w:t>
            </w:r>
          </w:p>
          <w:p>
            <w:pPr>
              <w:ind w:firstLine="0" w:firstLineChars="0"/>
              <w:rPr>
                <w:rFonts w:hint="eastAsia"/>
                <w:color w:val="auto"/>
                <w:lang w:eastAsia="zh-CN"/>
              </w:rPr>
            </w:pPr>
            <w:r>
              <w:rPr>
                <w:rFonts w:hint="eastAsia"/>
                <w:color w:val="auto"/>
                <w:lang w:eastAsia="zh-CN"/>
              </w:rPr>
              <w:t>　　6.负责受理数字化城市管理的投诉、举报等有关工作。</w:t>
            </w:r>
          </w:p>
          <w:p>
            <w:pPr>
              <w:ind w:firstLine="0" w:firstLineChars="0"/>
              <w:rPr>
                <w:rFonts w:hint="eastAsia"/>
                <w:color w:val="auto"/>
                <w:lang w:eastAsia="zh-CN"/>
              </w:rPr>
            </w:pPr>
            <w:r>
              <w:rPr>
                <w:rFonts w:hint="eastAsia"/>
                <w:color w:val="auto"/>
                <w:lang w:eastAsia="zh-CN"/>
              </w:rPr>
              <w:t>　　7.负责对县市区数字化城市管理工作的业务指导。</w:t>
            </w:r>
          </w:p>
          <w:p>
            <w:pPr>
              <w:ind w:firstLine="0" w:firstLineChars="0"/>
              <w:rPr>
                <w:rFonts w:hint="eastAsia" w:ascii="仿宋_GB2312" w:hAnsi="宋体" w:eastAsia="仿宋_GB2312" w:cs="仿宋_GB2312"/>
                <w:i w:val="0"/>
                <w:iCs w:val="0"/>
                <w:color w:val="auto"/>
                <w:sz w:val="28"/>
                <w:szCs w:val="28"/>
                <w:u w:val="none"/>
              </w:rPr>
            </w:pPr>
            <w:r>
              <w:rPr>
                <w:rFonts w:hint="eastAsia"/>
                <w:color w:val="auto"/>
                <w:lang w:eastAsia="zh-CN"/>
              </w:rPr>
              <w:t>　　8.完成市委、市政府和市城市管理局交办的其他工作。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我单位属全额拨款的事业单位，现有人员编制22人，实际在编21人。下设五个股室：人秘股、考评股、受理股、技术股、信息采集管理股。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（一）收入预算</w:t>
            </w:r>
          </w:p>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1,015.00万元，其中，一般公共预算拨款1,015.00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收入较去年增加15.63万元，增幅1.6%，原因是专项预算中“二期项目数据库、软件和设备维护”已到质保期，需纳入预算而增加的预算。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2021年本单位支出预算1,015.00万元，其中，社会保障和就业支出22.96万元，卫生健康支出9.67万元，城乡社区支出966.68万元，住房保障支出15.69万元。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支出较去年增加15.63万元，其中基本支出较去年增加1.63万元，原因是</w:t>
            </w:r>
            <w:r>
              <w:rPr>
                <w:rFonts w:hint="eastAsia"/>
                <w:color w:val="auto"/>
                <w:lang w:eastAsia="zh-CN"/>
              </w:rPr>
              <w:t>人员工资因晋级略有增加</w:t>
            </w:r>
            <w:r>
              <w:rPr>
                <w:rFonts w:hint="eastAsia" w:ascii="仿宋_GB2312" w:hAnsi="宋体" w:eastAsia="仿宋_GB2312" w:cs="仿宋_GB2312"/>
                <w:i w:val="0"/>
                <w:iCs w:val="0"/>
                <w:color w:val="auto"/>
                <w:kern w:val="0"/>
                <w:sz w:val="28"/>
                <w:szCs w:val="28"/>
                <w:u w:val="none"/>
                <w:lang w:val="en-US" w:eastAsia="zh-CN" w:bidi="ar"/>
              </w:rPr>
              <w:t>；项目支出较去年增加14万元，原因是专项预算中“二期项目数据库、软件和设备维护”已到质保期，需纳入预算。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2021年一般公共预算拨款支出预算1,015.00万元，其中，社会保障和就业支出22.96万元，占2.3%，卫生健康支出9.67万元，占1.0%，城乡社区支出966.68万元，占95.2%，住房保障支出15.69万元，占1.5%。具体安排情况如下：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201.00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814.00万元，是指单位为完成特定行政工作任务或事业发展目标而发生的支出，包括有关业务工作经费、运行维护经费等。其中包括软件、数据库及设备维护经费85.00万元、二期网络通讯运营经费79.00万元、数字城管信息采集服务费389.00万元、中心平台座席人员劳务派遣服务费108.00万元、网络运营经费73.00万元、12319运营经费40.00万元、设备运行电费40.00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本单位2021年机关运行经费当年一般公共预算拨款20.86万元。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较去年减少0.35万元，降幅-1.7%，原因是人员调整和厉行节约。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本单位2021年“三公”经费预算数5.40万元，其中公务接待费5.40万元，因公出国（境）费0.00万元，公务用车购置及运行费等0.00万元（其中公务用车购置费0.00万元，公务用车运行费0.00万元）。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 w:cs="仿宋_GB2312"/>
                <w:i w:val="0"/>
                <w:iCs w:val="0"/>
                <w:color w:val="FF0000"/>
                <w:sz w:val="28"/>
                <w:szCs w:val="28"/>
                <w:u w:val="none"/>
                <w:lang w:val="en-US" w:eastAsia="zh-CN"/>
              </w:rPr>
            </w:pPr>
            <w:r>
              <w:rPr>
                <w:rFonts w:hint="eastAsia" w:ascii="仿宋_GB2312" w:hAnsi="宋体" w:eastAsia="仿宋_GB2312" w:cs="仿宋_GB2312"/>
                <w:i w:val="0"/>
                <w:iCs w:val="0"/>
                <w:color w:val="FF0000"/>
                <w:kern w:val="0"/>
                <w:sz w:val="28"/>
                <w:szCs w:val="28"/>
                <w:u w:val="none"/>
                <w:lang w:val="en-US" w:eastAsia="zh-CN" w:bidi="ar"/>
              </w:rPr>
              <w:t xml:space="preserve">    </w:t>
            </w:r>
            <w:r>
              <w:rPr>
                <w:rFonts w:hint="eastAsia" w:ascii="仿宋_GB2312" w:hAnsi="宋体" w:eastAsia="仿宋_GB2312" w:cs="仿宋_GB2312"/>
                <w:i w:val="0"/>
                <w:iCs w:val="0"/>
                <w:color w:val="auto"/>
                <w:kern w:val="0"/>
                <w:sz w:val="28"/>
                <w:szCs w:val="28"/>
                <w:u w:val="none"/>
                <w:lang w:val="en-US" w:eastAsia="zh-CN" w:bidi="ar"/>
              </w:rPr>
              <w:t>比上一年减少</w:t>
            </w:r>
            <w:r>
              <w:rPr>
                <w:rFonts w:hint="eastAsia" w:ascii="仿宋_GB2312" w:hAnsi="宋体" w:cs="仿宋_GB2312"/>
                <w:i w:val="0"/>
                <w:iCs w:val="0"/>
                <w:color w:val="auto"/>
                <w:kern w:val="0"/>
                <w:sz w:val="28"/>
                <w:szCs w:val="28"/>
                <w:u w:val="none"/>
                <w:lang w:val="en-US" w:eastAsia="zh-CN" w:bidi="ar"/>
              </w:rPr>
              <w:t>7.20</w:t>
            </w:r>
            <w:r>
              <w:rPr>
                <w:rFonts w:hint="eastAsia" w:ascii="仿宋_GB2312" w:hAnsi="宋体" w:eastAsia="仿宋_GB2312" w:cs="仿宋_GB2312"/>
                <w:i w:val="0"/>
                <w:iCs w:val="0"/>
                <w:color w:val="auto"/>
                <w:kern w:val="0"/>
                <w:sz w:val="28"/>
                <w:szCs w:val="28"/>
                <w:u w:val="none"/>
                <w:lang w:val="en-US" w:eastAsia="zh-CN" w:bidi="ar"/>
              </w:rPr>
              <w:t>万元，降低</w:t>
            </w:r>
            <w:r>
              <w:rPr>
                <w:rFonts w:hint="eastAsia" w:ascii="仿宋_GB2312" w:hAnsi="宋体" w:cs="仿宋_GB2312"/>
                <w:i w:val="0"/>
                <w:iCs w:val="0"/>
                <w:color w:val="auto"/>
                <w:kern w:val="0"/>
                <w:sz w:val="28"/>
                <w:szCs w:val="28"/>
                <w:u w:val="none"/>
                <w:lang w:val="en-US" w:eastAsia="zh-CN" w:bidi="ar"/>
              </w:rPr>
              <w:t>57.14</w:t>
            </w:r>
            <w:r>
              <w:rPr>
                <w:rFonts w:hint="eastAsia" w:ascii="仿宋_GB2312" w:hAnsi="宋体" w:eastAsia="仿宋_GB2312" w:cs="仿宋_GB2312"/>
                <w:i w:val="0"/>
                <w:iCs w:val="0"/>
                <w:color w:val="auto"/>
                <w:kern w:val="0"/>
                <w:sz w:val="28"/>
                <w:szCs w:val="28"/>
                <w:u w:val="none"/>
                <w:lang w:val="en-US" w:eastAsia="zh-CN" w:bidi="ar"/>
              </w:rPr>
              <w:t>%，主要原因是</w:t>
            </w:r>
            <w:r>
              <w:rPr>
                <w:rFonts w:hint="eastAsia" w:ascii="仿宋_GB2312" w:hAnsi="宋体" w:cs="仿宋_GB2312"/>
                <w:i w:val="0"/>
                <w:iCs w:val="0"/>
                <w:color w:val="auto"/>
                <w:kern w:val="0"/>
                <w:sz w:val="28"/>
                <w:szCs w:val="28"/>
                <w:u w:val="none"/>
                <w:lang w:val="en-US" w:eastAsia="zh-CN" w:bidi="ar"/>
              </w:rPr>
              <w:t>本</w:t>
            </w:r>
            <w:r>
              <w:rPr>
                <w:rFonts w:hint="eastAsia" w:ascii="仿宋" w:hAnsi="仿宋" w:eastAsia="仿宋" w:cs="仿宋"/>
                <w:color w:val="auto"/>
                <w:sz w:val="32"/>
                <w:szCs w:val="32"/>
              </w:rPr>
              <w:t>单位公务用车已于2019年</w:t>
            </w:r>
            <w:r>
              <w:rPr>
                <w:rFonts w:hint="eastAsia" w:ascii="仿宋" w:hAnsi="仿宋" w:eastAsia="仿宋" w:cs="仿宋"/>
                <w:color w:val="auto"/>
                <w:sz w:val="32"/>
                <w:szCs w:val="32"/>
                <w:lang w:val="en-US" w:eastAsia="zh-CN"/>
              </w:rPr>
              <w:t>底</w:t>
            </w:r>
            <w:r>
              <w:rPr>
                <w:rFonts w:hint="eastAsia" w:ascii="仿宋" w:hAnsi="仿宋" w:eastAsia="仿宋" w:cs="仿宋"/>
                <w:color w:val="auto"/>
                <w:sz w:val="32"/>
                <w:szCs w:val="32"/>
              </w:rPr>
              <w:t>移交市机关事务局</w:t>
            </w:r>
            <w:r>
              <w:rPr>
                <w:rFonts w:hint="eastAsia" w:ascii="仿宋" w:hAnsi="仿宋" w:eastAsia="仿宋" w:cs="仿宋"/>
                <w:color w:val="auto"/>
                <w:sz w:val="32"/>
                <w:szCs w:val="32"/>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2021年度本单位未计划召开会议；培训费预算1.50万元，拟开展</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次培训，人数</w:t>
            </w:r>
            <w:r>
              <w:rPr>
                <w:rFonts w:hint="eastAsia" w:ascii="仿宋_GB2312" w:hAnsi="宋体" w:cs="仿宋_GB2312"/>
                <w:i w:val="0"/>
                <w:iCs w:val="0"/>
                <w:color w:val="auto"/>
                <w:kern w:val="0"/>
                <w:sz w:val="28"/>
                <w:szCs w:val="28"/>
                <w:u w:val="none"/>
                <w:lang w:val="en-US" w:eastAsia="zh-CN" w:bidi="ar"/>
              </w:rPr>
              <w:t>15</w:t>
            </w:r>
            <w:r>
              <w:rPr>
                <w:rFonts w:hint="eastAsia" w:ascii="仿宋_GB2312" w:hAnsi="宋体" w:eastAsia="仿宋_GB2312" w:cs="仿宋_GB2312"/>
                <w:i w:val="0"/>
                <w:iCs w:val="0"/>
                <w:color w:val="auto"/>
                <w:kern w:val="0"/>
                <w:sz w:val="28"/>
                <w:szCs w:val="28"/>
                <w:u w:val="none"/>
                <w:lang w:val="en-US" w:eastAsia="zh-CN" w:bidi="ar"/>
              </w:rPr>
              <w:t>人，内容为</w:t>
            </w:r>
            <w:r>
              <w:rPr>
                <w:rFonts w:hint="eastAsia" w:ascii="仿宋_GB2312" w:hAnsi="宋体" w:cs="仿宋_GB2312"/>
                <w:i w:val="0"/>
                <w:iCs w:val="0"/>
                <w:color w:val="auto"/>
                <w:kern w:val="0"/>
                <w:sz w:val="28"/>
                <w:szCs w:val="28"/>
                <w:u w:val="none"/>
                <w:lang w:val="en-US" w:eastAsia="zh-CN" w:bidi="ar"/>
              </w:rPr>
              <w:t>组织</w:t>
            </w:r>
            <w:r>
              <w:rPr>
                <w:rFonts w:hint="eastAsia" w:ascii="仿宋_GB2312" w:hAnsi="宋体" w:eastAsia="仿宋_GB2312" w:cs="仿宋_GB2312"/>
                <w:i w:val="0"/>
                <w:iCs w:val="0"/>
                <w:color w:val="auto"/>
                <w:kern w:val="0"/>
                <w:sz w:val="28"/>
                <w:szCs w:val="28"/>
                <w:u w:val="none"/>
                <w:lang w:val="en-US" w:eastAsia="zh-CN" w:bidi="ar"/>
              </w:rPr>
              <w:t>职工参加</w:t>
            </w:r>
            <w:r>
              <w:rPr>
                <w:rFonts w:hint="eastAsia" w:ascii="仿宋_GB2312" w:hAnsi="宋体" w:cs="仿宋_GB2312"/>
                <w:i w:val="0"/>
                <w:iCs w:val="0"/>
                <w:color w:val="auto"/>
                <w:kern w:val="0"/>
                <w:sz w:val="28"/>
                <w:szCs w:val="28"/>
                <w:u w:val="none"/>
                <w:lang w:val="en-US" w:eastAsia="zh-CN" w:bidi="ar"/>
              </w:rPr>
              <w:t>人事、财务、入党积极分子及党员培训等</w:t>
            </w:r>
            <w:r>
              <w:rPr>
                <w:rFonts w:hint="eastAsia" w:ascii="仿宋_GB2312" w:hAnsi="宋体" w:eastAsia="仿宋_GB2312" w:cs="仿宋_GB2312"/>
                <w:i w:val="0"/>
                <w:iCs w:val="0"/>
                <w:color w:val="auto"/>
                <w:kern w:val="0"/>
                <w:sz w:val="28"/>
                <w:szCs w:val="28"/>
                <w:u w:val="none"/>
                <w:lang w:val="en-US" w:eastAsia="zh-CN" w:bidi="ar"/>
              </w:rPr>
              <w:t>知识培训班的学习</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w:t>
            </w:r>
            <w:r>
              <w:rPr>
                <w:rFonts w:hint="eastAsia"/>
                <w:color w:val="auto"/>
                <w:lang w:eastAsia="zh-CN"/>
              </w:rPr>
              <w:t>638万元，其中工程类5万元，货物类21万元，服务类612万元。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 xml:space="preserve"> </w:t>
            </w:r>
            <w:r>
              <w:rPr>
                <w:rFonts w:hint="eastAsia" w:ascii="仿宋_GB2312" w:hAnsi="宋体" w:eastAsia="仿宋_GB2312" w:cs="仿宋_GB2312"/>
                <w:i w:val="0"/>
                <w:iCs w:val="0"/>
                <w:color w:val="auto"/>
                <w:kern w:val="0"/>
                <w:sz w:val="28"/>
                <w:szCs w:val="28"/>
                <w:u w:val="none"/>
                <w:lang w:val="en-US" w:eastAsia="zh-CN" w:bidi="ar"/>
              </w:rPr>
              <w:t>截至上一年12月底，本单位共有车辆0辆，单位价值50万元以上通用设备0台，单位价值100万元以上专用设备0台。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本单位所有支出实行绩效目标管理。纳入2021年单位整体支出绩效目标的金额为1,015.00万元，其中，基本支出201.00万元，项目支出814.00万元，绩效目标详见文尾附表中预算公开表格的表22-23。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收入总表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财政拨款收支总表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一般公共预算“三公”经费支出表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国有资产经营预算支出表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支出预算项目明细表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财政支出项目预算绩效目标申报表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、一般</w:t>
            </w:r>
            <w:r>
              <w:rPr>
                <w:rFonts w:hint="eastAsia" w:ascii="仿宋_GB2312" w:hAnsi="宋体" w:cs="仿宋_GB2312"/>
                <w:i w:val="0"/>
                <w:iCs w:val="0"/>
                <w:color w:val="auto"/>
                <w:kern w:val="0"/>
                <w:sz w:val="28"/>
                <w:szCs w:val="28"/>
                <w:u w:val="none"/>
                <w:lang w:val="en-US" w:eastAsia="zh-CN" w:bidi="ar"/>
              </w:rPr>
              <w:t>公共</w:t>
            </w:r>
            <w:r>
              <w:rPr>
                <w:rFonts w:hint="eastAsia" w:ascii="仿宋_GB2312" w:hAnsi="宋体" w:eastAsia="仿宋_GB2312" w:cs="仿宋_GB2312"/>
                <w:i w:val="0"/>
                <w:iCs w:val="0"/>
                <w:color w:val="auto"/>
                <w:kern w:val="0"/>
                <w:sz w:val="28"/>
                <w:szCs w:val="28"/>
                <w:u w:val="none"/>
                <w:lang w:val="en-US" w:eastAsia="zh-CN" w:bidi="ar"/>
              </w:rPr>
              <w:t>预算基本支出</w:t>
            </w:r>
            <w:r>
              <w:rPr>
                <w:rFonts w:hint="eastAsia" w:ascii="仿宋_GB2312" w:hAnsi="宋体" w:cs="仿宋_GB2312"/>
                <w:i w:val="0"/>
                <w:iCs w:val="0"/>
                <w:color w:val="auto"/>
                <w:kern w:val="0"/>
                <w:sz w:val="28"/>
                <w:szCs w:val="28"/>
                <w:u w:val="none"/>
                <w:lang w:val="en-US" w:eastAsia="zh-CN" w:bidi="ar"/>
              </w:rPr>
              <w:t>总</w:t>
            </w:r>
            <w:r>
              <w:rPr>
                <w:rFonts w:hint="eastAsia" w:ascii="仿宋_GB2312" w:hAnsi="宋体" w:eastAsia="仿宋_GB2312" w:cs="仿宋_GB2312"/>
                <w:i w:val="0"/>
                <w:iCs w:val="0"/>
                <w:color w:val="auto"/>
                <w:kern w:val="0"/>
                <w:sz w:val="28"/>
                <w:szCs w:val="28"/>
                <w:u w:val="none"/>
                <w:lang w:val="en-US" w:eastAsia="zh-CN" w:bidi="ar"/>
              </w:rPr>
              <w:t>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8DA6C6"/>
    <w:multiLevelType w:val="singleLevel"/>
    <w:tmpl w:val="DA8DA6C6"/>
    <w:lvl w:ilvl="0" w:tentative="0">
      <w:start w:val="1"/>
      <w:numFmt w:val="chineseCounting"/>
      <w:suff w:val="nothing"/>
      <w:lvlText w:val="%1、"/>
      <w:lvlJc w:val="left"/>
      <w:rPr>
        <w:rFonts w:hint="eastAsia"/>
      </w:rPr>
    </w:lvl>
  </w:abstractNum>
  <w:abstractNum w:abstractNumId="1">
    <w:nsid w:val="E20E92CC"/>
    <w:multiLevelType w:val="singleLevel"/>
    <w:tmpl w:val="E20E92CC"/>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YjE2NzhkNDM2Y2Y5NzI2YzFkODFmZGY5MzM4MWUifQ=="/>
  </w:docVars>
  <w:rsids>
    <w:rsidRoot w:val="48885009"/>
    <w:rsid w:val="014A2DD9"/>
    <w:rsid w:val="0317318F"/>
    <w:rsid w:val="060F4036"/>
    <w:rsid w:val="07453DF4"/>
    <w:rsid w:val="07F12200"/>
    <w:rsid w:val="08421D7D"/>
    <w:rsid w:val="089270BA"/>
    <w:rsid w:val="0A2166A1"/>
    <w:rsid w:val="0BCB2D68"/>
    <w:rsid w:val="0C025287"/>
    <w:rsid w:val="10FB5E9E"/>
    <w:rsid w:val="11124E87"/>
    <w:rsid w:val="11164A85"/>
    <w:rsid w:val="19926F67"/>
    <w:rsid w:val="1BDC2DB4"/>
    <w:rsid w:val="1F282554"/>
    <w:rsid w:val="20087C8F"/>
    <w:rsid w:val="2F86556C"/>
    <w:rsid w:val="3045283A"/>
    <w:rsid w:val="312E36D8"/>
    <w:rsid w:val="32786EF6"/>
    <w:rsid w:val="38833050"/>
    <w:rsid w:val="3B51265F"/>
    <w:rsid w:val="3D442584"/>
    <w:rsid w:val="40CF23D7"/>
    <w:rsid w:val="476D46F8"/>
    <w:rsid w:val="48885009"/>
    <w:rsid w:val="4C2A5532"/>
    <w:rsid w:val="4E542F0D"/>
    <w:rsid w:val="4F4C559E"/>
    <w:rsid w:val="4F7D5547"/>
    <w:rsid w:val="52D7336D"/>
    <w:rsid w:val="55FC0B81"/>
    <w:rsid w:val="5B835E40"/>
    <w:rsid w:val="629E5157"/>
    <w:rsid w:val="69474951"/>
    <w:rsid w:val="69647061"/>
    <w:rsid w:val="707F6E1E"/>
    <w:rsid w:val="71FD6045"/>
    <w:rsid w:val="72BB1F0C"/>
    <w:rsid w:val="74F80759"/>
    <w:rsid w:val="7B097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3291</Words>
  <Characters>3615</Characters>
  <Lines>0</Lines>
  <Paragraphs>0</Paragraphs>
  <TotalTime>3</TotalTime>
  <ScaleCrop>false</ScaleCrop>
  <LinksUpToDate>false</LinksUpToDate>
  <CharactersWithSpaces>3792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2022-09-07T01:14:30Z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4CAF619C2C2F4E008744ABC53962F65F</vt:lpwstr>
  </property>
</Properties>
</file>