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/>
              </w:rPr>
              <w:t>岳阳市市场监督管理局经济技术开发区分局2021年度单位预算公开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二十三、部门(单位)整体支出预算绩效目标申报表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1）负责市场综合监督管理和知识产权管理。（2）负责市场主体统一登记注册。（3）负责组织市场监管（含知识产权）综合执法工作。（4）负责监督管理市场秩序。（5）负责反垄断执法调查。（6）负责促进知识产权运用和保护。（7）负责统一管理标准化工作。（8）负责宏观质量管理。（9）负责产品质量安全监督管理。（10）负责食品安全监督管理综合协调。（11）负责食品安全监督管理。（12）负责药品、医疗器械、化妆品质量监督管理。（13）负责特种设备安全监督管理。（14）负责统一管理计量工作。（15）负责统一管理认证认可与检验检测工作。（16）负责市场监督管理、知识产权领城科技和信息化建设、新闻宣传、交流与合作。（17）完成市委、市政府和市市场监督管理局交办的其他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　　独立编制、核算机构数1个，现有人员编制103人，为正科级行政单位。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　　内设股室（17个）：办公室（信息化办）、财务股、人事股、政策法规股、登记注册股（非公党建办公室）、信用监督管理股、反不正当竞争和价格监督管理股、市场规范管理股、消费者权益保护股（区消费者委员会办公室）、特种设备安全监察股、标准计量和质量发展监督管理股、食品安全监督管理股、餐饮食品安全监督管理股、药械保化监督管理股、网络监管和知识产权股、机关党委（纪委）、工会和离退休管理服务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　　市场监督管理所（5个）：通海路市场监管所、金凤桥市场监管所、康王市场监管所、西塘市场监管所、木里港市场监管所。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bidi="ar"/>
              </w:rPr>
              <w:t xml:space="preserve"> </w:t>
            </w: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 w:bidi="ar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_GB2312" w:hAnsi="宋体" w:cs="仿宋_GB2312"/>
                <w:kern w:val="0"/>
                <w:szCs w:val="28"/>
                <w:lang w:eastAsia="zh-CN" w:bidi="ar"/>
              </w:rPr>
              <w:t>本单位为二级预算单位，没有预算独立、财务独立核算的下属预算单位，因此纳入</w:t>
            </w: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 w:bidi="ar"/>
              </w:rPr>
              <w:t>2021年部门预算公开范围的为本单位预算。</w:t>
            </w:r>
          </w:p>
          <w:p>
            <w:pPr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 w:bidi="ar"/>
              </w:rPr>
              <w:t>（一）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本单位收入预算1,146.15万元，其中，一般公共预算拨款1,146.15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收入较去年增加53.66万元，增幅4.9%，原因是人数较上年有所增长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2021年本单位支出预算1,146.15万元，其中，一般公共服务支出884.06万元，社会保障和就业支出106.42万元，卫生健康支出75.86万元，住房保障支出79.81万元。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支出较去年增加53.66万元，其中基本支出较去年增加53.66万元，原因是人员变动；项目支出与去年持平。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一般公共预算拨款支出预算1,146.15万元，其中，一般公共服务支出884.06万元，占77.1%，社会保障和就业支出106.42万元，占9.3%，卫生健康支出75.86万元，占6.6%，住房保障支出79.81万元，占7.0%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一）基本支出：2021年基本支出年初预算数为1,146.15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（二）项目支出：2021年项目支出年初预算数为0.00万元，是指单位为完成特定行政工作任务或事业发展目标而发生的支出，包括有关业务工作经费、运行维护经费等。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本单位2021年机关运行经费当年一般公共预算拨款218.94万元。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36363D"/>
                <w:kern w:val="0"/>
                <w:sz w:val="28"/>
                <w:szCs w:val="28"/>
                <w:u w:val="none"/>
                <w:lang w:val="en-US" w:eastAsia="zh-CN"/>
              </w:rPr>
              <w:t xml:space="preserve"> 较去年增加6.98万元，增幅3.3%，原因是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36363D"/>
                <w:kern w:val="0"/>
                <w:sz w:val="28"/>
                <w:szCs w:val="28"/>
                <w:u w:val="none"/>
                <w:lang w:val="en-US" w:eastAsia="zh-CN"/>
              </w:rPr>
              <w:t>在职人员数较去年增加了5人。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本单位2021年“三公”经费预算数33.80万元，其中公务接待费9.80万元，因公出国（境）费0.00万元，公务用车购置及运行费24.00万元（其中公务用车购置费0.00万元，公务用车运行费24.00万元）。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36363D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36363D"/>
                <w:kern w:val="0"/>
                <w:sz w:val="28"/>
                <w:szCs w:val="28"/>
                <w:u w:val="none"/>
                <w:lang w:val="en-US" w:eastAsia="zh-CN"/>
              </w:rPr>
              <w:t xml:space="preserve">    比上一年减少</w:t>
            </w:r>
            <w:r>
              <w:rPr>
                <w:rFonts w:hint="eastAsia" w:ascii="仿宋_GB2312" w:hAnsi="宋体" w:cs="仿宋_GB2312"/>
                <w:i w:val="0"/>
                <w:iCs w:val="0"/>
                <w:color w:val="36363D"/>
                <w:kern w:val="0"/>
                <w:sz w:val="28"/>
                <w:szCs w:val="28"/>
                <w:u w:val="none"/>
                <w:lang w:val="en-US" w:eastAsia="zh-CN"/>
              </w:rPr>
              <w:t>0.2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36363D"/>
                <w:kern w:val="0"/>
                <w:sz w:val="28"/>
                <w:szCs w:val="28"/>
                <w:u w:val="none"/>
                <w:lang w:val="en-US" w:eastAsia="zh-CN"/>
              </w:rPr>
              <w:t>万元，降低</w:t>
            </w:r>
            <w:r>
              <w:rPr>
                <w:rFonts w:hint="eastAsia" w:ascii="仿宋_GB2312" w:hAnsi="宋体" w:cs="仿宋_GB2312"/>
                <w:i w:val="0"/>
                <w:iCs w:val="0"/>
                <w:color w:val="36363D"/>
                <w:kern w:val="0"/>
                <w:sz w:val="28"/>
                <w:szCs w:val="28"/>
                <w:u w:val="none"/>
                <w:lang w:val="en-US" w:eastAsia="zh-CN"/>
              </w:rPr>
              <w:t>0.6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36363D"/>
                <w:kern w:val="0"/>
                <w:sz w:val="28"/>
                <w:szCs w:val="28"/>
                <w:u w:val="none"/>
                <w:lang w:val="en-US" w:eastAsia="zh-CN"/>
              </w:rPr>
              <w:t>%，主要原因是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36363D"/>
                <w:kern w:val="0"/>
                <w:sz w:val="28"/>
                <w:szCs w:val="28"/>
                <w:u w:val="none"/>
                <w:lang w:val="en-US" w:eastAsia="zh-CN"/>
              </w:rPr>
              <w:t>厉行节约，公务接待费较上年减少0.2万元。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36363D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36363D"/>
                <w:kern w:val="0"/>
                <w:sz w:val="28"/>
                <w:szCs w:val="28"/>
                <w:u w:val="none"/>
                <w:lang w:val="en-US" w:eastAsia="zh-CN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2021年度本单位未计划召开会议；培训费预算8.00万元，拟开展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次培训，人数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200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人，内容为市场监管各项业务工作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，</w:t>
            </w:r>
            <w:r>
              <w:rPr>
                <w:rFonts w:hint="eastAsia" w:ascii="仿宋_GB2312" w:hAnsi="宋体" w:cs="仿宋_GB2312"/>
                <w:i w:val="0"/>
                <w:iCs w:val="0"/>
                <w:color w:val="36363D"/>
                <w:kern w:val="0"/>
                <w:sz w:val="28"/>
                <w:szCs w:val="28"/>
                <w:u w:val="none"/>
                <w:lang w:val="en-US" w:eastAsia="zh-CN"/>
              </w:rPr>
              <w:t>培训费与上年持平无变化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（机要通信用车1辆，应急保障用车1辆）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本单位所有支出实行绩效目标管理。纳入2021年单位整体支出绩效目标的金额为1,146.15万元，其中，基本支出1,146.15万元，项目支出0.00万元，绩效目标详见文尾附表中预算公开表格的表22-23。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二十三、部门(单位)整体支出预算绩效目标申报表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3D628B"/>
    <w:multiLevelType w:val="singleLevel"/>
    <w:tmpl w:val="FF3D628B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2B6DF3"/>
    <w:rsid w:val="749E867C"/>
    <w:rsid w:val="BB9E8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="宋体"/>
      <w:kern w:val="2"/>
      <w:sz w:val="28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Autospacing="0" w:after="26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qFormat/>
    <w:uiPriority w:val="0"/>
    <w:pPr>
      <w:keepNext/>
      <w:keepLines/>
      <w:spacing w:before="260" w:beforeAutospacing="0" w:after="26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3318</Words>
  <Characters>3606</Characters>
  <Paragraphs>99</Paragraphs>
  <TotalTime>0</TotalTime>
  <ScaleCrop>false</ScaleCrop>
  <LinksUpToDate>false</LinksUpToDate>
  <CharactersWithSpaces>3824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2022-06-07T11:01:00Z</dcterms:created>
  <dc:creator>German Phillip</dc:creator>
  <cp:lastModifiedBy>瑶瑶</cp:lastModifiedBy>
  <dcterms:modified xsi:type="dcterms:W3CDTF">2022-09-05T15:13:28Z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50BF38055CE544958A35C6ECC14BCA14</vt:lpwstr>
  </property>
</Properties>
</file>