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eastAsia="方正大标宋简体"/>
          <w:b/>
          <w:sz w:val="44"/>
          <w:szCs w:val="44"/>
        </w:rPr>
      </w:pPr>
      <w:r>
        <w:rPr>
          <w:rFonts w:hint="eastAsia" w:ascii="方正大标宋简体" w:eastAsia="方正大标宋简体"/>
          <w:b/>
          <w:sz w:val="44"/>
          <w:szCs w:val="44"/>
        </w:rPr>
        <w:t>岳阳市国资委</w:t>
      </w:r>
    </w:p>
    <w:p>
      <w:pPr>
        <w:jc w:val="center"/>
        <w:rPr>
          <w:rFonts w:ascii="方正大标宋简体" w:eastAsia="方正大标宋简体"/>
          <w:b/>
          <w:sz w:val="44"/>
          <w:szCs w:val="44"/>
        </w:rPr>
      </w:pPr>
      <w:r>
        <w:rPr>
          <w:rFonts w:hint="eastAsia" w:ascii="方正大标宋简体" w:eastAsia="方正大标宋简体"/>
          <w:b/>
          <w:sz w:val="44"/>
          <w:szCs w:val="44"/>
        </w:rPr>
        <w:t>202</w:t>
      </w:r>
      <w:r>
        <w:rPr>
          <w:rFonts w:hint="eastAsia" w:ascii="方正大标宋简体" w:eastAsia="方正大标宋简体"/>
          <w:b/>
          <w:sz w:val="44"/>
          <w:szCs w:val="44"/>
          <w:lang w:val="en-US" w:eastAsia="zh-CN"/>
        </w:rPr>
        <w:t>1</w:t>
      </w:r>
      <w:r>
        <w:rPr>
          <w:rFonts w:hint="eastAsia" w:ascii="方正大标宋简体" w:eastAsia="方正大标宋简体"/>
          <w:b/>
          <w:sz w:val="44"/>
          <w:szCs w:val="44"/>
        </w:rPr>
        <w:t>年度部门整体支出绩效评价报告</w:t>
      </w:r>
    </w:p>
    <w:p>
      <w:pPr>
        <w:rPr>
          <w:rFonts w:ascii="仿宋_GB2312" w:eastAsia="仿宋_GB2312"/>
          <w:b/>
          <w:sz w:val="44"/>
          <w:szCs w:val="44"/>
        </w:rPr>
      </w:pPr>
      <w:r>
        <w:rPr>
          <w:rFonts w:hint="eastAsia" w:ascii="仿宋_GB2312" w:eastAsia="仿宋_GB2312"/>
          <w:b/>
          <w:sz w:val="44"/>
          <w:szCs w:val="44"/>
        </w:rPr>
        <w:t xml:space="preserve"> </w:t>
      </w:r>
    </w:p>
    <w:p>
      <w:pPr>
        <w:ind w:firstLine="640" w:firstLineChars="200"/>
        <w:rPr>
          <w:rFonts w:ascii="黑体" w:eastAsia="黑体"/>
          <w:sz w:val="32"/>
          <w:szCs w:val="32"/>
        </w:rPr>
      </w:pPr>
      <w:r>
        <w:rPr>
          <w:rFonts w:hint="eastAsia" w:ascii="黑体" w:eastAsia="黑体"/>
          <w:sz w:val="32"/>
          <w:szCs w:val="32"/>
        </w:rPr>
        <w:t>一、部门概况</w:t>
      </w:r>
    </w:p>
    <w:p>
      <w:pPr>
        <w:ind w:firstLine="643" w:firstLineChars="200"/>
        <w:rPr>
          <w:rFonts w:ascii="楷体" w:hAnsi="楷体" w:eastAsia="楷体"/>
          <w:b/>
          <w:sz w:val="32"/>
          <w:szCs w:val="32"/>
        </w:rPr>
      </w:pPr>
      <w:r>
        <w:rPr>
          <w:rFonts w:hint="eastAsia" w:ascii="楷体" w:hAnsi="楷体" w:eastAsia="楷体"/>
          <w:b/>
          <w:sz w:val="32"/>
          <w:szCs w:val="32"/>
        </w:rPr>
        <w:t>（一）部门基本情况</w:t>
      </w:r>
    </w:p>
    <w:p>
      <w:pPr>
        <w:ind w:firstLine="640" w:firstLineChars="200"/>
        <w:rPr>
          <w:rFonts w:ascii="仿宋" w:hAnsi="仿宋" w:eastAsia="仿宋"/>
          <w:sz w:val="32"/>
          <w:szCs w:val="32"/>
        </w:rPr>
      </w:pPr>
      <w:r>
        <w:rPr>
          <w:rFonts w:hint="eastAsia" w:ascii="仿宋" w:hAnsi="仿宋" w:eastAsia="仿宋"/>
          <w:sz w:val="32"/>
          <w:szCs w:val="32"/>
        </w:rPr>
        <w:t>我委</w:t>
      </w:r>
      <w:r>
        <w:rPr>
          <w:rFonts w:hint="eastAsia" w:ascii="仿宋" w:hAnsi="仿宋" w:eastAsia="仿宋"/>
          <w:color w:val="000000"/>
          <w:sz w:val="32"/>
          <w:szCs w:val="32"/>
        </w:rPr>
        <w:t>是2006年11月经岳阳市人民政府批准，2007年4月28日正式挂牌成立的市政府直属的唯一特设机构，主要是代表政府履行国有资产出资人职责</w:t>
      </w:r>
      <w:r>
        <w:rPr>
          <w:rFonts w:hint="eastAsia" w:ascii="仿宋" w:hAnsi="仿宋" w:eastAsia="仿宋"/>
          <w:sz w:val="32"/>
          <w:szCs w:val="32"/>
        </w:rPr>
        <w:t>。预算机构是委机关本级，正处级单位，是财政预算全额拨款单位，财务核算适用行政单位会计制度。根据岳阳市部门预算和“三公经费”公开工作的整体部署，从2013年起我委预决算均在相关政府门户网站和岳阳市国资委网</w:t>
      </w:r>
      <w:r>
        <w:rPr>
          <w:rFonts w:hint="eastAsia" w:ascii="仿宋" w:hAnsi="仿宋" w:eastAsia="仿宋" w:cs="宋体"/>
          <w:sz w:val="32"/>
          <w:szCs w:val="32"/>
        </w:rPr>
        <w:t>站</w:t>
      </w:r>
      <w:r>
        <w:rPr>
          <w:rFonts w:hint="eastAsia" w:ascii="仿宋" w:hAnsi="仿宋" w:eastAsia="仿宋"/>
          <w:sz w:val="32"/>
          <w:szCs w:val="32"/>
        </w:rPr>
        <w:t>进行了公开披露。</w:t>
      </w:r>
    </w:p>
    <w:p>
      <w:pPr>
        <w:ind w:firstLine="643" w:firstLineChars="200"/>
        <w:rPr>
          <w:rFonts w:ascii="楷体" w:hAnsi="楷体" w:eastAsia="楷体"/>
          <w:b/>
          <w:sz w:val="32"/>
          <w:szCs w:val="32"/>
        </w:rPr>
      </w:pPr>
      <w:r>
        <w:rPr>
          <w:rFonts w:hint="eastAsia" w:ascii="楷体" w:hAnsi="楷体" w:eastAsia="楷体"/>
          <w:b/>
          <w:sz w:val="32"/>
          <w:szCs w:val="32"/>
        </w:rPr>
        <w:t xml:space="preserve">1、在职人员情况 </w:t>
      </w:r>
    </w:p>
    <w:p>
      <w:pPr>
        <w:ind w:firstLine="640" w:firstLineChars="200"/>
        <w:rPr>
          <w:rFonts w:ascii="仿宋" w:hAnsi="仿宋" w:eastAsia="仿宋"/>
          <w:sz w:val="32"/>
          <w:szCs w:val="32"/>
        </w:rPr>
      </w:pPr>
      <w:r>
        <w:rPr>
          <w:rFonts w:hint="eastAsia" w:ascii="仿宋_GB2312" w:eastAsia="仿宋_GB2312"/>
          <w:sz w:val="32"/>
          <w:szCs w:val="32"/>
        </w:rPr>
        <w:t xml:space="preserve"> </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年度编制部门核定我委人员编制32名，其中机关行政编制27名；国有企业监事会主席行政编制单列，按实际情况核定；机关后勤服务事业编制1名。至202</w:t>
      </w:r>
      <w:r>
        <w:rPr>
          <w:rFonts w:hint="eastAsia" w:ascii="仿宋" w:hAnsi="仿宋" w:eastAsia="仿宋"/>
          <w:sz w:val="32"/>
          <w:szCs w:val="32"/>
          <w:lang w:val="en-US" w:eastAsia="zh-CN"/>
        </w:rPr>
        <w:t>1</w:t>
      </w:r>
      <w:r>
        <w:rPr>
          <w:rFonts w:hint="eastAsia" w:ascii="仿宋" w:hAnsi="仿宋" w:eastAsia="仿宋"/>
          <w:sz w:val="32"/>
          <w:szCs w:val="32"/>
        </w:rPr>
        <w:t>年12月我委实有在职行政人员 2</w:t>
      </w:r>
      <w:r>
        <w:rPr>
          <w:rFonts w:hint="eastAsia" w:ascii="仿宋" w:hAnsi="仿宋" w:eastAsia="仿宋"/>
          <w:sz w:val="32"/>
          <w:szCs w:val="32"/>
          <w:lang w:val="en-US" w:eastAsia="zh-CN"/>
        </w:rPr>
        <w:t>5</w:t>
      </w:r>
      <w:r>
        <w:rPr>
          <w:rFonts w:hint="eastAsia" w:ascii="仿宋" w:hAnsi="仿宋" w:eastAsia="仿宋"/>
          <w:sz w:val="32"/>
          <w:szCs w:val="32"/>
        </w:rPr>
        <w:t>人，国有企业监事会主席4人，共计</w:t>
      </w:r>
      <w:r>
        <w:rPr>
          <w:rFonts w:hint="eastAsia" w:ascii="仿宋" w:hAnsi="仿宋" w:eastAsia="仿宋"/>
          <w:sz w:val="32"/>
          <w:szCs w:val="32"/>
          <w:lang w:val="en-US" w:eastAsia="zh-CN"/>
        </w:rPr>
        <w:t>29</w:t>
      </w:r>
      <w:r>
        <w:rPr>
          <w:rFonts w:hint="eastAsia" w:ascii="仿宋" w:hAnsi="仿宋" w:eastAsia="仿宋"/>
          <w:sz w:val="32"/>
          <w:szCs w:val="32"/>
        </w:rPr>
        <w:t>人。</w:t>
      </w:r>
    </w:p>
    <w:p>
      <w:pPr>
        <w:ind w:firstLine="643" w:firstLineChars="200"/>
        <w:rPr>
          <w:rFonts w:ascii="楷体" w:hAnsi="楷体" w:eastAsia="楷体"/>
          <w:b/>
          <w:sz w:val="32"/>
          <w:szCs w:val="32"/>
        </w:rPr>
      </w:pPr>
      <w:r>
        <w:rPr>
          <w:rFonts w:hint="eastAsia" w:ascii="楷体" w:hAnsi="楷体" w:eastAsia="楷体"/>
          <w:b/>
          <w:sz w:val="32"/>
          <w:szCs w:val="32"/>
        </w:rPr>
        <w:t>2、机构设置情况</w:t>
      </w:r>
    </w:p>
    <w:p>
      <w:pPr>
        <w:ind w:firstLine="640" w:firstLineChars="200"/>
        <w:rPr>
          <w:rFonts w:hint="eastAsia" w:ascii="仿宋" w:hAnsi="仿宋" w:eastAsia="仿宋"/>
          <w:sz w:val="32"/>
          <w:szCs w:val="32"/>
        </w:rPr>
      </w:pPr>
      <w:r>
        <w:rPr>
          <w:rFonts w:hint="eastAsia" w:ascii="仿宋" w:hAnsi="仿宋" w:eastAsia="仿宋"/>
          <w:sz w:val="32"/>
          <w:szCs w:val="32"/>
        </w:rPr>
        <w:t>委本级设置8个内设机构：综合科、政策法规科（行政事业单位经济实体管理科）、产权管理科、企业改革发展科、资本收益与财务监管科（资本合作科）、考核分配科</w:t>
      </w:r>
      <w:r>
        <w:rPr>
          <w:rFonts w:hint="eastAsia" w:ascii="仿宋" w:hAnsi="仿宋" w:eastAsia="仿宋"/>
          <w:sz w:val="32"/>
          <w:szCs w:val="32"/>
          <w:lang w:eastAsia="zh-CN"/>
        </w:rPr>
        <w:t>（监督科）</w:t>
      </w:r>
      <w:r>
        <w:rPr>
          <w:rFonts w:hint="eastAsia" w:ascii="仿宋" w:hAnsi="仿宋" w:eastAsia="仿宋"/>
          <w:sz w:val="32"/>
          <w:szCs w:val="32"/>
        </w:rPr>
        <w:t>、安全维稳科、党建工作科。人事科和党建工作科合署办公。</w:t>
      </w:r>
    </w:p>
    <w:p>
      <w:pPr>
        <w:ind w:firstLine="640" w:firstLineChars="200"/>
        <w:rPr>
          <w:rFonts w:ascii="仿宋" w:hAnsi="仿宋" w:eastAsia="仿宋"/>
          <w:sz w:val="32"/>
          <w:szCs w:val="32"/>
        </w:rPr>
      </w:pPr>
      <w:r>
        <w:rPr>
          <w:rFonts w:hint="eastAsia" w:ascii="仿宋" w:hAnsi="仿宋" w:eastAsia="仿宋"/>
          <w:sz w:val="32"/>
          <w:szCs w:val="32"/>
        </w:rPr>
        <w:t>机关党委、机关纪委按章程设置。</w:t>
      </w:r>
    </w:p>
    <w:p>
      <w:pPr>
        <w:ind w:firstLine="643" w:firstLineChars="200"/>
        <w:rPr>
          <w:rFonts w:ascii="楷体" w:hAnsi="楷体" w:eastAsia="楷体"/>
          <w:b/>
          <w:sz w:val="32"/>
          <w:szCs w:val="32"/>
        </w:rPr>
      </w:pPr>
      <w:r>
        <w:rPr>
          <w:rFonts w:hint="eastAsia" w:ascii="楷体_GB2312" w:eastAsia="楷体_GB2312"/>
          <w:b/>
          <w:sz w:val="32"/>
          <w:szCs w:val="32"/>
        </w:rPr>
        <w:t xml:space="preserve"> </w:t>
      </w:r>
      <w:r>
        <w:rPr>
          <w:rFonts w:hint="eastAsia" w:ascii="楷体" w:hAnsi="楷体" w:eastAsia="楷体"/>
          <w:b/>
          <w:sz w:val="32"/>
          <w:szCs w:val="32"/>
        </w:rPr>
        <w:t>3、主要工作职责</w:t>
      </w:r>
    </w:p>
    <w:p>
      <w:pPr>
        <w:ind w:firstLine="480" w:firstLineChars="150"/>
        <w:rPr>
          <w:rFonts w:ascii="仿宋" w:hAnsi="仿宋" w:eastAsia="仿宋"/>
          <w:sz w:val="32"/>
          <w:szCs w:val="32"/>
        </w:rPr>
      </w:pPr>
      <w:r>
        <w:rPr>
          <w:rFonts w:hint="eastAsia" w:ascii="仿宋_GB2312" w:hAnsi="仿宋_GB2312" w:eastAsia="仿宋_GB2312"/>
          <w:sz w:val="32"/>
          <w:szCs w:val="32"/>
        </w:rPr>
        <w:t xml:space="preserve"> </w:t>
      </w:r>
      <w:r>
        <w:rPr>
          <w:rFonts w:hint="eastAsia" w:ascii="仿宋" w:hAnsi="仿宋" w:eastAsia="仿宋"/>
          <w:sz w:val="32"/>
          <w:szCs w:val="32"/>
        </w:rPr>
        <w:t>（1）根据市人民政府授权，依照相关法律法规履行出资人职责，加强所监管企业国有资产的监督管理工作。</w:t>
      </w:r>
    </w:p>
    <w:p>
      <w:pPr>
        <w:ind w:firstLine="320" w:firstLineChars="100"/>
        <w:rPr>
          <w:rFonts w:ascii="仿宋" w:hAnsi="仿宋" w:eastAsia="仿宋"/>
          <w:sz w:val="32"/>
          <w:szCs w:val="32"/>
        </w:rPr>
      </w:pPr>
      <w:r>
        <w:rPr>
          <w:rFonts w:hint="eastAsia" w:ascii="仿宋" w:hAnsi="仿宋" w:eastAsia="仿宋"/>
          <w:sz w:val="32"/>
          <w:szCs w:val="32"/>
        </w:rPr>
        <w:t xml:space="preserve">  （2）承担监督所监管企业国有资产保值增值的责任。</w:t>
      </w:r>
    </w:p>
    <w:p>
      <w:pPr>
        <w:ind w:firstLine="320" w:firstLineChars="100"/>
        <w:rPr>
          <w:rFonts w:ascii="仿宋" w:hAnsi="仿宋" w:eastAsia="仿宋"/>
          <w:sz w:val="32"/>
          <w:szCs w:val="32"/>
        </w:rPr>
      </w:pPr>
      <w:r>
        <w:rPr>
          <w:rFonts w:hint="eastAsia" w:ascii="仿宋" w:hAnsi="仿宋" w:eastAsia="仿宋"/>
          <w:sz w:val="32"/>
          <w:szCs w:val="32"/>
        </w:rPr>
        <w:t xml:space="preserve">  （3）指导推进国有企业改革和重组，负责归口组织协调全市与中央企业、省属企业对接合作工作。</w:t>
      </w:r>
    </w:p>
    <w:p>
      <w:pPr>
        <w:ind w:firstLine="320" w:firstLineChars="100"/>
        <w:rPr>
          <w:rFonts w:ascii="仿宋" w:hAnsi="仿宋" w:eastAsia="仿宋"/>
          <w:sz w:val="32"/>
          <w:szCs w:val="32"/>
        </w:rPr>
      </w:pPr>
      <w:r>
        <w:rPr>
          <w:rFonts w:hint="eastAsia" w:ascii="仿宋" w:hAnsi="仿宋" w:eastAsia="仿宋"/>
          <w:sz w:val="32"/>
          <w:szCs w:val="32"/>
        </w:rPr>
        <w:t xml:space="preserve">  （4）通过法定程序，对所监管企业的负责人进行任免、考核并根据其经营业绩进行奖惩，建立符合社会主义市场经济体制和现代企业制度要求的选人、用人机制。</w:t>
      </w:r>
    </w:p>
    <w:p>
      <w:pPr>
        <w:ind w:firstLine="480" w:firstLineChars="150"/>
        <w:rPr>
          <w:rFonts w:ascii="仿宋" w:hAnsi="仿宋" w:eastAsia="仿宋"/>
          <w:sz w:val="32"/>
          <w:szCs w:val="32"/>
        </w:rPr>
      </w:pPr>
      <w:r>
        <w:rPr>
          <w:rFonts w:hint="eastAsia" w:ascii="仿宋" w:hAnsi="仿宋" w:eastAsia="仿宋"/>
          <w:sz w:val="32"/>
          <w:szCs w:val="32"/>
        </w:rPr>
        <w:t xml:space="preserve"> （5）按照有关规定，代表市人民政府向所监管企业委派董事（董事长）。</w:t>
      </w:r>
    </w:p>
    <w:p>
      <w:pPr>
        <w:ind w:firstLine="320" w:firstLineChars="100"/>
        <w:rPr>
          <w:rFonts w:ascii="仿宋" w:hAnsi="仿宋" w:eastAsia="仿宋"/>
          <w:sz w:val="32"/>
          <w:szCs w:val="32"/>
        </w:rPr>
      </w:pPr>
      <w:r>
        <w:rPr>
          <w:rFonts w:hint="eastAsia" w:ascii="仿宋" w:hAnsi="仿宋" w:eastAsia="仿宋"/>
          <w:sz w:val="32"/>
          <w:szCs w:val="32"/>
        </w:rPr>
        <w:t xml:space="preserve">  （6）负责组织所监管企业上交国有资本收益。</w:t>
      </w:r>
    </w:p>
    <w:p>
      <w:pPr>
        <w:ind w:firstLine="320" w:firstLineChars="100"/>
        <w:rPr>
          <w:rFonts w:ascii="仿宋" w:hAnsi="仿宋" w:eastAsia="仿宋"/>
          <w:sz w:val="32"/>
          <w:szCs w:val="32"/>
        </w:rPr>
      </w:pPr>
      <w:r>
        <w:rPr>
          <w:rFonts w:hint="eastAsia" w:ascii="仿宋" w:hAnsi="仿宋" w:eastAsia="仿宋"/>
          <w:sz w:val="32"/>
          <w:szCs w:val="32"/>
        </w:rPr>
        <w:t xml:space="preserve">  （7）负责企业固有资产基础管理，拟定有关国有资产管理的规范性文件，制定有关制度；依法对县市区国有资产监督管理工作进行指导和监督。</w:t>
      </w:r>
    </w:p>
    <w:p>
      <w:pPr>
        <w:ind w:firstLine="480" w:firstLineChars="150"/>
        <w:rPr>
          <w:rFonts w:ascii="仿宋" w:hAnsi="仿宋" w:eastAsia="仿宋"/>
          <w:sz w:val="32"/>
          <w:szCs w:val="32"/>
        </w:rPr>
      </w:pPr>
      <w:r>
        <w:rPr>
          <w:rFonts w:hint="eastAsia" w:ascii="仿宋" w:hAnsi="仿宋" w:eastAsia="仿宋"/>
          <w:sz w:val="32"/>
          <w:szCs w:val="32"/>
        </w:rPr>
        <w:t xml:space="preserve"> （8）负责市直行政事业单位具有独立法人资格经济实体的监督管理和脱钩移交工作。</w:t>
      </w:r>
    </w:p>
    <w:p>
      <w:pPr>
        <w:ind w:firstLine="480" w:firstLineChars="150"/>
        <w:rPr>
          <w:rFonts w:ascii="仿宋" w:hAnsi="仿宋" w:eastAsia="仿宋"/>
          <w:sz w:val="32"/>
          <w:szCs w:val="32"/>
        </w:rPr>
      </w:pPr>
      <w:r>
        <w:rPr>
          <w:rFonts w:hint="eastAsia" w:ascii="仿宋" w:hAnsi="仿宋" w:eastAsia="仿宋"/>
          <w:sz w:val="32"/>
          <w:szCs w:val="32"/>
        </w:rPr>
        <w:t xml:space="preserve"> （9）指导、监督市属国有企业法律顾问管理工作。</w:t>
      </w:r>
    </w:p>
    <w:p>
      <w:pPr>
        <w:ind w:firstLine="480" w:firstLineChars="150"/>
        <w:rPr>
          <w:rFonts w:ascii="仿宋" w:hAnsi="仿宋" w:eastAsia="仿宋"/>
          <w:sz w:val="32"/>
          <w:szCs w:val="32"/>
        </w:rPr>
      </w:pPr>
      <w:r>
        <w:rPr>
          <w:rFonts w:hint="eastAsia" w:ascii="仿宋" w:hAnsi="仿宋" w:eastAsia="仿宋"/>
          <w:sz w:val="32"/>
          <w:szCs w:val="32"/>
        </w:rPr>
        <w:t xml:space="preserve"> （10）承办市委、市人民政府交办的其他事项。</w:t>
      </w:r>
    </w:p>
    <w:p>
      <w:pPr>
        <w:ind w:firstLine="482" w:firstLineChars="150"/>
        <w:rPr>
          <w:rFonts w:hint="eastAsia" w:ascii="楷体" w:hAnsi="楷体" w:eastAsia="楷体"/>
          <w:b/>
          <w:sz w:val="32"/>
          <w:szCs w:val="32"/>
          <w:lang w:eastAsia="zh-CN"/>
        </w:rPr>
      </w:pPr>
      <w:r>
        <w:rPr>
          <w:rFonts w:hint="eastAsia" w:ascii="楷体" w:hAnsi="楷体" w:eastAsia="楷体"/>
          <w:b/>
          <w:sz w:val="32"/>
          <w:szCs w:val="32"/>
        </w:rPr>
        <w:t>（二）部门整体支出</w:t>
      </w:r>
      <w:r>
        <w:rPr>
          <w:rFonts w:hint="eastAsia" w:ascii="楷体" w:hAnsi="楷体" w:eastAsia="楷体"/>
          <w:b/>
          <w:sz w:val="32"/>
          <w:szCs w:val="32"/>
          <w:lang w:eastAsia="zh-CN"/>
        </w:rPr>
        <w:t>规模、使用方向和主要内容、涉及范围等</w:t>
      </w:r>
    </w:p>
    <w:p>
      <w:pPr>
        <w:ind w:firstLine="640" w:firstLineChars="200"/>
        <w:rPr>
          <w:rFonts w:ascii="仿宋" w:hAnsi="仿宋" w:eastAsia="仿宋"/>
          <w:sz w:val="32"/>
          <w:szCs w:val="32"/>
        </w:rPr>
      </w:pPr>
      <w:r>
        <w:rPr>
          <w:rFonts w:hint="eastAsia" w:ascii="仿宋" w:hAnsi="仿宋" w:eastAsia="仿宋"/>
          <w:sz w:val="32"/>
          <w:szCs w:val="32"/>
        </w:rPr>
        <w:t>我委202</w:t>
      </w:r>
      <w:r>
        <w:rPr>
          <w:rFonts w:hint="eastAsia" w:ascii="仿宋" w:hAnsi="仿宋" w:eastAsia="仿宋"/>
          <w:sz w:val="32"/>
          <w:szCs w:val="32"/>
          <w:lang w:val="en-US" w:eastAsia="zh-CN"/>
        </w:rPr>
        <w:t>1</w:t>
      </w:r>
      <w:r>
        <w:rPr>
          <w:rFonts w:hint="eastAsia" w:ascii="仿宋" w:hAnsi="仿宋" w:eastAsia="仿宋"/>
          <w:sz w:val="32"/>
          <w:szCs w:val="32"/>
        </w:rPr>
        <w:t>年总支出为</w:t>
      </w:r>
      <w:r>
        <w:rPr>
          <w:rFonts w:hint="eastAsia" w:ascii="仿宋" w:hAnsi="仿宋" w:eastAsia="仿宋"/>
          <w:sz w:val="32"/>
          <w:szCs w:val="32"/>
          <w:lang w:val="en-US" w:eastAsia="zh-CN"/>
        </w:rPr>
        <w:t>743.63</w:t>
      </w:r>
      <w:r>
        <w:rPr>
          <w:rFonts w:hint="eastAsia" w:ascii="仿宋" w:hAnsi="仿宋" w:eastAsia="仿宋"/>
          <w:sz w:val="32"/>
          <w:szCs w:val="32"/>
        </w:rPr>
        <w:t>万元，其中：基本支出为</w:t>
      </w:r>
      <w:r>
        <w:rPr>
          <w:rFonts w:hint="eastAsia" w:ascii="仿宋" w:hAnsi="仿宋" w:eastAsia="仿宋"/>
          <w:sz w:val="32"/>
          <w:szCs w:val="32"/>
          <w:lang w:val="en-US" w:eastAsia="zh-CN"/>
        </w:rPr>
        <w:t>699.68</w:t>
      </w:r>
      <w:r>
        <w:rPr>
          <w:rFonts w:hint="eastAsia" w:ascii="仿宋" w:hAnsi="仿宋" w:eastAsia="仿宋"/>
          <w:sz w:val="32"/>
          <w:szCs w:val="32"/>
        </w:rPr>
        <w:t>万元，使用内容为人员经费和日常公用经费（工资福利支出</w:t>
      </w:r>
      <w:r>
        <w:rPr>
          <w:rFonts w:hint="eastAsia" w:ascii="仿宋" w:hAnsi="仿宋" w:eastAsia="仿宋"/>
          <w:sz w:val="32"/>
          <w:szCs w:val="32"/>
          <w:lang w:val="en-US" w:eastAsia="zh-CN"/>
        </w:rPr>
        <w:t>432.24</w:t>
      </w:r>
      <w:r>
        <w:rPr>
          <w:rFonts w:hint="eastAsia" w:ascii="仿宋" w:hAnsi="仿宋" w:eastAsia="仿宋"/>
          <w:sz w:val="32"/>
          <w:szCs w:val="32"/>
        </w:rPr>
        <w:t>万元、商品和服务支出</w:t>
      </w:r>
      <w:r>
        <w:rPr>
          <w:rFonts w:hint="eastAsia" w:ascii="仿宋" w:hAnsi="仿宋" w:eastAsia="仿宋"/>
          <w:sz w:val="32"/>
          <w:szCs w:val="32"/>
          <w:lang w:val="en-US" w:eastAsia="zh-CN"/>
        </w:rPr>
        <w:t>249.37</w:t>
      </w:r>
      <w:r>
        <w:rPr>
          <w:rFonts w:hint="eastAsia" w:ascii="仿宋" w:hAnsi="仿宋" w:eastAsia="仿宋"/>
          <w:sz w:val="32"/>
          <w:szCs w:val="32"/>
        </w:rPr>
        <w:t>万元、对个人和家庭的补助</w:t>
      </w:r>
      <w:r>
        <w:rPr>
          <w:rFonts w:hint="eastAsia" w:ascii="仿宋" w:hAnsi="仿宋" w:eastAsia="仿宋"/>
          <w:sz w:val="32"/>
          <w:szCs w:val="32"/>
          <w:lang w:val="en-US" w:eastAsia="zh-CN"/>
        </w:rPr>
        <w:t>16.71</w:t>
      </w:r>
      <w:r>
        <w:rPr>
          <w:rFonts w:hint="eastAsia" w:ascii="仿宋" w:hAnsi="仿宋" w:eastAsia="仿宋"/>
          <w:sz w:val="32"/>
          <w:szCs w:val="32"/>
        </w:rPr>
        <w:t>万元、资本性支出</w:t>
      </w:r>
      <w:r>
        <w:rPr>
          <w:rFonts w:hint="eastAsia" w:ascii="仿宋" w:hAnsi="仿宋" w:eastAsia="仿宋"/>
          <w:sz w:val="32"/>
          <w:szCs w:val="32"/>
          <w:lang w:val="en-US" w:eastAsia="zh-CN"/>
        </w:rPr>
        <w:t>1.37</w:t>
      </w:r>
      <w:r>
        <w:rPr>
          <w:rFonts w:hint="eastAsia" w:ascii="仿宋" w:hAnsi="仿宋" w:eastAsia="仿宋"/>
          <w:sz w:val="32"/>
          <w:szCs w:val="32"/>
        </w:rPr>
        <w:t>万元）；项目支出为</w:t>
      </w:r>
      <w:r>
        <w:rPr>
          <w:rFonts w:hint="eastAsia" w:ascii="仿宋" w:hAnsi="仿宋" w:eastAsia="仿宋"/>
          <w:sz w:val="32"/>
          <w:szCs w:val="32"/>
          <w:lang w:val="en-US" w:eastAsia="zh-CN"/>
        </w:rPr>
        <w:t>43.95</w:t>
      </w:r>
      <w:r>
        <w:rPr>
          <w:rFonts w:hint="eastAsia" w:ascii="仿宋" w:hAnsi="仿宋" w:eastAsia="仿宋"/>
          <w:sz w:val="32"/>
          <w:szCs w:val="32"/>
        </w:rPr>
        <w:t>万元，使用内容为日常公用经费（为商品和服务支出</w:t>
      </w:r>
      <w:r>
        <w:rPr>
          <w:rFonts w:hint="eastAsia" w:ascii="仿宋" w:hAnsi="仿宋" w:eastAsia="仿宋"/>
          <w:sz w:val="32"/>
          <w:szCs w:val="32"/>
          <w:lang w:val="en-US" w:eastAsia="zh-CN"/>
        </w:rPr>
        <w:t>43.95</w:t>
      </w:r>
      <w:r>
        <w:rPr>
          <w:rFonts w:hint="eastAsia" w:ascii="仿宋" w:hAnsi="仿宋" w:eastAsia="仿宋"/>
          <w:sz w:val="32"/>
          <w:szCs w:val="32"/>
        </w:rPr>
        <w:t>万元）。</w:t>
      </w:r>
    </w:p>
    <w:p>
      <w:pPr>
        <w:rPr>
          <w:rFonts w:ascii="黑体" w:hAnsi="黑体" w:eastAsia="黑体"/>
          <w:sz w:val="32"/>
          <w:szCs w:val="32"/>
        </w:rPr>
      </w:pPr>
      <w:r>
        <w:rPr>
          <w:rFonts w:hint="eastAsia" w:ascii="楷体_GB2312" w:eastAsia="楷体_GB2312"/>
          <w:b/>
          <w:sz w:val="36"/>
          <w:szCs w:val="36"/>
        </w:rPr>
        <w:t xml:space="preserve">   </w:t>
      </w:r>
      <w:r>
        <w:rPr>
          <w:rFonts w:hint="eastAsia" w:ascii="楷体_GB2312" w:eastAsia="楷体_GB2312"/>
          <w:sz w:val="36"/>
          <w:szCs w:val="36"/>
        </w:rPr>
        <w:t xml:space="preserve"> </w:t>
      </w:r>
      <w:r>
        <w:rPr>
          <w:rFonts w:hint="eastAsia" w:ascii="黑体" w:hAnsi="黑体" w:eastAsia="黑体"/>
          <w:sz w:val="32"/>
          <w:szCs w:val="32"/>
        </w:rPr>
        <w:t>二、部门整体支出管理及使用情况</w:t>
      </w:r>
    </w:p>
    <w:p>
      <w:pPr>
        <w:ind w:firstLine="600"/>
        <w:jc w:val="left"/>
        <w:rPr>
          <w:rFonts w:ascii="楷体" w:hAnsi="楷体" w:eastAsia="楷体"/>
          <w:b/>
          <w:sz w:val="32"/>
          <w:szCs w:val="32"/>
        </w:rPr>
      </w:pPr>
      <w:r>
        <w:rPr>
          <w:rFonts w:hint="eastAsia" w:ascii="楷体" w:hAnsi="楷体" w:eastAsia="楷体"/>
          <w:b/>
          <w:sz w:val="32"/>
          <w:szCs w:val="32"/>
        </w:rPr>
        <w:t>1、基本支出</w:t>
      </w:r>
    </w:p>
    <w:p>
      <w:pPr>
        <w:ind w:firstLine="640" w:firstLineChars="200"/>
        <w:jc w:val="left"/>
        <w:rPr>
          <w:rFonts w:ascii="仿宋" w:hAnsi="仿宋" w:eastAsia="仿宋"/>
          <w:sz w:val="32"/>
          <w:szCs w:val="32"/>
        </w:rPr>
      </w:pPr>
      <w:r>
        <w:rPr>
          <w:rFonts w:hint="eastAsia" w:ascii="仿宋" w:hAnsi="仿宋" w:eastAsia="仿宋"/>
          <w:sz w:val="32"/>
          <w:szCs w:val="32"/>
        </w:rPr>
        <w:t>我委基本支出的范围和用途包括委机关的人员经费和日常公用经费。具体包括：工资福利支出、对个人和家庭的补助支出、商品和服务支出、资本性支出。“三公经费” 控制较好。预算总额</w:t>
      </w:r>
      <w:r>
        <w:rPr>
          <w:rFonts w:hint="eastAsia" w:ascii="仿宋" w:hAnsi="仿宋" w:eastAsia="仿宋"/>
          <w:sz w:val="32"/>
          <w:szCs w:val="32"/>
          <w:lang w:val="en-US" w:eastAsia="zh-CN"/>
        </w:rPr>
        <w:t>17.10</w:t>
      </w:r>
      <w:r>
        <w:rPr>
          <w:rFonts w:hint="eastAsia" w:ascii="仿宋" w:hAnsi="仿宋" w:eastAsia="仿宋"/>
          <w:sz w:val="32"/>
          <w:szCs w:val="32"/>
        </w:rPr>
        <w:t>万元，本年实际支出</w:t>
      </w:r>
      <w:r>
        <w:rPr>
          <w:rFonts w:hint="eastAsia" w:ascii="仿宋" w:hAnsi="仿宋" w:eastAsia="仿宋"/>
          <w:sz w:val="32"/>
          <w:szCs w:val="32"/>
          <w:lang w:val="en-US" w:eastAsia="zh-CN"/>
        </w:rPr>
        <w:t>3.68</w:t>
      </w:r>
      <w:r>
        <w:rPr>
          <w:rFonts w:hint="eastAsia" w:ascii="仿宋" w:hAnsi="仿宋" w:eastAsia="仿宋"/>
          <w:sz w:val="32"/>
          <w:szCs w:val="32"/>
        </w:rPr>
        <w:t>万元，结余</w:t>
      </w:r>
      <w:r>
        <w:rPr>
          <w:rFonts w:hint="eastAsia" w:ascii="仿宋" w:hAnsi="仿宋" w:eastAsia="仿宋"/>
          <w:sz w:val="32"/>
          <w:szCs w:val="32"/>
          <w:lang w:val="en-US" w:eastAsia="zh-CN"/>
        </w:rPr>
        <w:t>13.42</w:t>
      </w:r>
      <w:r>
        <w:rPr>
          <w:rFonts w:hint="eastAsia" w:ascii="仿宋" w:hAnsi="仿宋" w:eastAsia="仿宋"/>
          <w:sz w:val="32"/>
          <w:szCs w:val="32"/>
        </w:rPr>
        <w:t>万元。其中公务接待费预算</w:t>
      </w:r>
      <w:r>
        <w:rPr>
          <w:rFonts w:hint="eastAsia" w:ascii="仿宋" w:hAnsi="仿宋" w:eastAsia="仿宋"/>
          <w:sz w:val="32"/>
          <w:szCs w:val="32"/>
          <w:lang w:val="en-US" w:eastAsia="zh-CN"/>
        </w:rPr>
        <w:t>6</w:t>
      </w:r>
      <w:r>
        <w:rPr>
          <w:rFonts w:hint="eastAsia" w:ascii="仿宋" w:hAnsi="仿宋" w:eastAsia="仿宋"/>
          <w:sz w:val="32"/>
          <w:szCs w:val="32"/>
        </w:rPr>
        <w:t>万元，实际支出</w:t>
      </w:r>
      <w:r>
        <w:rPr>
          <w:rFonts w:hint="eastAsia" w:ascii="仿宋" w:hAnsi="仿宋" w:eastAsia="仿宋"/>
          <w:sz w:val="32"/>
          <w:szCs w:val="32"/>
          <w:lang w:val="en-US" w:eastAsia="zh-CN"/>
        </w:rPr>
        <w:t>1.78</w:t>
      </w:r>
      <w:r>
        <w:rPr>
          <w:rFonts w:hint="eastAsia" w:ascii="仿宋" w:hAnsi="仿宋" w:eastAsia="仿宋"/>
          <w:sz w:val="32"/>
          <w:szCs w:val="32"/>
        </w:rPr>
        <w:t>万元，结余</w:t>
      </w:r>
      <w:r>
        <w:rPr>
          <w:rFonts w:hint="eastAsia" w:ascii="仿宋" w:hAnsi="仿宋" w:eastAsia="仿宋"/>
          <w:sz w:val="32"/>
          <w:szCs w:val="32"/>
          <w:lang w:val="en-US" w:eastAsia="zh-CN"/>
        </w:rPr>
        <w:t>4.22</w:t>
      </w:r>
      <w:r>
        <w:rPr>
          <w:rFonts w:hint="eastAsia" w:ascii="仿宋" w:hAnsi="仿宋" w:eastAsia="仿宋"/>
          <w:sz w:val="32"/>
          <w:szCs w:val="32"/>
        </w:rPr>
        <w:t>万元；公务用车运行维护费预算</w:t>
      </w:r>
      <w:r>
        <w:rPr>
          <w:rFonts w:hint="eastAsia" w:ascii="仿宋" w:hAnsi="仿宋" w:eastAsia="仿宋"/>
          <w:sz w:val="32"/>
          <w:szCs w:val="32"/>
          <w:lang w:val="en-US" w:eastAsia="zh-CN"/>
        </w:rPr>
        <w:t>11.10</w:t>
      </w:r>
      <w:r>
        <w:rPr>
          <w:rFonts w:hint="eastAsia" w:ascii="仿宋" w:hAnsi="仿宋" w:eastAsia="仿宋"/>
          <w:sz w:val="32"/>
          <w:szCs w:val="32"/>
        </w:rPr>
        <w:t>万元，实际使用</w:t>
      </w:r>
      <w:r>
        <w:rPr>
          <w:rFonts w:hint="eastAsia" w:ascii="仿宋" w:hAnsi="仿宋" w:eastAsia="仿宋"/>
          <w:sz w:val="32"/>
          <w:szCs w:val="32"/>
          <w:lang w:val="en-US" w:eastAsia="zh-CN"/>
        </w:rPr>
        <w:t>1.90</w:t>
      </w:r>
      <w:r>
        <w:rPr>
          <w:rFonts w:hint="eastAsia" w:ascii="仿宋" w:hAnsi="仿宋" w:eastAsia="仿宋"/>
          <w:sz w:val="32"/>
          <w:szCs w:val="32"/>
        </w:rPr>
        <w:t>元,结余</w:t>
      </w:r>
      <w:r>
        <w:rPr>
          <w:rFonts w:hint="eastAsia" w:ascii="仿宋" w:hAnsi="仿宋" w:eastAsia="仿宋"/>
          <w:sz w:val="32"/>
          <w:szCs w:val="32"/>
          <w:lang w:val="en-US" w:eastAsia="zh-CN"/>
        </w:rPr>
        <w:t>9.2</w:t>
      </w:r>
      <w:r>
        <w:rPr>
          <w:rFonts w:hint="eastAsia" w:ascii="仿宋" w:hAnsi="仿宋" w:eastAsia="仿宋"/>
          <w:sz w:val="32"/>
          <w:szCs w:val="32"/>
        </w:rPr>
        <w:t>万元；公务用车购置费0万元；因公出国（境）费用0万元。机关本年公务接待</w:t>
      </w:r>
      <w:r>
        <w:rPr>
          <w:rFonts w:hint="eastAsia" w:ascii="仿宋" w:hAnsi="仿宋" w:eastAsia="仿宋"/>
          <w:sz w:val="32"/>
          <w:szCs w:val="32"/>
          <w:lang w:val="en-US" w:eastAsia="zh-CN"/>
        </w:rPr>
        <w:t>15</w:t>
      </w:r>
      <w:r>
        <w:rPr>
          <w:rFonts w:hint="eastAsia" w:ascii="仿宋" w:hAnsi="仿宋" w:eastAsia="仿宋"/>
          <w:sz w:val="32"/>
          <w:szCs w:val="32"/>
        </w:rPr>
        <w:t>批次，接待人数</w:t>
      </w:r>
      <w:r>
        <w:rPr>
          <w:rFonts w:hint="eastAsia" w:ascii="仿宋" w:hAnsi="仿宋" w:eastAsia="仿宋"/>
          <w:sz w:val="32"/>
          <w:szCs w:val="32"/>
          <w:lang w:val="en-US" w:eastAsia="zh-CN"/>
        </w:rPr>
        <w:t>158</w:t>
      </w:r>
      <w:r>
        <w:rPr>
          <w:rFonts w:hint="eastAsia" w:ascii="仿宋" w:hAnsi="仿宋" w:eastAsia="仿宋"/>
          <w:sz w:val="32"/>
          <w:szCs w:val="32"/>
        </w:rPr>
        <w:t>人；本年在使用公车1台。与上年比较，公务接待费减少</w:t>
      </w:r>
      <w:r>
        <w:rPr>
          <w:rFonts w:hint="eastAsia" w:ascii="仿宋" w:hAnsi="仿宋" w:eastAsia="仿宋"/>
          <w:sz w:val="32"/>
          <w:szCs w:val="32"/>
          <w:lang w:val="en-US" w:eastAsia="zh-CN"/>
        </w:rPr>
        <w:t>1.23</w:t>
      </w:r>
      <w:r>
        <w:rPr>
          <w:rFonts w:hint="eastAsia" w:ascii="仿宋" w:hAnsi="仿宋" w:eastAsia="仿宋"/>
          <w:sz w:val="32"/>
          <w:szCs w:val="32"/>
        </w:rPr>
        <w:t>万多元；公务用车运行维护费减少</w:t>
      </w:r>
      <w:r>
        <w:rPr>
          <w:rFonts w:hint="eastAsia" w:ascii="仿宋" w:hAnsi="仿宋" w:eastAsia="仿宋"/>
          <w:sz w:val="32"/>
          <w:szCs w:val="32"/>
          <w:lang w:val="en-US" w:eastAsia="zh-CN"/>
        </w:rPr>
        <w:t>8.90</w:t>
      </w:r>
      <w:r>
        <w:rPr>
          <w:rFonts w:hint="eastAsia" w:ascii="仿宋" w:hAnsi="仿宋" w:eastAsia="仿宋"/>
          <w:sz w:val="32"/>
          <w:szCs w:val="32"/>
        </w:rPr>
        <w:t>万元。</w:t>
      </w:r>
    </w:p>
    <w:p>
      <w:pPr>
        <w:ind w:firstLine="643" w:firstLineChars="200"/>
        <w:jc w:val="left"/>
        <w:rPr>
          <w:rFonts w:ascii="楷体" w:hAnsi="楷体" w:eastAsia="楷体"/>
          <w:b/>
          <w:sz w:val="32"/>
          <w:szCs w:val="32"/>
        </w:rPr>
      </w:pPr>
      <w:r>
        <w:rPr>
          <w:rFonts w:hint="eastAsia" w:ascii="楷体" w:hAnsi="楷体" w:eastAsia="楷体"/>
          <w:b/>
          <w:sz w:val="32"/>
          <w:szCs w:val="32"/>
        </w:rPr>
        <w:t>2、专项支出</w:t>
      </w:r>
    </w:p>
    <w:p>
      <w:pPr>
        <w:ind w:firstLine="643" w:firstLineChars="200"/>
        <w:jc w:val="left"/>
        <w:rPr>
          <w:rFonts w:hint="eastAsia" w:ascii="楷体" w:hAnsi="楷体" w:eastAsia="楷体" w:cs="仿宋_GB2312"/>
          <w:b/>
          <w:bCs/>
          <w:sz w:val="32"/>
          <w:szCs w:val="32"/>
        </w:rPr>
      </w:pPr>
      <w:r>
        <w:rPr>
          <w:rFonts w:hint="eastAsia" w:ascii="楷体" w:hAnsi="楷体" w:eastAsia="楷体"/>
          <w:b/>
          <w:sz w:val="32"/>
          <w:szCs w:val="32"/>
        </w:rPr>
        <w:t>（1）</w:t>
      </w:r>
      <w:r>
        <w:rPr>
          <w:rFonts w:hint="eastAsia" w:ascii="楷体" w:hAnsi="楷体" w:eastAsia="楷体" w:cs="仿宋_GB2312"/>
          <w:b/>
          <w:bCs/>
          <w:sz w:val="32"/>
          <w:szCs w:val="32"/>
        </w:rPr>
        <w:t>专项资金安排落实、总投入等情况分析</w:t>
      </w:r>
    </w:p>
    <w:p>
      <w:pPr>
        <w:ind w:firstLine="640" w:firstLineChars="200"/>
        <w:jc w:val="lef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年度财政安排专项资金</w:t>
      </w:r>
      <w:r>
        <w:rPr>
          <w:rFonts w:hint="eastAsia" w:ascii="仿宋" w:hAnsi="仿宋" w:eastAsia="仿宋"/>
          <w:sz w:val="32"/>
          <w:szCs w:val="32"/>
          <w:lang w:val="en-US" w:eastAsia="zh-CN"/>
        </w:rPr>
        <w:t>42.22</w:t>
      </w:r>
      <w:r>
        <w:rPr>
          <w:rFonts w:hint="eastAsia" w:ascii="仿宋" w:hAnsi="仿宋" w:eastAsia="仿宋"/>
          <w:sz w:val="32"/>
          <w:szCs w:val="32"/>
        </w:rPr>
        <w:t>万元，</w:t>
      </w:r>
      <w:r>
        <w:rPr>
          <w:rFonts w:hint="eastAsia" w:ascii="仿宋" w:hAnsi="仿宋" w:eastAsia="仿宋"/>
          <w:sz w:val="32"/>
          <w:szCs w:val="32"/>
          <w:lang w:eastAsia="zh-CN"/>
        </w:rPr>
        <w:t>其中：</w:t>
      </w:r>
      <w:r>
        <w:rPr>
          <w:rFonts w:hint="eastAsia" w:ascii="仿宋" w:hAnsi="仿宋" w:eastAsia="仿宋"/>
          <w:sz w:val="32"/>
          <w:szCs w:val="32"/>
        </w:rPr>
        <w:t>新型工业化引导资金（</w:t>
      </w:r>
      <w:r>
        <w:rPr>
          <w:rFonts w:hint="eastAsia" w:ascii="仿宋" w:hAnsi="仿宋" w:eastAsia="仿宋"/>
          <w:sz w:val="32"/>
          <w:szCs w:val="32"/>
          <w:lang w:eastAsia="zh-CN"/>
        </w:rPr>
        <w:t>服务央企和中小企业及工业经济发展</w:t>
      </w:r>
      <w:r>
        <w:rPr>
          <w:rFonts w:hint="eastAsia" w:ascii="仿宋" w:hAnsi="仿宋" w:eastAsia="仿宋"/>
          <w:sz w:val="32"/>
          <w:szCs w:val="32"/>
        </w:rPr>
        <w:t>）9万</w:t>
      </w:r>
      <w:r>
        <w:rPr>
          <w:rFonts w:hint="eastAsia" w:ascii="仿宋" w:hAnsi="仿宋" w:eastAsia="仿宋"/>
          <w:sz w:val="32"/>
          <w:szCs w:val="32"/>
          <w:lang w:eastAsia="zh-CN"/>
        </w:rPr>
        <w:t>元，新型工业化引导资金（公车监控系统运行经费）</w:t>
      </w:r>
      <w:r>
        <w:rPr>
          <w:rFonts w:hint="eastAsia" w:ascii="仿宋" w:hAnsi="仿宋" w:eastAsia="仿宋"/>
          <w:sz w:val="32"/>
          <w:szCs w:val="32"/>
          <w:lang w:val="en-US" w:eastAsia="zh-CN"/>
        </w:rPr>
        <w:t>4万元，</w:t>
      </w:r>
      <w:r>
        <w:rPr>
          <w:rFonts w:hint="eastAsia" w:ascii="仿宋" w:hAnsi="仿宋" w:eastAsia="仿宋"/>
          <w:sz w:val="32"/>
          <w:szCs w:val="32"/>
          <w:lang w:eastAsia="zh-CN"/>
        </w:rPr>
        <w:t>承办企业党员“国企党建与现代经济理论”专题培训班经费</w:t>
      </w:r>
      <w:r>
        <w:rPr>
          <w:rFonts w:hint="eastAsia" w:ascii="仿宋" w:hAnsi="仿宋" w:eastAsia="仿宋"/>
          <w:sz w:val="32"/>
          <w:szCs w:val="32"/>
          <w:lang w:val="en-US" w:eastAsia="zh-CN"/>
        </w:rPr>
        <w:t>29.22万元</w:t>
      </w:r>
      <w:r>
        <w:rPr>
          <w:rFonts w:hint="eastAsia" w:ascii="仿宋" w:hAnsi="仿宋" w:eastAsia="仿宋"/>
          <w:sz w:val="32"/>
          <w:szCs w:val="32"/>
        </w:rPr>
        <w:t>。</w:t>
      </w:r>
    </w:p>
    <w:p>
      <w:pPr>
        <w:ind w:firstLine="643" w:firstLineChars="200"/>
        <w:jc w:val="left"/>
        <w:rPr>
          <w:rFonts w:hint="eastAsia" w:ascii="楷体" w:hAnsi="楷体" w:eastAsia="楷体" w:cs="仿宋_GB2312"/>
          <w:b/>
          <w:bCs/>
          <w:sz w:val="32"/>
          <w:szCs w:val="32"/>
        </w:rPr>
      </w:pPr>
      <w:r>
        <w:rPr>
          <w:rFonts w:hint="eastAsia" w:ascii="楷体" w:hAnsi="楷体" w:eastAsia="楷体"/>
          <w:b/>
          <w:sz w:val="32"/>
          <w:szCs w:val="32"/>
        </w:rPr>
        <w:t>（2）</w:t>
      </w:r>
      <w:r>
        <w:rPr>
          <w:rFonts w:hint="eastAsia" w:ascii="楷体" w:hAnsi="楷体" w:eastAsia="楷体" w:cs="仿宋_GB2312"/>
          <w:b/>
          <w:bCs/>
          <w:sz w:val="32"/>
          <w:szCs w:val="32"/>
        </w:rPr>
        <w:t>专项资金实际使用情况分析</w:t>
      </w:r>
    </w:p>
    <w:p>
      <w:pPr>
        <w:ind w:firstLine="640" w:firstLineChars="200"/>
        <w:jc w:val="left"/>
        <w:rPr>
          <w:rFonts w:hint="eastAsia" w:ascii="仿宋" w:hAnsi="仿宋" w:eastAsia="仿宋"/>
          <w:sz w:val="30"/>
          <w:szCs w:val="30"/>
          <w:lang w:eastAsia="zh-CN"/>
        </w:rPr>
      </w:pPr>
      <w:r>
        <w:rPr>
          <w:rFonts w:hint="eastAsia" w:ascii="仿宋" w:hAnsi="仿宋" w:eastAsia="仿宋"/>
          <w:sz w:val="32"/>
          <w:szCs w:val="32"/>
        </w:rPr>
        <w:t>新型工业化引导资金（</w:t>
      </w:r>
      <w:r>
        <w:rPr>
          <w:rFonts w:hint="eastAsia" w:ascii="仿宋" w:hAnsi="仿宋" w:eastAsia="仿宋"/>
          <w:sz w:val="32"/>
          <w:szCs w:val="32"/>
          <w:lang w:eastAsia="zh-CN"/>
        </w:rPr>
        <w:t>服务央企和中小企业及工业经济发展</w:t>
      </w:r>
      <w:r>
        <w:rPr>
          <w:rFonts w:hint="eastAsia" w:ascii="仿宋" w:hAnsi="仿宋" w:eastAsia="仿宋"/>
          <w:sz w:val="32"/>
          <w:szCs w:val="32"/>
        </w:rPr>
        <w:t>）主要用于日常公用经费。</w:t>
      </w:r>
      <w:r>
        <w:rPr>
          <w:rFonts w:hint="eastAsia" w:ascii="仿宋" w:hAnsi="仿宋" w:eastAsia="仿宋"/>
          <w:sz w:val="32"/>
          <w:szCs w:val="32"/>
          <w:lang w:val="en-US" w:eastAsia="zh-CN"/>
        </w:rPr>
        <w:t>2021年，</w:t>
      </w:r>
      <w:r>
        <w:rPr>
          <w:rFonts w:hint="eastAsia" w:ascii="仿宋" w:hAnsi="仿宋" w:eastAsia="仿宋" w:cs="仿宋_GB2312"/>
          <w:sz w:val="32"/>
          <w:szCs w:val="32"/>
        </w:rPr>
        <w:t>我委积极对接央企、省企，</w:t>
      </w:r>
      <w:r>
        <w:rPr>
          <w:rFonts w:ascii="仿宋" w:hAnsi="仿宋" w:eastAsia="仿宋"/>
          <w:sz w:val="32"/>
          <w:szCs w:val="32"/>
        </w:rPr>
        <w:t>多次与各县市、园区、市直有关部门和央企进行了对接</w:t>
      </w:r>
      <w:r>
        <w:rPr>
          <w:rFonts w:hint="eastAsia" w:ascii="仿宋" w:hAnsi="仿宋" w:eastAsia="仿宋"/>
          <w:sz w:val="32"/>
          <w:szCs w:val="32"/>
        </w:rPr>
        <w:t>。多次就中国船舶集团LNG项目进行衔接，4月中旬，赴北京对接相关工作，9月到广东省能源局、中船集团、中集集团学习考察船舶“油改气”及LNG加注站运营工作；参与协调三峡集团智慧水管家项目资产收购事宜，组织市水务集团与长江生态环保公司进行前期对接，做好水务集团内部资产财务清理工作，协调进场审计评估、清产核资的前期准备工作等</w:t>
      </w:r>
      <w:r>
        <w:rPr>
          <w:rFonts w:hint="eastAsia" w:ascii="仿宋" w:hAnsi="仿宋" w:eastAsia="仿宋"/>
          <w:sz w:val="32"/>
          <w:szCs w:val="32"/>
          <w:lang w:eastAsia="zh-CN"/>
        </w:rPr>
        <w:t>。</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新型工业化引导资金（公车监控系统运行经费）</w:t>
      </w:r>
      <w:r>
        <w:rPr>
          <w:rFonts w:hint="eastAsia" w:ascii="仿宋" w:hAnsi="仿宋" w:eastAsia="仿宋"/>
          <w:sz w:val="32"/>
          <w:szCs w:val="32"/>
        </w:rPr>
        <w:t>主要用于日常公用经费</w:t>
      </w:r>
      <w:r>
        <w:rPr>
          <w:rFonts w:hint="eastAsia" w:ascii="仿宋" w:hAnsi="仿宋" w:eastAsia="仿宋"/>
          <w:sz w:val="32"/>
          <w:szCs w:val="32"/>
          <w:lang w:eastAsia="zh-CN"/>
        </w:rPr>
        <w:t>。</w:t>
      </w:r>
      <w:r>
        <w:rPr>
          <w:rFonts w:hint="eastAsia" w:ascii="仿宋" w:hAnsi="仿宋" w:eastAsia="仿宋"/>
          <w:sz w:val="32"/>
          <w:szCs w:val="32"/>
        </w:rPr>
        <w:t>根据岳阳市公务用车制度改革领导小组《关于岳阳市市属国有企业公务用车制度改革的实施意见》（岳车改[2019]2号）文件精神，岳阳市国资委负责市属国有企业公务用车的日常监督管理，建立并督促有关单位和个人落实公车管理相关制度。我委按照文件要求于2019年完成市属国有企业公务用制度改革，2020年安装北斗卫星定位车载终端，</w:t>
      </w:r>
      <w:r>
        <w:rPr>
          <w:rFonts w:hint="eastAsia" w:ascii="仿宋" w:hAnsi="仿宋" w:eastAsia="仿宋"/>
          <w:sz w:val="32"/>
          <w:szCs w:val="32"/>
          <w:lang w:eastAsia="zh-CN"/>
        </w:rPr>
        <w:t>截止</w:t>
      </w:r>
      <w:r>
        <w:rPr>
          <w:rFonts w:hint="eastAsia" w:ascii="仿宋" w:hAnsi="仿宋" w:eastAsia="仿宋"/>
          <w:sz w:val="32"/>
          <w:szCs w:val="32"/>
          <w:lang w:val="en-US" w:eastAsia="zh-CN"/>
        </w:rPr>
        <w:t>2021年底，共计完成50台车辆的安装，</w:t>
      </w:r>
      <w:r>
        <w:rPr>
          <w:rFonts w:hint="eastAsia" w:ascii="仿宋" w:hAnsi="仿宋" w:eastAsia="仿宋"/>
          <w:sz w:val="32"/>
          <w:szCs w:val="32"/>
          <w:lang w:eastAsia="zh-CN"/>
        </w:rPr>
        <w:t>后期将</w:t>
      </w:r>
      <w:r>
        <w:rPr>
          <w:rFonts w:hint="eastAsia" w:ascii="仿宋" w:hAnsi="仿宋" w:eastAsia="仿宋"/>
          <w:sz w:val="32"/>
          <w:szCs w:val="32"/>
        </w:rPr>
        <w:t>支付车载监控管理平台运营费</w:t>
      </w:r>
      <w:r>
        <w:rPr>
          <w:rFonts w:hint="eastAsia" w:ascii="仿宋" w:hAnsi="仿宋" w:eastAsia="仿宋"/>
          <w:sz w:val="32"/>
          <w:szCs w:val="32"/>
          <w:lang w:eastAsia="zh-CN"/>
        </w:rPr>
        <w:t>。</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承办企业党员“国企党建与现代经济理论”专题培训班经费主要用于日常公用经费。为学习贯彻习近平总书记在全国国有企业党的建设工作会议上的重要讲话精神，完善企业党员的知识结构，开阔视野，更新观念，努力打造一支高素质的企业党员队伍，岳阳市国资委先后赴洞庭湖博物馆、何长工纪念馆、汝城县文明乡沙洲村、任弼时纪念馆，在韶山举办了两期市属国有企业党员“国企党建与现代经济理论”专题培训班，并支付相关培训费用。</w:t>
      </w:r>
    </w:p>
    <w:p>
      <w:pPr>
        <w:spacing w:line="560" w:lineRule="exact"/>
        <w:ind w:firstLine="643" w:firstLineChars="200"/>
        <w:rPr>
          <w:rFonts w:ascii="楷体" w:hAnsi="楷体" w:eastAsia="楷体" w:cs="仿宋_GB2312"/>
          <w:b/>
          <w:bCs/>
          <w:sz w:val="32"/>
          <w:szCs w:val="32"/>
        </w:rPr>
      </w:pPr>
      <w:r>
        <w:rPr>
          <w:rFonts w:hint="eastAsia" w:ascii="楷体" w:hAnsi="楷体" w:eastAsia="楷体"/>
          <w:b/>
          <w:sz w:val="32"/>
          <w:szCs w:val="32"/>
        </w:rPr>
        <w:t>（3）</w:t>
      </w:r>
      <w:r>
        <w:rPr>
          <w:rFonts w:hint="eastAsia" w:ascii="楷体" w:hAnsi="楷体" w:eastAsia="楷体" w:cs="仿宋_GB2312"/>
          <w:b/>
          <w:bCs/>
          <w:sz w:val="32"/>
          <w:szCs w:val="32"/>
        </w:rPr>
        <w:t>专项资金管理情况分析</w:t>
      </w:r>
    </w:p>
    <w:p>
      <w:pPr>
        <w:ind w:firstLine="640" w:firstLineChars="200"/>
        <w:jc w:val="left"/>
        <w:rPr>
          <w:rFonts w:ascii="仿宋" w:hAnsi="仿宋" w:eastAsia="仿宋"/>
          <w:sz w:val="32"/>
          <w:szCs w:val="32"/>
        </w:rPr>
      </w:pPr>
      <w:r>
        <w:rPr>
          <w:rFonts w:hint="eastAsia" w:ascii="仿宋" w:hAnsi="仿宋" w:eastAsia="仿宋"/>
          <w:color w:val="000000" w:themeColor="text1"/>
          <w:sz w:val="32"/>
          <w:szCs w:val="32"/>
          <w:shd w:val="clear" w:color="auto" w:fill="FFFFFF"/>
        </w:rPr>
        <w:t>我委项目资金管理依照《会计法》、《会计基础工作规范》、《行政单位财务制度》、《行政单位会计制度》、《国库集中支付管理规定》和《本单位财务管理制度》与财政年初预算安排的行政运行资金集合管理使用，采取总量控制、计划管理，按预算科目和项目资金的使用规定，坚持勤俭节约、量入为出，保证重点、兼顾一般、从严控制，重大财务事项集体决策防范风险、科学管理，委机关、纪检负责监督全部专项资金的管理使用，在保障各项工作有序开展的同时，确保每一分钱都发挥最大作用。</w:t>
      </w:r>
    </w:p>
    <w:p>
      <w:pPr>
        <w:ind w:firstLine="640" w:firstLineChars="200"/>
        <w:rPr>
          <w:rFonts w:ascii="黑体" w:eastAsia="黑体"/>
          <w:sz w:val="32"/>
          <w:szCs w:val="32"/>
        </w:rPr>
      </w:pPr>
      <w:r>
        <w:rPr>
          <w:rFonts w:hint="eastAsia" w:ascii="黑体" w:eastAsia="黑体"/>
          <w:sz w:val="32"/>
          <w:szCs w:val="32"/>
        </w:rPr>
        <w:t>三、部门专项组织实施情况</w:t>
      </w:r>
    </w:p>
    <w:p>
      <w:pPr>
        <w:pStyle w:val="7"/>
        <w:shd w:val="clear" w:color="auto" w:fill="FFFFFF"/>
        <w:spacing w:before="0" w:beforeAutospacing="0" w:after="0" w:afterAutospacing="0" w:line="48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对专项资金的管理我委建立了专项资金管理办法，遵循专款专用、独立核算的管理原则；专项项目的申报严格按照市财政资金管理的要求进行，专项资金财政拨款到位后及时进行项目的开展和资金的投入。我单位目前对专项资金的管理按照项目支出涉及的经济科目的明细项目，根据财务管理办法的相关制度执行。</w:t>
      </w:r>
    </w:p>
    <w:p>
      <w:pPr>
        <w:pStyle w:val="7"/>
        <w:shd w:val="clear" w:color="auto" w:fill="FFFFFF"/>
        <w:spacing w:before="0" w:beforeAutospacing="0" w:after="0" w:afterAutospacing="0" w:line="480" w:lineRule="auto"/>
        <w:ind w:firstLine="480"/>
        <w:jc w:val="both"/>
        <w:rPr>
          <w:rFonts w:ascii="仿宋" w:hAnsi="仿宋" w:eastAsia="仿宋"/>
          <w:color w:val="000000"/>
          <w:sz w:val="32"/>
          <w:szCs w:val="32"/>
        </w:rPr>
      </w:pPr>
      <w:r>
        <w:rPr>
          <w:rFonts w:hint="eastAsia" w:ascii="仿宋" w:hAnsi="仿宋" w:eastAsia="仿宋"/>
          <w:color w:val="000000"/>
          <w:sz w:val="32"/>
          <w:szCs w:val="32"/>
        </w:rPr>
        <w:t>专项资金中涉及的项目招投标、政府采购事项，严格按照程序要求，对公开招标的项目参与投标报价单位不少于三家，相关部门参与采购谈判，同时严格合同签订，落实采招物资和服务的验收，做好资金支付的审核审批手续。</w:t>
      </w:r>
    </w:p>
    <w:p>
      <w:pPr>
        <w:ind w:firstLine="640" w:firstLineChars="200"/>
        <w:rPr>
          <w:rFonts w:ascii="黑体" w:eastAsia="黑体"/>
          <w:sz w:val="32"/>
          <w:szCs w:val="32"/>
        </w:rPr>
      </w:pPr>
      <w:r>
        <w:rPr>
          <w:rFonts w:hint="eastAsia" w:ascii="黑体" w:eastAsia="黑体"/>
          <w:sz w:val="32"/>
          <w:szCs w:val="32"/>
        </w:rPr>
        <w:t>四、部门整体支出绩效情况</w:t>
      </w:r>
    </w:p>
    <w:p>
      <w:pPr>
        <w:ind w:firstLine="643" w:firstLineChars="200"/>
        <w:rPr>
          <w:rFonts w:ascii="楷体" w:hAnsi="楷体" w:eastAsia="楷体"/>
          <w:b/>
          <w:sz w:val="32"/>
          <w:szCs w:val="32"/>
        </w:rPr>
      </w:pPr>
      <w:r>
        <w:rPr>
          <w:rFonts w:hint="eastAsia" w:ascii="楷体" w:hAnsi="楷体" w:eastAsia="楷体"/>
          <w:b/>
          <w:sz w:val="32"/>
          <w:szCs w:val="32"/>
        </w:rPr>
        <w:t xml:space="preserve"> (一)经济性评价方面</w:t>
      </w:r>
    </w:p>
    <w:p>
      <w:pPr>
        <w:ind w:firstLine="645"/>
        <w:rPr>
          <w:rFonts w:ascii="仿宋" w:hAnsi="仿宋" w:eastAsia="仿宋"/>
          <w:sz w:val="32"/>
          <w:szCs w:val="32"/>
        </w:rPr>
      </w:pPr>
      <w:r>
        <w:rPr>
          <w:rFonts w:hint="eastAsia" w:ascii="仿宋" w:hAnsi="仿宋" w:eastAsia="仿宋"/>
          <w:sz w:val="32"/>
          <w:szCs w:val="32"/>
        </w:rPr>
        <w:t>1、本年预算配置控制</w:t>
      </w:r>
      <w:r>
        <w:rPr>
          <w:rFonts w:hint="eastAsia" w:ascii="仿宋" w:hAnsi="仿宋" w:eastAsia="仿宋"/>
          <w:sz w:val="32"/>
          <w:szCs w:val="32"/>
          <w:lang w:eastAsia="zh-CN"/>
        </w:rPr>
        <w:t>良</w:t>
      </w:r>
      <w:r>
        <w:rPr>
          <w:rFonts w:hint="eastAsia" w:ascii="仿宋" w:hAnsi="仿宋" w:eastAsia="仿宋"/>
          <w:sz w:val="32"/>
          <w:szCs w:val="32"/>
        </w:rPr>
        <w:t>好，三公经费预算总额较上年减少</w:t>
      </w:r>
      <w:r>
        <w:rPr>
          <w:rFonts w:hint="eastAsia" w:ascii="仿宋" w:hAnsi="仿宋" w:eastAsia="仿宋"/>
          <w:sz w:val="32"/>
          <w:szCs w:val="32"/>
          <w:lang w:val="en-US" w:eastAsia="zh-CN"/>
        </w:rPr>
        <w:t>73.35</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年度编制部门核定我委人员编制32名，其中行政编制27名，机关后勤服务事业编制1名，国有企业监事会主席行政编制单列，按实际情况核定。实有在职人数 2</w:t>
      </w:r>
      <w:r>
        <w:rPr>
          <w:rFonts w:hint="eastAsia" w:ascii="仿宋" w:hAnsi="仿宋" w:eastAsia="仿宋"/>
          <w:sz w:val="32"/>
          <w:szCs w:val="32"/>
          <w:lang w:val="en-US" w:eastAsia="zh-CN"/>
        </w:rPr>
        <w:t>9</w:t>
      </w:r>
      <w:r>
        <w:rPr>
          <w:rFonts w:hint="eastAsia" w:ascii="仿宋" w:hAnsi="仿宋" w:eastAsia="仿宋"/>
          <w:sz w:val="32"/>
          <w:szCs w:val="32"/>
        </w:rPr>
        <w:t>人，</w:t>
      </w:r>
      <w:r>
        <w:rPr>
          <w:rFonts w:hint="eastAsia" w:ascii="仿宋" w:hAnsi="仿宋" w:eastAsia="仿宋"/>
          <w:sz w:val="32"/>
          <w:szCs w:val="32"/>
          <w:lang w:eastAsia="zh-CN"/>
        </w:rPr>
        <w:t>其中行政人员</w:t>
      </w:r>
      <w:r>
        <w:rPr>
          <w:rFonts w:hint="eastAsia" w:ascii="仿宋" w:hAnsi="仿宋" w:eastAsia="仿宋"/>
          <w:sz w:val="32"/>
          <w:szCs w:val="32"/>
          <w:lang w:val="en-US" w:eastAsia="zh-CN"/>
        </w:rPr>
        <w:t>25人，</w:t>
      </w:r>
      <w:r>
        <w:rPr>
          <w:rFonts w:hint="eastAsia" w:ascii="仿宋" w:hAnsi="仿宋" w:eastAsia="仿宋"/>
          <w:sz w:val="32"/>
          <w:szCs w:val="32"/>
        </w:rPr>
        <w:t>国有企业监事会主席4人，未超编。</w:t>
      </w:r>
    </w:p>
    <w:p>
      <w:pPr>
        <w:ind w:firstLine="645"/>
        <w:rPr>
          <w:rFonts w:hint="eastAsia" w:ascii="仿宋" w:hAnsi="仿宋" w:eastAsia="仿宋"/>
          <w:sz w:val="32"/>
          <w:szCs w:val="32"/>
          <w:lang w:eastAsia="zh-CN"/>
        </w:rPr>
      </w:pPr>
      <w:r>
        <w:rPr>
          <w:rFonts w:hint="eastAsia" w:ascii="仿宋" w:hAnsi="仿宋" w:eastAsia="仿宋"/>
          <w:sz w:val="32"/>
          <w:szCs w:val="32"/>
        </w:rPr>
        <w:t>2、预算执行方面，支出总额控制在</w:t>
      </w:r>
      <w:r>
        <w:rPr>
          <w:rFonts w:hint="eastAsia" w:ascii="仿宋" w:hAnsi="仿宋" w:eastAsia="仿宋"/>
          <w:sz w:val="32"/>
          <w:szCs w:val="32"/>
          <w:lang w:eastAsia="zh-CN"/>
        </w:rPr>
        <w:t>收入</w:t>
      </w:r>
      <w:r>
        <w:rPr>
          <w:rFonts w:hint="eastAsia" w:ascii="仿宋" w:hAnsi="仿宋" w:eastAsia="仿宋"/>
          <w:sz w:val="32"/>
          <w:szCs w:val="32"/>
        </w:rPr>
        <w:t>总额以内，除政策性工资绩效预算的追加外，本年</w:t>
      </w:r>
      <w:r>
        <w:rPr>
          <w:rFonts w:hint="eastAsia" w:ascii="仿宋" w:hAnsi="仿宋" w:eastAsia="仿宋"/>
          <w:sz w:val="32"/>
          <w:szCs w:val="32"/>
          <w:lang w:eastAsia="zh-CN"/>
        </w:rPr>
        <w:t>还追加了全国文明城市建设工作经费、公车监控系统运行经费、承办企业党员“国企党建与现代经济理论”专题培训班经费等经费。</w:t>
      </w:r>
    </w:p>
    <w:p>
      <w:pPr>
        <w:ind w:firstLine="640" w:firstLineChars="200"/>
        <w:rPr>
          <w:rFonts w:ascii="仿宋" w:hAnsi="仿宋" w:eastAsia="仿宋"/>
          <w:sz w:val="32"/>
          <w:szCs w:val="32"/>
        </w:rPr>
      </w:pPr>
      <w:r>
        <w:rPr>
          <w:rFonts w:hint="eastAsia" w:ascii="仿宋" w:hAnsi="仿宋" w:eastAsia="仿宋"/>
          <w:sz w:val="32"/>
          <w:szCs w:val="32"/>
        </w:rPr>
        <w:t>预算管理方面，制度执行总体较为有效，仍需进一步强化；</w:t>
      </w:r>
    </w:p>
    <w:p>
      <w:pPr>
        <w:ind w:firstLine="640" w:firstLineChars="200"/>
        <w:rPr>
          <w:rFonts w:ascii="仿宋" w:hAnsi="仿宋" w:eastAsia="仿宋"/>
          <w:sz w:val="32"/>
          <w:szCs w:val="32"/>
        </w:rPr>
      </w:pPr>
      <w:r>
        <w:rPr>
          <w:rFonts w:hint="eastAsia" w:ascii="仿宋" w:hAnsi="仿宋" w:eastAsia="仿宋"/>
          <w:sz w:val="32"/>
          <w:szCs w:val="32"/>
        </w:rPr>
        <w:t>资金使用管理需进一步加强。资产管理方面建立了资产管理制度，定期进行了盘点和资产清理，总体执行较好。</w:t>
      </w:r>
    </w:p>
    <w:p>
      <w:pPr>
        <w:ind w:firstLine="645"/>
        <w:rPr>
          <w:rFonts w:ascii="楷体_GB2312" w:eastAsia="楷体_GB2312"/>
          <w:b/>
          <w:sz w:val="32"/>
          <w:szCs w:val="32"/>
        </w:rPr>
      </w:pPr>
      <w:r>
        <w:rPr>
          <w:rFonts w:hint="eastAsia" w:ascii="仿宋" w:hAnsi="仿宋" w:eastAsia="仿宋"/>
          <w:sz w:val="32"/>
          <w:szCs w:val="32"/>
        </w:rPr>
        <w:t>根据部门整体支出绩效评价指标体系，本委2020年度评价得分9</w:t>
      </w:r>
      <w:r>
        <w:rPr>
          <w:rFonts w:hint="eastAsia" w:ascii="仿宋" w:hAnsi="仿宋" w:eastAsia="仿宋"/>
          <w:sz w:val="32"/>
          <w:szCs w:val="32"/>
          <w:lang w:val="en-US" w:eastAsia="zh-CN"/>
        </w:rPr>
        <w:t>6.5</w:t>
      </w:r>
      <w:r>
        <w:rPr>
          <w:rFonts w:hint="eastAsia" w:ascii="仿宋" w:hAnsi="仿宋" w:eastAsia="仿宋"/>
          <w:sz w:val="32"/>
          <w:szCs w:val="32"/>
        </w:rPr>
        <w:t>分，评价等次为优秀。</w:t>
      </w:r>
    </w:p>
    <w:p>
      <w:pPr>
        <w:ind w:firstLine="643" w:firstLineChars="200"/>
        <w:rPr>
          <w:rFonts w:ascii="楷体" w:hAnsi="楷体" w:eastAsia="楷体" w:cs="仿宋_GB2312"/>
          <w:color w:val="000000"/>
          <w:sz w:val="32"/>
          <w:szCs w:val="32"/>
        </w:rPr>
      </w:pPr>
      <w:r>
        <w:rPr>
          <w:rFonts w:hint="eastAsia" w:ascii="楷体" w:hAnsi="楷体" w:eastAsia="楷体"/>
          <w:b/>
          <w:sz w:val="32"/>
          <w:szCs w:val="32"/>
        </w:rPr>
        <w:t>(二)效率性分析和有效性分析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_GB2312"/>
          <w:spacing w:val="6"/>
          <w:sz w:val="32"/>
          <w:szCs w:val="32"/>
        </w:rPr>
      </w:pP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eastAsia="zh-CN"/>
        </w:rPr>
        <w:t>省国资委、</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rPr>
        <w:t>委、市政府的坚强领导下，</w:t>
      </w:r>
      <w:r>
        <w:rPr>
          <w:rFonts w:hint="eastAsia" w:ascii="仿宋_GB2312" w:hAnsi="仿宋_GB2312" w:eastAsia="仿宋_GB2312" w:cs="仿宋_GB2312"/>
          <w:color w:val="000000"/>
          <w:sz w:val="32"/>
          <w:lang w:eastAsia="zh-CN"/>
        </w:rPr>
        <w:t>我委以管资本为主加快推进职能转变，持续深化国企改革，完善国资监管，推进转型增效，强化国企党建，成效显著。</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 w:eastAsia="仿宋_GB2312" w:cs="仿宋_GB2312"/>
          <w:spacing w:val="6"/>
          <w:sz w:val="32"/>
          <w:szCs w:val="32"/>
        </w:rPr>
      </w:pPr>
      <w:r>
        <w:rPr>
          <w:rStyle w:val="14"/>
          <w:rFonts w:hint="eastAsia" w:ascii="楷体" w:hAnsi="楷体" w:eastAsia="楷体" w:cs="楷体"/>
          <w:b/>
          <w:bCs/>
          <w:color w:val="auto"/>
          <w:kern w:val="2"/>
          <w:sz w:val="32"/>
          <w:szCs w:val="32"/>
          <w:highlight w:val="none"/>
          <w:lang w:val="en-US" w:eastAsia="zh-CN" w:bidi="ar-SA"/>
        </w:rPr>
        <w:t>1、推进混合所有制改革。</w:t>
      </w:r>
      <w:r>
        <w:rPr>
          <w:rFonts w:hint="eastAsia" w:ascii="仿宋_GB2312" w:hAnsi="仿宋" w:eastAsia="仿宋_GB2312" w:cs="仿宋_GB2312"/>
          <w:spacing w:val="6"/>
          <w:sz w:val="32"/>
          <w:szCs w:val="32"/>
        </w:rPr>
        <w:t>采取分层分类，成熟一家、推进一家的方式，与融创中国、恒大集团的合作推进商业</w:t>
      </w:r>
      <w:r>
        <w:rPr>
          <w:rFonts w:hint="eastAsia" w:ascii="仿宋_GB2312" w:hAnsi="仿宋" w:eastAsia="仿宋_GB2312" w:cs="仿宋_GB2312"/>
          <w:spacing w:val="6"/>
          <w:sz w:val="32"/>
          <w:szCs w:val="32"/>
          <w:lang w:eastAsia="zh-CN"/>
        </w:rPr>
        <w:t>房地产</w:t>
      </w:r>
      <w:r>
        <w:rPr>
          <w:rFonts w:hint="eastAsia" w:ascii="仿宋_GB2312" w:hAnsi="仿宋" w:eastAsia="仿宋_GB2312" w:cs="仿宋_GB2312"/>
          <w:spacing w:val="6"/>
          <w:sz w:val="32"/>
          <w:szCs w:val="32"/>
        </w:rPr>
        <w:t>开发，入股民营企业进入新型建材、装备式制造行业，向实体经济发展。在与融创中国、恒大集团的合作中，都由合作方控股，设置董事会、监事会和经理层分权运行、相互制衡的治理结构。市交投集团正在研究结合岳阳市中心医院的建设，发展月子中心业务，参考“冰山模式”，引入社会资本开展混合所有制改革。</w:t>
      </w:r>
    </w:p>
    <w:p>
      <w:pPr>
        <w:ind w:firstLine="643" w:firstLineChars="200"/>
        <w:jc w:val="both"/>
        <w:rPr>
          <w:rFonts w:hint="eastAsia" w:ascii="仿宋_GB2312" w:hAnsi="仿宋" w:eastAsia="仿宋_GB2312" w:cs="仿宋_GB2312"/>
          <w:spacing w:val="6"/>
          <w:sz w:val="32"/>
          <w:szCs w:val="32"/>
          <w:lang w:eastAsia="zh-CN"/>
        </w:rPr>
      </w:pPr>
      <w:r>
        <w:rPr>
          <w:rStyle w:val="14"/>
          <w:rFonts w:hint="eastAsia" w:ascii="楷体" w:hAnsi="楷体" w:eastAsia="楷体" w:cs="楷体"/>
          <w:b/>
          <w:bCs/>
          <w:color w:val="auto"/>
          <w:kern w:val="2"/>
          <w:sz w:val="32"/>
          <w:szCs w:val="32"/>
          <w:highlight w:val="none"/>
          <w:lang w:val="en-US" w:eastAsia="zh-CN" w:bidi="ar-SA"/>
        </w:rPr>
        <w:t>2、重组整合国有资本。</w:t>
      </w:r>
      <w:r>
        <w:rPr>
          <w:rFonts w:hint="eastAsia" w:ascii="仿宋_GB2312" w:hAnsi="仿宋" w:eastAsia="仿宋_GB2312" w:cs="仿宋_GB2312"/>
          <w:spacing w:val="6"/>
          <w:sz w:val="32"/>
          <w:szCs w:val="32"/>
          <w:lang w:val="en-US" w:eastAsia="zh-CN"/>
        </w:rPr>
        <w:t>按照一个平台运营模式，对岳阳楼、君山公园、洞博馆、洞庭南路历史文化街区、岳州古城、幕阜山、南湖宾馆等文旅项目统一运营、深度开发、提质升级；</w:t>
      </w:r>
      <w:r>
        <w:rPr>
          <w:rFonts w:hint="eastAsia" w:ascii="仿宋_GB2312" w:hAnsi="仿宋" w:eastAsia="仿宋_GB2312" w:cs="仿宋_GB2312"/>
          <w:spacing w:val="6"/>
          <w:kern w:val="2"/>
          <w:sz w:val="32"/>
          <w:szCs w:val="32"/>
          <w:lang w:val="en-US" w:eastAsia="zh-CN" w:bidi="ar-SA"/>
        </w:rPr>
        <w:t>成立岳阳市农业发展集团，助力我市乡村振兴和农村农业发展</w:t>
      </w:r>
      <w:r>
        <w:rPr>
          <w:rFonts w:hint="eastAsia" w:ascii="仿宋_GB2312" w:hAnsi="仿宋" w:eastAsia="仿宋_GB2312" w:cs="仿宋_GB2312"/>
          <w:spacing w:val="6"/>
          <w:sz w:val="32"/>
          <w:szCs w:val="32"/>
          <w:lang w:eastAsia="zh-CN"/>
        </w:rPr>
        <w:t>；</w:t>
      </w:r>
      <w:r>
        <w:rPr>
          <w:rFonts w:hint="eastAsia" w:ascii="仿宋_GB2312" w:hAnsi="仿宋" w:eastAsia="仿宋_GB2312" w:cs="仿宋_GB2312"/>
          <w:spacing w:val="6"/>
          <w:kern w:val="2"/>
          <w:sz w:val="32"/>
          <w:szCs w:val="32"/>
          <w:lang w:val="en-US" w:eastAsia="zh-CN" w:bidi="ar-SA"/>
        </w:rPr>
        <w:t>筹备整合组建岳阳市能源集团；</w:t>
      </w:r>
      <w:r>
        <w:rPr>
          <w:rFonts w:hint="eastAsia" w:ascii="仿宋_GB2312" w:hAnsi="仿宋" w:eastAsia="仿宋_GB2312" w:cs="仿宋_GB2312"/>
          <w:spacing w:val="6"/>
          <w:sz w:val="32"/>
          <w:szCs w:val="32"/>
        </w:rPr>
        <w:t>以原规划设计院为主体整合了园林设计公司，后续还将整合市本级各类国有工程咨询类企业，改组组建岳阳市工程咨询集团。</w:t>
      </w:r>
      <w:r>
        <w:rPr>
          <w:rFonts w:hint="eastAsia" w:ascii="仿宋_GB2312" w:hAnsi="仿宋" w:eastAsia="仿宋_GB2312" w:cs="仿宋_GB2312"/>
          <w:spacing w:val="6"/>
          <w:kern w:val="2"/>
          <w:sz w:val="32"/>
          <w:szCs w:val="32"/>
          <w:lang w:val="en-US" w:eastAsia="zh-CN" w:bidi="ar-SA"/>
        </w:rPr>
        <w:t>积极引导国有资本投向战略性新兴产业。交投集团投向智慧城市、海绵城市、港航物流等；城投集团从“建设开发商”向“城市运营商”“产业运营商”“服务提供商”转变。积极与三峡集团合作，推</w:t>
      </w:r>
      <w:r>
        <w:rPr>
          <w:rFonts w:hint="eastAsia" w:ascii="仿宋_GB2312" w:hAnsi="仿宋" w:eastAsia="仿宋_GB2312" w:cs="仿宋_GB2312"/>
          <w:spacing w:val="6"/>
          <w:sz w:val="32"/>
          <w:szCs w:val="32"/>
          <w:lang w:val="en-US" w:eastAsia="zh-CN"/>
        </w:rPr>
        <w:t>动涉水全产业链的资本布局，推进岳阳市智慧水管家模式的建立。</w:t>
      </w:r>
      <w:r>
        <w:rPr>
          <w:rFonts w:hint="eastAsia" w:ascii="仿宋_GB2312" w:hAnsi="仿宋" w:eastAsia="仿宋_GB2312" w:cs="仿宋_GB2312"/>
          <w:spacing w:val="6"/>
          <w:sz w:val="32"/>
          <w:szCs w:val="32"/>
        </w:rPr>
        <w:t>清理退出不具备优势的非主营业务和低效无效资产。市城投集团共清理21项对外投资，市交投集团清理7项对外投资，市港投集团清理3项对外投资，</w:t>
      </w:r>
      <w:r>
        <w:rPr>
          <w:rFonts w:hint="eastAsia" w:ascii="仿宋_GB2312" w:hAnsi="仿宋" w:eastAsia="仿宋_GB2312" w:cs="仿宋_GB2312"/>
          <w:spacing w:val="6"/>
          <w:sz w:val="32"/>
          <w:szCs w:val="32"/>
          <w:lang w:eastAsia="zh-CN"/>
        </w:rPr>
        <w:t>市国资公司清理</w:t>
      </w:r>
      <w:r>
        <w:rPr>
          <w:rFonts w:hint="eastAsia" w:ascii="仿宋_GB2312" w:hAnsi="仿宋" w:eastAsia="仿宋_GB2312" w:cs="仿宋_GB2312"/>
          <w:spacing w:val="6"/>
          <w:sz w:val="32"/>
          <w:szCs w:val="32"/>
          <w:lang w:val="en-US" w:eastAsia="zh-CN"/>
        </w:rPr>
        <w:t>2项</w:t>
      </w:r>
      <w:r>
        <w:rPr>
          <w:rFonts w:hint="eastAsia" w:ascii="仿宋_GB2312" w:hAnsi="仿宋" w:eastAsia="仿宋_GB2312" w:cs="仿宋_GB2312"/>
          <w:spacing w:val="6"/>
          <w:sz w:val="32"/>
          <w:szCs w:val="32"/>
          <w:lang w:eastAsia="zh-CN"/>
        </w:rPr>
        <w:t>对外投资，市三荷机场清理</w:t>
      </w:r>
      <w:r>
        <w:rPr>
          <w:rFonts w:hint="eastAsia" w:ascii="仿宋_GB2312" w:hAnsi="仿宋" w:eastAsia="仿宋_GB2312" w:cs="仿宋_GB2312"/>
          <w:spacing w:val="6"/>
          <w:sz w:val="32"/>
          <w:szCs w:val="32"/>
          <w:lang w:val="en-US" w:eastAsia="zh-CN"/>
        </w:rPr>
        <w:t>1项对外投资。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 w:eastAsia="仿宋_GB2312" w:cs="仿宋_GB2312"/>
          <w:spacing w:val="6"/>
          <w:sz w:val="32"/>
          <w:szCs w:val="32"/>
          <w:lang w:eastAsia="zh-CN"/>
        </w:rPr>
      </w:pPr>
      <w:r>
        <w:rPr>
          <w:rStyle w:val="14"/>
          <w:rFonts w:hint="eastAsia" w:ascii="楷体" w:hAnsi="楷体" w:eastAsia="楷体" w:cs="楷体"/>
          <w:b/>
          <w:bCs/>
          <w:color w:val="auto"/>
          <w:kern w:val="2"/>
          <w:sz w:val="32"/>
          <w:szCs w:val="32"/>
          <w:highlight w:val="none"/>
          <w:lang w:val="en-US" w:eastAsia="zh-CN" w:bidi="ar-SA"/>
        </w:rPr>
        <w:t>3、推进集中统一监管。</w:t>
      </w:r>
      <w:r>
        <w:rPr>
          <w:rFonts w:hint="eastAsia" w:ascii="仿宋_GB2312" w:hAnsi="仿宋" w:eastAsia="仿宋_GB2312" w:cs="仿宋_GB2312"/>
          <w:spacing w:val="6"/>
          <w:sz w:val="32"/>
          <w:szCs w:val="32"/>
        </w:rPr>
        <w:t>49家市直部门企业已通过依法退出、直接移交、委托监管、转企移交等方式基本实现集中统一监管</w:t>
      </w:r>
      <w:r>
        <w:rPr>
          <w:rFonts w:hint="eastAsia" w:ascii="仿宋_GB2312" w:hAnsi="仿宋" w:eastAsia="仿宋_GB2312" w:cs="仿宋_GB2312"/>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lang w:val="en-US" w:eastAsia="zh-CN"/>
        </w:rPr>
      </w:pPr>
      <w:r>
        <w:rPr>
          <w:rFonts w:hint="eastAsia" w:ascii="楷体" w:hAnsi="楷体" w:eastAsia="楷体" w:cs="楷体"/>
          <w:b/>
          <w:bCs/>
          <w:sz w:val="32"/>
          <w:szCs w:val="32"/>
          <w:lang w:val="en-US" w:eastAsia="zh-CN"/>
        </w:rPr>
        <w:t>4、改进考核方式。</w:t>
      </w:r>
      <w:r>
        <w:rPr>
          <w:rFonts w:hint="eastAsia" w:ascii="仿宋_GB2312" w:hAnsi="仿宋_GB2312" w:eastAsia="仿宋_GB2312" w:cs="仿宋_GB2312"/>
          <w:sz w:val="32"/>
          <w:szCs w:val="32"/>
          <w:u w:val="none"/>
        </w:rPr>
        <w:t>用好业绩考核指挥棒，</w:t>
      </w:r>
      <w:r>
        <w:rPr>
          <w:rFonts w:hint="eastAsia" w:ascii="仿宋_GB2312" w:hAnsi="仿宋_GB2312" w:eastAsia="仿宋_GB2312" w:cs="仿宋_GB2312"/>
          <w:sz w:val="32"/>
          <w:szCs w:val="32"/>
          <w:u w:val="none"/>
          <w:lang w:eastAsia="zh-CN"/>
        </w:rPr>
        <w:t>坚持分类分层精准考核的原则</w:t>
      </w:r>
      <w:r>
        <w:rPr>
          <w:rFonts w:hint="eastAsia" w:ascii="仿宋_GB2312" w:hAnsi="仿宋_GB2312" w:eastAsia="仿宋_GB2312" w:cs="仿宋_GB2312"/>
          <w:sz w:val="32"/>
          <w:szCs w:val="32"/>
          <w:u w:val="none"/>
        </w:rPr>
        <w:t>，对公益类企业突出社会效益和服务质量，对政府工程项目突出成本控制、推进进度、管理规范，对自营项目突出“两利两率”指标</w:t>
      </w:r>
      <w:r>
        <w:rPr>
          <w:rFonts w:hint="eastAsia" w:ascii="仿宋_GB2312" w:hAnsi="仿宋_GB2312" w:eastAsia="仿宋_GB2312" w:cs="仿宋_GB2312"/>
          <w:sz w:val="32"/>
          <w:szCs w:val="32"/>
          <w:u w:val="none"/>
          <w:lang w:eastAsia="zh-CN"/>
        </w:rPr>
        <w:t>。根据省国资委和其他兄弟市州国资委的经验做法，我委正在起草修订完善《岳阳市国资委监管企业负责人绩效考核办法》，要加大对企业整体经济效益、企业自营项目增效和项目投资收益考核权重，提高薪酬激励水平，真正实现“业绩增薪酬增、绩效降薪酬减”，全面激活企业动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rPr>
          <w:rStyle w:val="14"/>
          <w:rFonts w:hint="eastAsia" w:ascii="仿宋_GB2312" w:hAnsi="Times New Roman" w:eastAsia="仿宋_GB2312" w:cs="Times New Roman"/>
          <w:b w:val="0"/>
          <w:bCs w:val="0"/>
          <w:color w:val="auto"/>
          <w:kern w:val="2"/>
          <w:sz w:val="32"/>
          <w:szCs w:val="32"/>
          <w:highlight w:val="none"/>
          <w:u w:val="none"/>
          <w:lang w:val="en-US" w:eastAsia="zh-CN" w:bidi="ar-SA"/>
        </w:rPr>
      </w:pPr>
      <w:r>
        <w:rPr>
          <w:rStyle w:val="14"/>
          <w:rFonts w:hint="eastAsia" w:ascii="楷体" w:hAnsi="楷体" w:eastAsia="楷体" w:cs="楷体"/>
          <w:b/>
          <w:bCs/>
          <w:color w:val="auto"/>
          <w:kern w:val="2"/>
          <w:sz w:val="32"/>
          <w:szCs w:val="32"/>
          <w:highlight w:val="none"/>
          <w:lang w:val="en-US" w:eastAsia="zh-CN" w:bidi="ar-SA"/>
        </w:rPr>
        <w:t>5、打造智慧化监管。</w:t>
      </w:r>
      <w:r>
        <w:rPr>
          <w:rStyle w:val="14"/>
          <w:rFonts w:hint="eastAsia" w:ascii="仿宋_GB2312" w:hAnsi="仿宋_GB2312" w:eastAsia="仿宋_GB2312" w:cs="仿宋_GB2312"/>
          <w:b w:val="0"/>
          <w:bCs w:val="0"/>
          <w:color w:val="auto"/>
          <w:kern w:val="2"/>
          <w:sz w:val="32"/>
          <w:szCs w:val="32"/>
          <w:highlight w:val="none"/>
          <w:lang w:val="en-US" w:eastAsia="zh-CN" w:bidi="ar-SA"/>
        </w:rPr>
        <w:t>按照 “统筹规划、委企共建、集约共享”的原则</w:t>
      </w:r>
      <w:r>
        <w:rPr>
          <w:rStyle w:val="14"/>
          <w:rFonts w:hint="eastAsia" w:ascii="仿宋_GB2312" w:hAnsi="Times New Roman" w:eastAsia="仿宋_GB2312" w:cs="Times New Roman"/>
          <w:b w:val="0"/>
          <w:bCs w:val="0"/>
          <w:color w:val="auto"/>
          <w:kern w:val="2"/>
          <w:sz w:val="32"/>
          <w:szCs w:val="32"/>
          <w:highlight w:val="none"/>
          <w:u w:val="none"/>
          <w:lang w:val="en-US" w:eastAsia="zh-CN" w:bidi="ar-SA"/>
        </w:rPr>
        <w:t>建设国资国企在</w:t>
      </w:r>
      <w:r>
        <w:rPr>
          <w:rStyle w:val="14"/>
          <w:rFonts w:hint="eastAsia" w:ascii="仿宋_GB2312" w:hAnsi="仿宋_GB2312" w:eastAsia="仿宋_GB2312" w:cs="仿宋_GB2312"/>
          <w:b w:val="0"/>
          <w:bCs w:val="0"/>
          <w:color w:val="auto"/>
          <w:kern w:val="2"/>
          <w:sz w:val="32"/>
          <w:szCs w:val="32"/>
          <w:highlight w:val="none"/>
          <w:u w:val="none"/>
          <w:lang w:val="en-US" w:eastAsia="zh-CN" w:bidi="ar-SA"/>
        </w:rPr>
        <w:t>线监管系统，</w:t>
      </w:r>
      <w:r>
        <w:rPr>
          <w:rFonts w:hint="eastAsia" w:ascii="仿宋_GB2312" w:hAnsi="仿宋_GB2312" w:eastAsia="仿宋_GB2312" w:cs="仿宋_GB2312"/>
          <w:sz w:val="32"/>
          <w:szCs w:val="32"/>
          <w:u w:val="none"/>
          <w:lang w:eastAsia="zh-CN"/>
        </w:rPr>
        <w:t>以监管指标采集报送为抓手，围绕国有企业组织机构、“三重一大”决策运行、财务、工资总额、大额资金动态监测、追责问责等重点业务系统，推动国资监管向大数据监管、智慧监管转变，促进国资监管与运营方式的现代化，打造符合岳阳特色的国资国企监管平台。目前，我委出台了《岳阳市国资国企在线监管系统建设实施方案》，落实了资金来源，</w:t>
      </w:r>
      <w:r>
        <w:rPr>
          <w:rStyle w:val="14"/>
          <w:rFonts w:hint="eastAsia" w:ascii="仿宋_GB2312" w:hAnsi="仿宋_GB2312" w:eastAsia="仿宋_GB2312" w:cs="仿宋_GB2312"/>
          <w:b w:val="0"/>
          <w:bCs w:val="0"/>
          <w:color w:val="auto"/>
          <w:kern w:val="2"/>
          <w:sz w:val="32"/>
          <w:szCs w:val="32"/>
          <w:highlight w:val="none"/>
          <w:u w:val="none"/>
          <w:lang w:val="en-US" w:eastAsia="zh-CN" w:bidi="ar-SA"/>
        </w:rPr>
        <w:t>完成了与省国</w:t>
      </w:r>
      <w:r>
        <w:rPr>
          <w:rStyle w:val="14"/>
          <w:rFonts w:hint="eastAsia" w:ascii="仿宋_GB2312" w:hAnsi="Times New Roman" w:eastAsia="仿宋_GB2312" w:cs="Times New Roman"/>
          <w:b w:val="0"/>
          <w:bCs w:val="0"/>
          <w:color w:val="auto"/>
          <w:kern w:val="2"/>
          <w:sz w:val="32"/>
          <w:szCs w:val="32"/>
          <w:highlight w:val="none"/>
          <w:u w:val="none"/>
          <w:lang w:val="en-US" w:eastAsia="zh-CN" w:bidi="ar-SA"/>
        </w:rPr>
        <w:t>资委相应系统对接，2022年6月上线试运行。</w:t>
      </w:r>
    </w:p>
    <w:p>
      <w:pPr>
        <w:spacing w:line="560" w:lineRule="exact"/>
        <w:ind w:firstLine="643" w:firstLineChars="200"/>
        <w:rPr>
          <w:rFonts w:hint="eastAsia" w:ascii="黑体" w:eastAsia="黑体"/>
          <w:sz w:val="32"/>
          <w:szCs w:val="32"/>
        </w:rPr>
      </w:pPr>
      <w:r>
        <w:rPr>
          <w:rFonts w:hint="eastAsia" w:ascii="楷体" w:hAnsi="楷体" w:eastAsia="楷体" w:cs="楷体"/>
          <w:b/>
          <w:bCs/>
          <w:sz w:val="32"/>
          <w:szCs w:val="32"/>
          <w:u w:val="none"/>
          <w:lang w:val="en-US" w:eastAsia="zh-CN"/>
        </w:rPr>
        <w:t>6、</w:t>
      </w:r>
      <w:r>
        <w:rPr>
          <w:rFonts w:hint="eastAsia" w:ascii="楷体" w:hAnsi="楷体" w:eastAsia="楷体" w:cs="楷体"/>
          <w:b/>
          <w:bCs/>
          <w:sz w:val="32"/>
          <w:szCs w:val="32"/>
          <w:u w:val="none"/>
          <w:lang w:eastAsia="zh-CN"/>
        </w:rPr>
        <w:t>防控债务风险。</w:t>
      </w:r>
      <w:r>
        <w:rPr>
          <w:rFonts w:hint="eastAsia" w:ascii="仿宋_GB2312" w:hAnsi="仿宋_GB2312" w:eastAsia="仿宋_GB2312" w:cs="仿宋_GB2312"/>
          <w:sz w:val="32"/>
          <w:szCs w:val="32"/>
          <w:lang w:val="en-US" w:eastAsia="zh-CN"/>
        </w:rPr>
        <w:t>根据市委市政府要求，今年我委监管的六家企业共计拟化解政府性债务57.71亿元，关注类债务转经营类债务109.39亿元。我委积极协调，采取处置改制剩余资产、划转铁山供水股权、洞庭湖游船经营权、党政机关事业单位经营性资产等方式严格按狮子横幅的要求如期完成下达的化债任务。支持各监管企业和惠华、惠临、南湖城投公司合规融资，缓释到期债务，共融资42笔，融资总额255.12亿元；担保35笔（其中对内担保25笔， 对外担保10笔），担保总额100.33亿元。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rPr>
      </w:pPr>
      <w:r>
        <w:rPr>
          <w:rFonts w:hint="eastAsia" w:ascii="黑体" w:eastAsia="黑体"/>
          <w:sz w:val="32"/>
          <w:szCs w:val="32"/>
        </w:rPr>
        <w:t>五、存在的主要问题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通过上述分析，反映出目前在整体支出的预算编制、执行和管理过程中，依然存在一些问题：年初预算未安排，但本年实际发生了部分支出，以及费用明细项目超支现象的存在，预算的执行有待进一步加强。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sz w:val="32"/>
          <w:szCs w:val="32"/>
        </w:rPr>
      </w:pPr>
      <w:r>
        <w:rPr>
          <w:rFonts w:hint="eastAsia" w:ascii="仿宋" w:hAnsi="仿宋" w:eastAsia="仿宋" w:cs="仿宋"/>
          <w:sz w:val="32"/>
          <w:szCs w:val="32"/>
          <w:lang w:val="en-US" w:eastAsia="zh-CN"/>
        </w:rPr>
        <w:t xml:space="preserve">  </w:t>
      </w:r>
      <w:r>
        <w:rPr>
          <w:rFonts w:hint="eastAsia" w:ascii="黑体" w:eastAsia="黑体"/>
          <w:sz w:val="32"/>
          <w:szCs w:val="32"/>
        </w:rPr>
        <w:t>六、改进措施和有关建议</w:t>
      </w:r>
    </w:p>
    <w:p>
      <w:pPr>
        <w:autoSpaceDE w:val="0"/>
        <w:spacing w:line="600" w:lineRule="exact"/>
        <w:ind w:firstLine="640" w:firstLineChars="200"/>
        <w:rPr>
          <w:rFonts w:ascii="仿宋_GB2312" w:hAnsi="宋体" w:eastAsia="仿宋_GB2312" w:cs="仿宋_GB2312"/>
          <w:i w:val="0"/>
          <w:iCs w:val="0"/>
          <w:caps w:val="0"/>
          <w:color w:val="000000"/>
          <w:spacing w:val="0"/>
          <w:sz w:val="32"/>
          <w:szCs w:val="32"/>
          <w:shd w:val="clear" w:fill="FFFFFF"/>
        </w:rPr>
      </w:pPr>
      <w:r>
        <w:rPr>
          <w:rFonts w:ascii="仿宋_GB2312" w:hAnsi="宋体" w:eastAsia="仿宋_GB2312" w:cs="仿宋_GB2312"/>
          <w:i w:val="0"/>
          <w:iCs w:val="0"/>
          <w:caps w:val="0"/>
          <w:color w:val="000000"/>
          <w:spacing w:val="0"/>
          <w:sz w:val="32"/>
          <w:szCs w:val="32"/>
          <w:shd w:val="clear" w:fill="FFFFFF"/>
        </w:rPr>
        <w:t>加强各部门协作、社会参与机制，建立监督机制，加大奖惩力度，加强财务队伍建设和业务指导，培养项目和部门的绩效管理队伍，建立绩效评价的长效机制。</w:t>
      </w:r>
    </w:p>
    <w:p>
      <w:pPr>
        <w:ind w:firstLine="645"/>
        <w:rPr>
          <w:rFonts w:ascii="仿宋" w:hAnsi="仿宋" w:eastAsia="仿宋"/>
          <w:sz w:val="32"/>
          <w:szCs w:val="32"/>
        </w:rPr>
      </w:pPr>
      <w:r>
        <w:rPr>
          <w:rFonts w:hint="eastAsia" w:ascii="楷体" w:hAnsi="楷体" w:eastAsia="楷体"/>
          <w:b/>
          <w:sz w:val="32"/>
          <w:szCs w:val="32"/>
          <w:lang w:val="en-US" w:eastAsia="zh-CN"/>
        </w:rPr>
        <w:t>1、</w:t>
      </w:r>
      <w:r>
        <w:rPr>
          <w:rFonts w:hint="eastAsia" w:ascii="楷体" w:hAnsi="楷体" w:eastAsia="楷体"/>
          <w:b/>
          <w:sz w:val="32"/>
          <w:szCs w:val="32"/>
        </w:rPr>
        <w:t>细化预算编制工作，认真做好预算的编制。</w:t>
      </w:r>
      <w:r>
        <w:rPr>
          <w:rFonts w:hint="eastAsia" w:ascii="仿宋" w:hAnsi="仿宋" w:eastAsia="仿宋"/>
          <w:sz w:val="32"/>
          <w:szCs w:val="32"/>
        </w:rPr>
        <w:t>进一步加强委机关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ind w:firstLine="643" w:firstLineChars="200"/>
        <w:rPr>
          <w:rFonts w:ascii="仿宋" w:hAnsi="仿宋" w:eastAsia="仿宋"/>
          <w:sz w:val="32"/>
          <w:szCs w:val="32"/>
        </w:rPr>
      </w:pPr>
      <w:r>
        <w:rPr>
          <w:rFonts w:hint="eastAsia" w:ascii="楷体" w:hAnsi="楷体" w:eastAsia="楷体"/>
          <w:b/>
          <w:sz w:val="32"/>
          <w:szCs w:val="32"/>
          <w:lang w:val="en-US" w:eastAsia="zh-CN"/>
        </w:rPr>
        <w:t>2</w:t>
      </w:r>
      <w:r>
        <w:rPr>
          <w:rFonts w:hint="eastAsia" w:ascii="楷体" w:hAnsi="楷体" w:eastAsia="楷体"/>
          <w:b/>
          <w:sz w:val="32"/>
          <w:szCs w:val="32"/>
        </w:rPr>
        <w:t>、</w:t>
      </w:r>
      <w:r>
        <w:rPr>
          <w:rFonts w:hint="eastAsia" w:ascii="楷体" w:hAnsi="楷体" w:eastAsia="楷体"/>
          <w:b/>
          <w:sz w:val="32"/>
          <w:szCs w:val="32"/>
          <w:lang w:eastAsia="zh-CN"/>
        </w:rPr>
        <w:t>继续落实好“三公”经费执行情况。</w:t>
      </w:r>
      <w:r>
        <w:rPr>
          <w:rFonts w:hint="eastAsia" w:ascii="仿宋" w:hAnsi="仿宋" w:eastAsia="仿宋" w:cs="仿宋"/>
          <w:b w:val="0"/>
          <w:bCs/>
          <w:sz w:val="32"/>
          <w:szCs w:val="32"/>
        </w:rPr>
        <w:t>尽管目前三公经费的预算执行情况较好，</w:t>
      </w:r>
      <w:bookmarkStart w:id="0" w:name="_GoBack"/>
      <w:bookmarkEnd w:id="0"/>
      <w:r>
        <w:rPr>
          <w:rFonts w:hint="eastAsia" w:ascii="仿宋" w:hAnsi="仿宋" w:eastAsia="仿宋"/>
          <w:sz w:val="32"/>
          <w:szCs w:val="32"/>
        </w:rPr>
        <w:t>根据市委市政府关于做好党政机关厉行节约工作的通知精神，仍需进一步严控三公经费支出，严格控制三公经费的规模和比例，严格三公经费支出的审核审批流程，杜绝挪用和挤占其他预算资金行为；进一步细化三公经费的管理，抓好公车的节能降耗工作，控制公务出国费用支出，进一步压缩三公经费支出。</w:t>
      </w:r>
    </w:p>
    <w:p>
      <w:pPr>
        <w:ind w:firstLine="643" w:firstLineChars="200"/>
        <w:rPr>
          <w:rFonts w:ascii="仿宋" w:hAnsi="仿宋" w:eastAsia="仿宋"/>
          <w:sz w:val="32"/>
          <w:szCs w:val="32"/>
        </w:rPr>
      </w:pPr>
      <w:r>
        <w:rPr>
          <w:rFonts w:hint="eastAsia" w:ascii="楷体" w:hAnsi="楷体" w:eastAsia="楷体"/>
          <w:b/>
          <w:sz w:val="32"/>
          <w:szCs w:val="32"/>
          <w:lang w:val="en-US" w:eastAsia="zh-CN"/>
        </w:rPr>
        <w:t>3</w:t>
      </w:r>
      <w:r>
        <w:rPr>
          <w:rFonts w:hint="eastAsia" w:ascii="楷体" w:hAnsi="楷体" w:eastAsia="楷体"/>
          <w:b/>
          <w:sz w:val="32"/>
          <w:szCs w:val="32"/>
        </w:rPr>
        <w:t>、预算财务分析常态化。</w:t>
      </w:r>
      <w:r>
        <w:rPr>
          <w:rFonts w:hint="eastAsia" w:ascii="仿宋" w:hAnsi="仿宋" w:eastAsia="仿宋"/>
          <w:sz w:val="32"/>
          <w:szCs w:val="32"/>
        </w:rPr>
        <w:t>定期做好支出预算财务分析，及时对费用预算执行情况进行通报和预警，做好部门整体支出预算评价工作。</w:t>
      </w:r>
    </w:p>
    <w:p>
      <w:pPr>
        <w:ind w:firstLine="643" w:firstLineChars="200"/>
        <w:rPr>
          <w:rFonts w:ascii="仿宋" w:hAnsi="仿宋" w:eastAsia="仿宋"/>
          <w:sz w:val="32"/>
          <w:szCs w:val="32"/>
        </w:rPr>
      </w:pPr>
      <w:r>
        <w:rPr>
          <w:rFonts w:hint="eastAsia" w:ascii="楷体" w:hAnsi="楷体" w:eastAsia="楷体"/>
          <w:b/>
          <w:sz w:val="32"/>
          <w:szCs w:val="32"/>
          <w:lang w:val="en-US" w:eastAsia="zh-CN"/>
        </w:rPr>
        <w:t>4</w:t>
      </w:r>
      <w:r>
        <w:rPr>
          <w:rFonts w:hint="eastAsia" w:ascii="楷体" w:hAnsi="楷体" w:eastAsia="楷体"/>
          <w:b/>
          <w:sz w:val="32"/>
          <w:szCs w:val="32"/>
        </w:rPr>
        <w:t>、加强财务核算工作，</w:t>
      </w:r>
      <w:r>
        <w:rPr>
          <w:rFonts w:hint="eastAsia" w:ascii="仿宋" w:hAnsi="仿宋" w:eastAsia="仿宋"/>
          <w:sz w:val="32"/>
          <w:szCs w:val="32"/>
        </w:rPr>
        <w:t>提高财务的精细化管理，确保财务核算的真实、及时、准确、完整。</w:t>
      </w:r>
    </w:p>
    <w:p>
      <w:pPr>
        <w:rPr>
          <w:rFonts w:ascii="仿宋" w:hAnsi="仿宋" w:eastAsia="仿宋"/>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448315"/>
      <w:docPartObj>
        <w:docPartGallery w:val="autotext"/>
      </w:docPartObj>
    </w:sdtPr>
    <w:sdtContent>
      <w:p>
        <w:pPr>
          <w:pStyle w:val="2"/>
          <w:jc w:val="right"/>
        </w:pPr>
        <w:r>
          <w:fldChar w:fldCharType="begin"/>
        </w:r>
        <w:r>
          <w:instrText xml:space="preserve"> PAGE   \* MERGEFORMAT </w:instrText>
        </w:r>
        <w:r>
          <w:fldChar w:fldCharType="separate"/>
        </w:r>
        <w:r>
          <w:rPr>
            <w:lang w:val="zh-CN"/>
          </w:rPr>
          <w:t>11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I0ZDk2MDIwYjdhZDJiYzYxMDYwYTlkMGI3OGYyNDIifQ=="/>
  </w:docVars>
  <w:rsids>
    <w:rsidRoot w:val="003E7C57"/>
    <w:rsid w:val="000008D9"/>
    <w:rsid w:val="00043291"/>
    <w:rsid w:val="00043DCD"/>
    <w:rsid w:val="00061865"/>
    <w:rsid w:val="00061AD3"/>
    <w:rsid w:val="00095E73"/>
    <w:rsid w:val="000B1316"/>
    <w:rsid w:val="000C4134"/>
    <w:rsid w:val="000D18FA"/>
    <w:rsid w:val="00110A7E"/>
    <w:rsid w:val="00110FB3"/>
    <w:rsid w:val="00117934"/>
    <w:rsid w:val="00126614"/>
    <w:rsid w:val="001325D0"/>
    <w:rsid w:val="00157CCA"/>
    <w:rsid w:val="00161120"/>
    <w:rsid w:val="001635D1"/>
    <w:rsid w:val="00180A95"/>
    <w:rsid w:val="001959F1"/>
    <w:rsid w:val="0019753F"/>
    <w:rsid w:val="001A00F5"/>
    <w:rsid w:val="001A230D"/>
    <w:rsid w:val="001D15EF"/>
    <w:rsid w:val="001E0F38"/>
    <w:rsid w:val="001F24C9"/>
    <w:rsid w:val="001F57F2"/>
    <w:rsid w:val="00204165"/>
    <w:rsid w:val="00281713"/>
    <w:rsid w:val="002D1788"/>
    <w:rsid w:val="002D188D"/>
    <w:rsid w:val="002E43C6"/>
    <w:rsid w:val="002F4F1E"/>
    <w:rsid w:val="00325857"/>
    <w:rsid w:val="00353FB2"/>
    <w:rsid w:val="003574E1"/>
    <w:rsid w:val="003833CF"/>
    <w:rsid w:val="003B48F6"/>
    <w:rsid w:val="003D33E9"/>
    <w:rsid w:val="003D56DE"/>
    <w:rsid w:val="003E7C57"/>
    <w:rsid w:val="004432C8"/>
    <w:rsid w:val="00443B48"/>
    <w:rsid w:val="00452F55"/>
    <w:rsid w:val="004664B0"/>
    <w:rsid w:val="004D2B85"/>
    <w:rsid w:val="004D549F"/>
    <w:rsid w:val="0050726F"/>
    <w:rsid w:val="00540CB0"/>
    <w:rsid w:val="005471C3"/>
    <w:rsid w:val="005B0024"/>
    <w:rsid w:val="005B0291"/>
    <w:rsid w:val="005E38C8"/>
    <w:rsid w:val="005F5B59"/>
    <w:rsid w:val="005F70AE"/>
    <w:rsid w:val="00603183"/>
    <w:rsid w:val="00611BAC"/>
    <w:rsid w:val="006506AB"/>
    <w:rsid w:val="006528FE"/>
    <w:rsid w:val="006631AB"/>
    <w:rsid w:val="006C3C7C"/>
    <w:rsid w:val="00727904"/>
    <w:rsid w:val="007508F4"/>
    <w:rsid w:val="00766341"/>
    <w:rsid w:val="007778CB"/>
    <w:rsid w:val="00791EF9"/>
    <w:rsid w:val="00795480"/>
    <w:rsid w:val="00796186"/>
    <w:rsid w:val="007966E5"/>
    <w:rsid w:val="007A1D07"/>
    <w:rsid w:val="007B574D"/>
    <w:rsid w:val="007D67D2"/>
    <w:rsid w:val="00806D92"/>
    <w:rsid w:val="008133DD"/>
    <w:rsid w:val="00830677"/>
    <w:rsid w:val="00876DB3"/>
    <w:rsid w:val="00887378"/>
    <w:rsid w:val="00887529"/>
    <w:rsid w:val="008B5291"/>
    <w:rsid w:val="008B546F"/>
    <w:rsid w:val="008D345D"/>
    <w:rsid w:val="008F6D69"/>
    <w:rsid w:val="00913E08"/>
    <w:rsid w:val="0092568A"/>
    <w:rsid w:val="009558D5"/>
    <w:rsid w:val="00997707"/>
    <w:rsid w:val="009C44FD"/>
    <w:rsid w:val="00A00148"/>
    <w:rsid w:val="00A1634B"/>
    <w:rsid w:val="00A72637"/>
    <w:rsid w:val="00A73744"/>
    <w:rsid w:val="00AA24ED"/>
    <w:rsid w:val="00AA3DBD"/>
    <w:rsid w:val="00AD11CB"/>
    <w:rsid w:val="00AE71F7"/>
    <w:rsid w:val="00B026DC"/>
    <w:rsid w:val="00B1630F"/>
    <w:rsid w:val="00B56CA0"/>
    <w:rsid w:val="00B576D7"/>
    <w:rsid w:val="00B8095D"/>
    <w:rsid w:val="00B8690F"/>
    <w:rsid w:val="00BA2E2B"/>
    <w:rsid w:val="00BD0571"/>
    <w:rsid w:val="00C337B8"/>
    <w:rsid w:val="00C603D6"/>
    <w:rsid w:val="00C63F71"/>
    <w:rsid w:val="00C65B8D"/>
    <w:rsid w:val="00CB2686"/>
    <w:rsid w:val="00CC55EE"/>
    <w:rsid w:val="00CC714F"/>
    <w:rsid w:val="00CF244E"/>
    <w:rsid w:val="00D13D88"/>
    <w:rsid w:val="00D17742"/>
    <w:rsid w:val="00D36DE4"/>
    <w:rsid w:val="00D435E6"/>
    <w:rsid w:val="00D606EA"/>
    <w:rsid w:val="00D869DF"/>
    <w:rsid w:val="00DB3614"/>
    <w:rsid w:val="00DF4ECE"/>
    <w:rsid w:val="00E12F18"/>
    <w:rsid w:val="00E23392"/>
    <w:rsid w:val="00E56C01"/>
    <w:rsid w:val="00E62AC6"/>
    <w:rsid w:val="00E66F96"/>
    <w:rsid w:val="00E80CFB"/>
    <w:rsid w:val="00E84583"/>
    <w:rsid w:val="00EB2BD8"/>
    <w:rsid w:val="00ED2B95"/>
    <w:rsid w:val="00EE4E89"/>
    <w:rsid w:val="00F54A50"/>
    <w:rsid w:val="00F562E7"/>
    <w:rsid w:val="00F65160"/>
    <w:rsid w:val="00F80475"/>
    <w:rsid w:val="00F916DF"/>
    <w:rsid w:val="00F9771E"/>
    <w:rsid w:val="00FA21AE"/>
    <w:rsid w:val="12BC454A"/>
    <w:rsid w:val="2A333317"/>
    <w:rsid w:val="431B0B1C"/>
    <w:rsid w:val="4E300DFE"/>
    <w:rsid w:val="5468396C"/>
    <w:rsid w:val="6ADB1BFB"/>
    <w:rsid w:val="71DF6AC4"/>
    <w:rsid w:val="7DC73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index 5"/>
    <w:basedOn w:val="1"/>
    <w:next w:val="1"/>
    <w:qFormat/>
    <w:uiPriority w:val="0"/>
    <w:pPr>
      <w:ind w:left="1680"/>
    </w:pPr>
  </w:style>
  <w:style w:type="paragraph" w:styleId="4">
    <w:name w:val="Normal Indent"/>
    <w:basedOn w:val="1"/>
    <w:qFormat/>
    <w:uiPriority w:val="99"/>
    <w:pPr>
      <w:ind w:firstLine="420"/>
    </w:pPr>
    <w:rPr>
      <w:szCs w:val="20"/>
    </w:rPr>
  </w:style>
  <w:style w:type="paragraph" w:styleId="5">
    <w:name w:val="Body Text Indent"/>
    <w:basedOn w:val="1"/>
    <w:qFormat/>
    <w:uiPriority w:val="0"/>
    <w:pPr>
      <w:spacing w:after="120"/>
      <w:ind w:left="420" w:leftChars="200"/>
    </w:pPr>
    <w:rPr>
      <w:rFonts w:ascii="Times New Roman" w:hAnsi="Times New Roman" w:eastAsia="微软雅黑" w:cs="Times New Roman"/>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5"/>
    <w:qFormat/>
    <w:uiPriority w:val="0"/>
    <w:pPr>
      <w:ind w:left="283" w:firstLine="210"/>
    </w:pPr>
    <w:rPr>
      <w:rFonts w:ascii="Times New Roman"/>
    </w:r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2"/>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4842</Words>
  <Characters>5020</Characters>
  <Lines>38</Lines>
  <Paragraphs>10</Paragraphs>
  <TotalTime>60</TotalTime>
  <ScaleCrop>false</ScaleCrop>
  <LinksUpToDate>false</LinksUpToDate>
  <CharactersWithSpaces>5051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2018-06-07T07:51:00Z</dcterms:created>
  <dc:creator>USER</dc:creator>
  <cp:lastModifiedBy>董佳佳</cp:lastModifiedBy>
  <cp:lastPrinted>2019-06-28T07:12:00Z</cp:lastPrinted>
  <dcterms:modified xsi:type="dcterms:W3CDTF">2022-06-14T08:58:50Z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38CF3EAD104643E5A8CA6F55FE9EED5E</vt:lpwstr>
  </property>
</Properties>
</file>