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right" w:leader="dot" w:pos="8296"/>
        </w:tabs>
        <w:jc w:val="center"/>
        <w:rPr>
          <w:rFonts w:hint="eastAsia" w:ascii="Times New Roman" w:hAnsi="Times New Roman" w:eastAsia="方正小标宋_GBK" w:cs="Times New Roman"/>
          <w:b/>
          <w:w w:val="95"/>
          <w:kern w:val="2"/>
          <w:sz w:val="56"/>
          <w:szCs w:val="56"/>
          <w:lang w:val="en-US" w:eastAsia="zh-CN" w:bidi="ar-SA"/>
        </w:rPr>
      </w:pPr>
      <w:r>
        <w:rPr>
          <w:rFonts w:hint="eastAsia" w:eastAsia="方正小标宋_GBK" w:cs="Times New Roman"/>
          <w:b/>
          <w:w w:val="90"/>
          <w:kern w:val="2"/>
          <w:sz w:val="56"/>
          <w:szCs w:val="56"/>
          <w:lang w:val="en-US" w:eastAsia="zh-CN" w:bidi="ar-SA"/>
        </w:rPr>
        <w:t>岳阳市总工会市财政、市总配套帮扶资金项目支出</w:t>
      </w:r>
      <w:r>
        <w:rPr>
          <w:rFonts w:hint="eastAsia" w:ascii="Times New Roman" w:hAnsi="Times New Roman" w:eastAsia="方正小标宋_GBK" w:cs="Times New Roman"/>
          <w:b/>
          <w:w w:val="90"/>
          <w:kern w:val="2"/>
          <w:sz w:val="56"/>
          <w:szCs w:val="56"/>
          <w:lang w:val="en-US" w:eastAsia="zh-CN" w:bidi="ar-SA"/>
        </w:rPr>
        <w:t>绩效自评报告</w:t>
      </w:r>
    </w:p>
    <w:p>
      <w:pPr>
        <w:pStyle w:val="5"/>
        <w:spacing w:before="0" w:beforeAutospacing="0" w:after="0" w:afterAutospacing="0"/>
        <w:jc w:val="center"/>
        <w:rPr>
          <w:rFonts w:hint="eastAsia" w:ascii="Times New Roman" w:hAnsi="Times New Roman" w:eastAsia="方正小标宋_GBK" w:cs="Times New Roman"/>
          <w:bCs/>
          <w:sz w:val="44"/>
          <w:szCs w:val="44"/>
          <w:lang w:val="en-US" w:eastAsia="zh-CN"/>
        </w:rPr>
      </w:pPr>
    </w:p>
    <w:p>
      <w:pPr>
        <w:pStyle w:val="5"/>
        <w:spacing w:before="0" w:beforeAutospacing="0" w:after="0" w:afterAutospacing="0"/>
        <w:jc w:val="center"/>
        <w:rPr>
          <w:rFonts w:hint="eastAsia" w:ascii="Times New Roman" w:hAnsi="Times New Roman" w:eastAsia="方正小标宋_GBK" w:cs="Times New Roman"/>
          <w:bCs/>
          <w:sz w:val="44"/>
          <w:szCs w:val="44"/>
          <w:lang w:val="en-US" w:eastAsia="zh-CN"/>
        </w:rPr>
      </w:pPr>
    </w:p>
    <w:p>
      <w:pPr>
        <w:pStyle w:val="5"/>
        <w:spacing w:before="0" w:beforeAutospacing="0" w:after="0" w:afterAutospacing="0"/>
        <w:jc w:val="center"/>
        <w:rPr>
          <w:rFonts w:hint="eastAsia" w:ascii="Times New Roman" w:hAnsi="Times New Roman" w:eastAsia="方正小标宋_GBK" w:cs="Times New Roman"/>
          <w:bCs/>
          <w:sz w:val="44"/>
          <w:szCs w:val="44"/>
          <w:lang w:val="en-US" w:eastAsia="zh-CN"/>
        </w:rPr>
      </w:pPr>
    </w:p>
    <w:p>
      <w:pPr>
        <w:pStyle w:val="5"/>
        <w:spacing w:before="0" w:beforeAutospacing="0" w:after="0" w:afterAutospacing="0"/>
        <w:jc w:val="center"/>
        <w:rPr>
          <w:rFonts w:hint="eastAsia" w:ascii="Times New Roman" w:hAnsi="Times New Roman" w:eastAsia="方正小标宋_GBK" w:cs="Times New Roman"/>
          <w:bCs/>
          <w:sz w:val="44"/>
          <w:szCs w:val="44"/>
          <w:lang w:val="en-US" w:eastAsia="zh-CN"/>
        </w:rPr>
      </w:pPr>
    </w:p>
    <w:p>
      <w:pPr>
        <w:pStyle w:val="5"/>
        <w:spacing w:before="0" w:beforeAutospacing="0" w:after="0" w:afterAutospacing="0"/>
        <w:jc w:val="center"/>
        <w:rPr>
          <w:rFonts w:hint="eastAsia" w:ascii="Times New Roman" w:hAnsi="Times New Roman" w:eastAsia="方正小标宋_GBK" w:cs="Times New Roman"/>
          <w:bCs/>
          <w:sz w:val="44"/>
          <w:szCs w:val="44"/>
          <w:lang w:val="en-US" w:eastAsia="zh-CN"/>
        </w:rPr>
      </w:pPr>
    </w:p>
    <w:p>
      <w:pPr>
        <w:pStyle w:val="5"/>
        <w:spacing w:before="0" w:beforeAutospacing="0" w:after="0" w:afterAutospacing="0"/>
        <w:jc w:val="center"/>
        <w:rPr>
          <w:rFonts w:hint="eastAsia" w:ascii="Times New Roman" w:hAnsi="Times New Roman" w:eastAsia="方正小标宋_GBK" w:cs="Times New Roman"/>
          <w:bCs/>
          <w:sz w:val="44"/>
          <w:szCs w:val="44"/>
          <w:lang w:val="en-US" w:eastAsia="zh-CN"/>
        </w:rPr>
      </w:pPr>
    </w:p>
    <w:p>
      <w:pPr>
        <w:pStyle w:val="5"/>
        <w:spacing w:before="0" w:beforeAutospacing="0" w:after="0" w:afterAutospacing="0"/>
        <w:jc w:val="center"/>
        <w:rPr>
          <w:rFonts w:hint="eastAsia" w:ascii="Times New Roman" w:hAnsi="Times New Roman" w:eastAsia="方正小标宋_GBK" w:cs="Times New Roman"/>
          <w:bCs/>
          <w:sz w:val="44"/>
          <w:szCs w:val="44"/>
          <w:lang w:val="en-US" w:eastAsia="zh-CN"/>
        </w:rPr>
      </w:pPr>
    </w:p>
    <w:p>
      <w:pPr>
        <w:pStyle w:val="5"/>
        <w:spacing w:before="0" w:beforeAutospacing="0" w:after="0" w:afterAutospacing="0"/>
        <w:jc w:val="center"/>
        <w:rPr>
          <w:rFonts w:hint="eastAsia" w:ascii="Times New Roman" w:hAnsi="Times New Roman" w:eastAsia="方正小标宋_GBK" w:cs="Times New Roman"/>
          <w:bCs/>
          <w:sz w:val="44"/>
          <w:szCs w:val="44"/>
          <w:lang w:val="en-US" w:eastAsia="zh-CN"/>
        </w:rPr>
      </w:pPr>
    </w:p>
    <w:p>
      <w:pPr>
        <w:pStyle w:val="5"/>
        <w:spacing w:before="0" w:beforeAutospacing="0" w:after="0" w:afterAutospacing="0"/>
        <w:jc w:val="center"/>
        <w:rPr>
          <w:rFonts w:hint="eastAsia" w:ascii="Times New Roman" w:hAnsi="Times New Roman" w:eastAsia="方正小标宋_GBK" w:cs="Times New Roman"/>
          <w:bCs/>
          <w:sz w:val="44"/>
          <w:szCs w:val="44"/>
          <w:lang w:val="en-US" w:eastAsia="zh-CN"/>
        </w:rPr>
      </w:pPr>
    </w:p>
    <w:p>
      <w:pPr>
        <w:pStyle w:val="5"/>
        <w:spacing w:before="0" w:beforeAutospacing="0" w:after="0" w:afterAutospacing="0"/>
        <w:jc w:val="center"/>
        <w:rPr>
          <w:rFonts w:hint="eastAsia" w:ascii="Times New Roman" w:hAnsi="Times New Roman" w:eastAsia="方正小标宋_GBK" w:cs="Times New Roman"/>
          <w:bCs/>
          <w:sz w:val="44"/>
          <w:szCs w:val="44"/>
          <w:lang w:val="en-US" w:eastAsia="zh-CN"/>
        </w:rPr>
      </w:pPr>
    </w:p>
    <w:p>
      <w:pPr>
        <w:pStyle w:val="5"/>
        <w:spacing w:before="0" w:beforeAutospacing="0" w:after="0" w:afterAutospacing="0"/>
        <w:jc w:val="center"/>
        <w:rPr>
          <w:rFonts w:hint="eastAsia" w:ascii="Times New Roman" w:hAnsi="Times New Roman" w:eastAsia="方正小标宋_GBK" w:cs="Times New Roman"/>
          <w:bCs/>
          <w:sz w:val="44"/>
          <w:szCs w:val="44"/>
          <w:lang w:val="en-US" w:eastAsia="zh-CN"/>
        </w:rPr>
      </w:pPr>
    </w:p>
    <w:p>
      <w:pPr>
        <w:pStyle w:val="5"/>
        <w:spacing w:before="0" w:beforeAutospacing="0" w:after="0" w:afterAutospacing="0"/>
        <w:jc w:val="center"/>
        <w:rPr>
          <w:rFonts w:hint="eastAsia" w:ascii="Times New Roman" w:hAnsi="Times New Roman" w:eastAsia="方正小标宋_GBK" w:cs="Times New Roman"/>
          <w:bCs/>
          <w:sz w:val="44"/>
          <w:szCs w:val="44"/>
          <w:lang w:val="en-US" w:eastAsia="zh-CN"/>
        </w:rPr>
      </w:pPr>
    </w:p>
    <w:p>
      <w:pPr>
        <w:pStyle w:val="5"/>
        <w:spacing w:before="0" w:beforeAutospacing="0" w:after="0" w:afterAutospacing="0"/>
        <w:jc w:val="center"/>
        <w:rPr>
          <w:rFonts w:hint="eastAsia" w:ascii="Times New Roman" w:hAnsi="Times New Roman" w:eastAsia="方正小标宋_GBK" w:cs="Times New Roman"/>
          <w:bCs/>
          <w:sz w:val="44"/>
          <w:szCs w:val="44"/>
          <w:lang w:val="en-US" w:eastAsia="zh-CN"/>
        </w:rPr>
      </w:pPr>
    </w:p>
    <w:p>
      <w:pPr>
        <w:pStyle w:val="5"/>
        <w:spacing w:before="0" w:beforeAutospacing="0" w:after="0" w:afterAutospacing="0"/>
        <w:jc w:val="center"/>
        <w:rPr>
          <w:rFonts w:hint="eastAsia" w:ascii="Times New Roman" w:hAnsi="Times New Roman" w:eastAsia="方正小标宋_GBK" w:cs="Times New Roman"/>
          <w:bCs/>
          <w:sz w:val="44"/>
          <w:szCs w:val="44"/>
          <w:lang w:val="en-US" w:eastAsia="zh-CN"/>
        </w:rPr>
      </w:pPr>
    </w:p>
    <w:p>
      <w:pPr>
        <w:tabs>
          <w:tab w:val="left" w:pos="4004"/>
        </w:tabs>
        <w:spacing w:line="600" w:lineRule="exact"/>
        <w:jc w:val="center"/>
        <w:rPr>
          <w:rFonts w:eastAsia="微软雅黑"/>
          <w:b/>
          <w:bCs/>
          <w:sz w:val="36"/>
          <w:szCs w:val="36"/>
        </w:rPr>
      </w:pPr>
    </w:p>
    <w:p>
      <w:pPr>
        <w:tabs>
          <w:tab w:val="left" w:pos="4004"/>
        </w:tabs>
        <w:spacing w:line="600" w:lineRule="exact"/>
        <w:jc w:val="center"/>
        <w:rPr>
          <w:rFonts w:hint="eastAsia" w:ascii="Times New Roman" w:hAnsi="Times New Roman" w:eastAsia="方正小标宋_GBK" w:cs="Times New Roman"/>
          <w:bCs/>
          <w:sz w:val="44"/>
          <w:szCs w:val="44"/>
          <w:lang w:val="en-US" w:eastAsia="zh-CN"/>
        </w:rPr>
      </w:pPr>
      <w:r>
        <w:rPr>
          <w:rFonts w:eastAsia="微软雅黑"/>
          <w:b/>
          <w:bCs/>
          <w:sz w:val="36"/>
          <w:szCs w:val="36"/>
        </w:rPr>
        <w:t>报告</w:t>
      </w:r>
      <w:r>
        <w:rPr>
          <w:rFonts w:hint="eastAsia" w:eastAsia="微软雅黑"/>
          <w:b/>
          <w:bCs/>
          <w:sz w:val="36"/>
          <w:szCs w:val="36"/>
          <w:lang w:val="en-US" w:eastAsia="zh-CN"/>
        </w:rPr>
        <w:t>部门</w:t>
      </w:r>
      <w:r>
        <w:rPr>
          <w:rFonts w:eastAsia="微软雅黑"/>
          <w:b/>
          <w:bCs/>
          <w:sz w:val="36"/>
          <w:szCs w:val="36"/>
        </w:rPr>
        <w:t>：</w:t>
      </w:r>
      <w:r>
        <w:rPr>
          <w:rFonts w:hint="eastAsia" w:eastAsia="微软雅黑"/>
          <w:b/>
          <w:bCs/>
          <w:sz w:val="36"/>
          <w:szCs w:val="36"/>
          <w:lang w:val="en-US" w:eastAsia="zh-CN"/>
        </w:rPr>
        <w:t>权益保障部</w:t>
      </w:r>
    </w:p>
    <w:p>
      <w:pPr>
        <w:pStyle w:val="5"/>
        <w:spacing w:before="0" w:beforeAutospacing="0" w:after="0" w:afterAutospacing="0"/>
        <w:jc w:val="center"/>
        <w:rPr>
          <w:rFonts w:hint="default" w:ascii="Times New Roman" w:hAnsi="Times New Roman" w:eastAsia="方正小标宋_GBK" w:cs="Times New Roman"/>
          <w:bCs/>
          <w:sz w:val="44"/>
          <w:szCs w:val="44"/>
          <w:lang w:val="en-US" w:eastAsia="zh-CN"/>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b/>
          <w:bCs/>
          <w:sz w:val="36"/>
          <w:szCs w:val="36"/>
          <w:lang w:val="en-US" w:eastAsia="zh-CN"/>
        </w:rPr>
        <w:t>2022年</w:t>
      </w:r>
      <w:r>
        <w:rPr>
          <w:rFonts w:hint="eastAsia" w:ascii="微软雅黑" w:hAnsi="微软雅黑" w:eastAsia="微软雅黑" w:cs="微软雅黑"/>
          <w:b/>
          <w:bCs/>
          <w:sz w:val="36"/>
          <w:szCs w:val="36"/>
          <w:highlight w:val="none"/>
          <w:lang w:val="en-US" w:eastAsia="zh-CN"/>
        </w:rPr>
        <w:t>5月30日</w:t>
      </w:r>
    </w:p>
    <w:p>
      <w:pPr>
        <w:rPr>
          <w:rFonts w:ascii="Times New Roman" w:hAnsi="Times New Roman" w:eastAsia="黑体"/>
          <w:color w:val="000000"/>
          <w:sz w:val="32"/>
          <w:szCs w:val="32"/>
        </w:rPr>
      </w:pPr>
    </w:p>
    <w:p>
      <w:pPr>
        <w:ind w:firstLine="643" w:firstLineChars="200"/>
        <w:rPr>
          <w:rFonts w:hint="eastAsia" w:ascii="Times New Roman" w:hAnsi="Times New Roman" w:eastAsia="仿宋_GB2312"/>
          <w:sz w:val="32"/>
          <w:szCs w:val="32"/>
        </w:rPr>
      </w:pPr>
      <w:r>
        <w:rPr>
          <w:rFonts w:hint="eastAsia" w:ascii="黑体" w:hAnsi="黑体" w:eastAsia="黑体"/>
          <w:b/>
          <w:bCs w:val="0"/>
          <w:sz w:val="32"/>
          <w:szCs w:val="32"/>
        </w:rPr>
        <w:t>一、</w:t>
      </w:r>
      <w:r>
        <w:rPr>
          <w:rFonts w:hint="eastAsia" w:ascii="黑体" w:hAnsi="黑体" w:eastAsia="黑体"/>
          <w:b/>
          <w:bCs w:val="0"/>
          <w:sz w:val="32"/>
          <w:szCs w:val="32"/>
          <w:lang w:val="en-US" w:eastAsia="zh-CN"/>
        </w:rPr>
        <w:t>部室项目</w:t>
      </w:r>
      <w:r>
        <w:rPr>
          <w:rFonts w:hint="eastAsia" w:ascii="黑体" w:hAnsi="黑体" w:eastAsia="黑体"/>
          <w:b/>
          <w:bCs w:val="0"/>
          <w:sz w:val="32"/>
          <w:szCs w:val="32"/>
        </w:rPr>
        <w:t>支出概况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w:t>
      </w:r>
      <w:r>
        <w:rPr>
          <w:rFonts w:hint="eastAsia" w:ascii="仿宋" w:hAnsi="仿宋" w:eastAsia="仿宋" w:cs="仿宋"/>
          <w:sz w:val="32"/>
          <w:szCs w:val="32"/>
          <w:lang w:eastAsia="zh-CN"/>
        </w:rPr>
        <w:t>岳阳市</w:t>
      </w:r>
      <w:r>
        <w:rPr>
          <w:rFonts w:hint="eastAsia" w:ascii="仿宋" w:hAnsi="仿宋" w:eastAsia="仿宋" w:cs="仿宋"/>
          <w:sz w:val="32"/>
          <w:szCs w:val="32"/>
        </w:rPr>
        <w:t>总工会预算</w:t>
      </w:r>
      <w:r>
        <w:rPr>
          <w:rFonts w:hint="eastAsia" w:ascii="仿宋" w:hAnsi="仿宋" w:eastAsia="仿宋" w:cs="仿宋"/>
          <w:sz w:val="32"/>
          <w:szCs w:val="32"/>
          <w:lang w:eastAsia="zh-CN"/>
        </w:rPr>
        <w:t>市财政、市总配套帮扶资金</w:t>
      </w:r>
      <w:r>
        <w:rPr>
          <w:rFonts w:hint="eastAsia" w:ascii="仿宋" w:hAnsi="仿宋" w:eastAsia="仿宋" w:cs="仿宋"/>
          <w:sz w:val="32"/>
          <w:szCs w:val="32"/>
          <w:lang w:val="en-US" w:eastAsia="zh-CN"/>
        </w:rPr>
        <w:t>370</w:t>
      </w:r>
      <w:r>
        <w:rPr>
          <w:rFonts w:hint="eastAsia" w:ascii="仿宋" w:hAnsi="仿宋" w:eastAsia="仿宋" w:cs="仿宋"/>
          <w:sz w:val="32"/>
          <w:szCs w:val="32"/>
        </w:rPr>
        <w:t>万元，收到</w:t>
      </w:r>
      <w:r>
        <w:rPr>
          <w:rFonts w:hint="eastAsia" w:ascii="仿宋" w:hAnsi="仿宋" w:eastAsia="仿宋" w:cs="仿宋"/>
          <w:sz w:val="32"/>
          <w:szCs w:val="32"/>
          <w:lang w:eastAsia="zh-CN"/>
        </w:rPr>
        <w:t>市财政、市总配套帮扶资金</w:t>
      </w:r>
      <w:r>
        <w:rPr>
          <w:rFonts w:hint="eastAsia" w:ascii="仿宋" w:hAnsi="仿宋" w:eastAsia="仿宋" w:cs="仿宋"/>
          <w:sz w:val="32"/>
          <w:szCs w:val="32"/>
          <w:lang w:val="en-US" w:eastAsia="zh-CN"/>
        </w:rPr>
        <w:t>370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numPr>
          <w:ilvl w:val="0"/>
          <w:numId w:val="1"/>
        </w:numPr>
        <w:ind w:firstLine="643" w:firstLineChars="200"/>
        <w:rPr>
          <w:rFonts w:hint="eastAsia" w:ascii="黑体" w:hAnsi="黑体" w:eastAsia="黑体"/>
          <w:b/>
          <w:bCs w:val="0"/>
          <w:sz w:val="32"/>
          <w:szCs w:val="32"/>
          <w:lang w:val="en-US" w:eastAsia="zh-CN"/>
        </w:rPr>
      </w:pPr>
      <w:r>
        <w:rPr>
          <w:rFonts w:hint="eastAsia" w:ascii="黑体" w:hAnsi="黑体" w:eastAsia="黑体"/>
          <w:b/>
          <w:bCs w:val="0"/>
          <w:sz w:val="32"/>
          <w:szCs w:val="32"/>
          <w:lang w:val="en-US" w:eastAsia="zh-CN"/>
        </w:rPr>
        <w:t>项目支出绩效情况</w:t>
      </w:r>
    </w:p>
    <w:p>
      <w:pPr>
        <w:pStyle w:val="2"/>
        <w:numPr>
          <w:ilvl w:val="0"/>
          <w:numId w:val="2"/>
        </w:numPr>
        <w:ind w:left="-10" w:leftChars="0" w:firstLine="640" w:firstLineChars="0"/>
        <w:rPr>
          <w:rFonts w:hint="eastAsia" w:ascii="Times New Roman" w:hAnsi="Times New Roman" w:eastAsia="仿宋_GB2312"/>
          <w:sz w:val="32"/>
          <w:szCs w:val="32"/>
        </w:rPr>
      </w:pPr>
      <w:r>
        <w:rPr>
          <w:rFonts w:hint="eastAsia" w:ascii="Times New Roman" w:hAnsi="Times New Roman" w:eastAsia="仿宋_GB2312"/>
          <w:sz w:val="32"/>
          <w:szCs w:val="32"/>
        </w:rPr>
        <w:t>市财政、市总配套帮扶资金</w:t>
      </w:r>
      <w:r>
        <w:rPr>
          <w:rFonts w:hint="eastAsia" w:ascii="Times New Roman" w:hAnsi="Times New Roman" w:eastAsia="仿宋_GB2312"/>
          <w:sz w:val="32"/>
          <w:szCs w:val="32"/>
          <w:lang w:val="en-US" w:eastAsia="zh-CN"/>
        </w:rPr>
        <w:t>项目</w:t>
      </w:r>
      <w:r>
        <w:rPr>
          <w:rFonts w:hint="eastAsia" w:ascii="Times New Roman" w:hAnsi="Times New Roman" w:eastAsia="仿宋_GB2312"/>
          <w:sz w:val="32"/>
          <w:szCs w:val="32"/>
        </w:rPr>
        <w:t>情况。</w:t>
      </w:r>
    </w:p>
    <w:p>
      <w:pPr>
        <w:pStyle w:val="2"/>
        <w:keepNext w:val="0"/>
        <w:keepLines w:val="0"/>
        <w:pageBreakBefore w:val="0"/>
        <w:widowControl w:val="0"/>
        <w:numPr>
          <w:numId w:val="0"/>
        </w:numPr>
        <w:kinsoku/>
        <w:wordWrap/>
        <w:overflowPunct/>
        <w:topLinePunct w:val="0"/>
        <w:bidi w:val="0"/>
        <w:adjustRightInd/>
        <w:snapToGrid/>
        <w:spacing w:line="560" w:lineRule="exact"/>
        <w:ind w:firstLine="640" w:firstLineChars="200"/>
        <w:textAlignment w:val="auto"/>
        <w:rPr>
          <w:rFonts w:hint="eastAsia" w:ascii="仿宋" w:hAnsi="仿宋" w:eastAsia="仿宋" w:cs="仿宋"/>
          <w:w w:val="100"/>
          <w:sz w:val="32"/>
          <w:szCs w:val="32"/>
          <w:highlight w:val="none"/>
          <w:lang w:val="en-US" w:eastAsia="zh-CN"/>
        </w:rPr>
      </w:pPr>
      <w:r>
        <w:rPr>
          <w:rFonts w:hint="eastAsia" w:ascii="仿宋" w:hAnsi="仿宋" w:eastAsia="仿宋" w:cs="仿宋"/>
          <w:w w:val="100"/>
          <w:sz w:val="32"/>
          <w:szCs w:val="32"/>
          <w:highlight w:val="none"/>
          <w:lang w:val="en-US" w:eastAsia="zh-CN"/>
        </w:rPr>
        <w:t>1.基本情况</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cs="仿宋"/>
          <w:w w:val="100"/>
          <w:sz w:val="32"/>
          <w:szCs w:val="32"/>
          <w:highlight w:val="yellow"/>
          <w:lang w:val="en-US" w:eastAsia="zh-CN"/>
        </w:rPr>
      </w:pPr>
      <w:r>
        <w:rPr>
          <w:rFonts w:hint="eastAsia" w:ascii="仿宋" w:hAnsi="仿宋" w:eastAsia="仿宋" w:cs="仿宋"/>
          <w:w w:val="100"/>
          <w:sz w:val="32"/>
          <w:szCs w:val="32"/>
          <w:lang w:eastAsia="zh-CN"/>
        </w:rPr>
        <w:t>市财政、市总配套帮扶资金</w:t>
      </w:r>
      <w:r>
        <w:rPr>
          <w:rFonts w:hint="eastAsia" w:ascii="仿宋" w:hAnsi="仿宋" w:eastAsia="仿宋" w:cs="仿宋"/>
          <w:w w:val="100"/>
          <w:sz w:val="32"/>
          <w:szCs w:val="32"/>
        </w:rPr>
        <w:t>严格按照文件规定执行。通过为困难职工提供生活帮扶、医疗救助、助学帮扶和送温暖，使困难职工的困难状况得到缓解，使广大困难职工切实感受到党和政府对困难职工的关怀和帮扶</w:t>
      </w:r>
      <w:r>
        <w:rPr>
          <w:rFonts w:hint="eastAsia" w:ascii="仿宋" w:hAnsi="仿宋" w:eastAsia="仿宋" w:cs="仿宋"/>
          <w:w w:val="100"/>
          <w:sz w:val="32"/>
          <w:szCs w:val="32"/>
          <w:lang w:eastAsia="zh-CN"/>
        </w:rPr>
        <w:t>。</w:t>
      </w:r>
    </w:p>
    <w:p>
      <w:pPr>
        <w:pStyle w:val="9"/>
        <w:keepNext w:val="0"/>
        <w:keepLines w:val="0"/>
        <w:pageBreakBefore w:val="0"/>
        <w:widowControl w:val="0"/>
        <w:numPr>
          <w:ilvl w:val="0"/>
          <w:numId w:val="0"/>
        </w:numPr>
        <w:tabs>
          <w:tab w:val="left" w:pos="1851"/>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 w:hAnsi="仿宋" w:eastAsia="仿宋" w:cs="仿宋"/>
          <w:w w:val="100"/>
          <w:sz w:val="32"/>
          <w:szCs w:val="32"/>
        </w:rPr>
      </w:pPr>
      <w:bookmarkStart w:id="0" w:name="_GoBack"/>
      <w:bookmarkEnd w:id="0"/>
      <w:r>
        <w:rPr>
          <w:rFonts w:hint="eastAsia" w:ascii="仿宋" w:hAnsi="仿宋" w:eastAsia="仿宋" w:cs="仿宋"/>
          <w:w w:val="100"/>
          <w:sz w:val="32"/>
          <w:szCs w:val="32"/>
          <w:lang w:val="en-US" w:eastAsia="zh-CN"/>
        </w:rPr>
        <w:t>2.</w:t>
      </w:r>
      <w:r>
        <w:rPr>
          <w:rFonts w:hint="eastAsia" w:ascii="仿宋" w:hAnsi="仿宋" w:eastAsia="仿宋" w:cs="仿宋"/>
          <w:w w:val="100"/>
          <w:sz w:val="32"/>
          <w:szCs w:val="32"/>
        </w:rPr>
        <w:t>资金使用</w:t>
      </w:r>
      <w:r>
        <w:rPr>
          <w:rFonts w:hint="eastAsia" w:ascii="仿宋" w:hAnsi="仿宋" w:eastAsia="仿宋" w:cs="仿宋"/>
          <w:w w:val="100"/>
          <w:sz w:val="32"/>
          <w:szCs w:val="32"/>
          <w:lang w:val="en-US" w:eastAsia="zh-CN"/>
        </w:rPr>
        <w:t>及管理</w:t>
      </w:r>
      <w:r>
        <w:rPr>
          <w:rFonts w:hint="eastAsia" w:ascii="仿宋" w:hAnsi="仿宋" w:eastAsia="仿宋" w:cs="仿宋"/>
          <w:w w:val="100"/>
          <w:sz w:val="32"/>
          <w:szCs w:val="32"/>
        </w:rPr>
        <w:t>情况</w:t>
      </w:r>
    </w:p>
    <w:p>
      <w:pPr>
        <w:pStyle w:val="2"/>
        <w:keepNext w:val="0"/>
        <w:keepLines w:val="0"/>
        <w:pageBreakBefore w:val="0"/>
        <w:widowControl w:val="0"/>
        <w:numPr>
          <w:numId w:val="0"/>
        </w:numPr>
        <w:kinsoku/>
        <w:wordWrap/>
        <w:overflowPunct/>
        <w:topLinePunct w:val="0"/>
        <w:bidi w:val="0"/>
        <w:adjustRightInd/>
        <w:snapToGrid/>
        <w:spacing w:line="560" w:lineRule="exact"/>
        <w:ind w:firstLine="640" w:firstLineChars="200"/>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1</w:t>
      </w: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项目资金安排落实、总投入等情况分析。</w:t>
      </w:r>
    </w:p>
    <w:p>
      <w:pPr>
        <w:pStyle w:val="2"/>
        <w:keepNext w:val="0"/>
        <w:keepLines w:val="0"/>
        <w:pageBreakBefore w:val="0"/>
        <w:widowControl w:val="0"/>
        <w:numPr>
          <w:numId w:val="0"/>
        </w:numPr>
        <w:kinsoku/>
        <w:wordWrap/>
        <w:overflowPunct/>
        <w:topLinePunct w:val="0"/>
        <w:bidi w:val="0"/>
        <w:adjustRightInd/>
        <w:snapToGrid/>
        <w:spacing w:line="560" w:lineRule="exact"/>
        <w:ind w:firstLine="640" w:firstLineChars="200"/>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rPr>
        <w:t>202</w:t>
      </w:r>
      <w:r>
        <w:rPr>
          <w:rFonts w:hint="eastAsia" w:ascii="仿宋" w:hAnsi="仿宋" w:eastAsia="仿宋" w:cs="仿宋"/>
          <w:w w:val="100"/>
          <w:sz w:val="32"/>
          <w:szCs w:val="32"/>
          <w:lang w:val="en-US" w:eastAsia="zh-CN"/>
        </w:rPr>
        <w:t>1</w:t>
      </w:r>
      <w:r>
        <w:rPr>
          <w:rFonts w:hint="eastAsia" w:ascii="仿宋" w:hAnsi="仿宋" w:eastAsia="仿宋" w:cs="仿宋"/>
          <w:w w:val="100"/>
          <w:sz w:val="32"/>
          <w:szCs w:val="32"/>
        </w:rPr>
        <w:t>年度</w:t>
      </w:r>
      <w:r>
        <w:rPr>
          <w:rFonts w:hint="eastAsia" w:ascii="仿宋" w:hAnsi="仿宋" w:eastAsia="仿宋" w:cs="仿宋"/>
          <w:w w:val="100"/>
          <w:sz w:val="32"/>
          <w:szCs w:val="32"/>
          <w:lang w:eastAsia="zh-CN"/>
        </w:rPr>
        <w:t>岳阳市</w:t>
      </w:r>
      <w:r>
        <w:rPr>
          <w:rFonts w:hint="eastAsia" w:ascii="仿宋" w:hAnsi="仿宋" w:eastAsia="仿宋" w:cs="仿宋"/>
          <w:w w:val="100"/>
          <w:sz w:val="32"/>
          <w:szCs w:val="32"/>
        </w:rPr>
        <w:t>总工会</w:t>
      </w:r>
      <w:r>
        <w:rPr>
          <w:rFonts w:hint="eastAsia" w:ascii="仿宋" w:hAnsi="仿宋" w:eastAsia="仿宋" w:cs="仿宋"/>
          <w:w w:val="100"/>
          <w:sz w:val="32"/>
          <w:szCs w:val="32"/>
          <w:lang w:eastAsia="zh-CN"/>
        </w:rPr>
        <w:t>市财政、市总配套帮扶资金</w:t>
      </w:r>
      <w:r>
        <w:rPr>
          <w:rFonts w:hint="eastAsia" w:ascii="仿宋" w:hAnsi="仿宋" w:eastAsia="仿宋" w:cs="仿宋"/>
          <w:w w:val="100"/>
          <w:sz w:val="32"/>
          <w:szCs w:val="32"/>
        </w:rPr>
        <w:t>预算</w:t>
      </w:r>
      <w:r>
        <w:rPr>
          <w:rFonts w:hint="eastAsia" w:ascii="仿宋" w:hAnsi="仿宋" w:eastAsia="仿宋" w:cs="仿宋"/>
          <w:w w:val="100"/>
          <w:sz w:val="32"/>
          <w:szCs w:val="32"/>
          <w:lang w:val="en-US" w:eastAsia="zh-CN"/>
        </w:rPr>
        <w:t>370</w:t>
      </w:r>
      <w:r>
        <w:rPr>
          <w:rFonts w:hint="eastAsia" w:ascii="仿宋" w:hAnsi="仿宋" w:eastAsia="仿宋" w:cs="仿宋"/>
          <w:w w:val="100"/>
          <w:sz w:val="32"/>
          <w:szCs w:val="32"/>
        </w:rPr>
        <w:t>万元，实际到位资金</w:t>
      </w:r>
      <w:r>
        <w:rPr>
          <w:rFonts w:hint="eastAsia" w:ascii="仿宋" w:hAnsi="仿宋" w:eastAsia="仿宋" w:cs="仿宋"/>
          <w:w w:val="100"/>
          <w:sz w:val="32"/>
          <w:szCs w:val="32"/>
          <w:lang w:val="en-US" w:eastAsia="zh-CN"/>
        </w:rPr>
        <w:t>370</w:t>
      </w:r>
      <w:r>
        <w:rPr>
          <w:rFonts w:hint="eastAsia" w:ascii="仿宋" w:hAnsi="仿宋" w:eastAsia="仿宋" w:cs="仿宋"/>
          <w:w w:val="100"/>
          <w:sz w:val="32"/>
          <w:szCs w:val="32"/>
        </w:rPr>
        <w:t>万元。</w:t>
      </w:r>
    </w:p>
    <w:p>
      <w:pPr>
        <w:pStyle w:val="9"/>
        <w:keepNext w:val="0"/>
        <w:keepLines w:val="0"/>
        <w:pageBreakBefore w:val="0"/>
        <w:widowControl w:val="0"/>
        <w:numPr>
          <w:ilvl w:val="0"/>
          <w:numId w:val="0"/>
        </w:numPr>
        <w:tabs>
          <w:tab w:val="left" w:pos="1851"/>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（2）项目资金实际使用情况分析。</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cs="仿宋"/>
          <w:w w:val="100"/>
          <w:kern w:val="0"/>
          <w:sz w:val="32"/>
          <w:szCs w:val="32"/>
          <w:lang w:eastAsia="zh-CN"/>
        </w:rPr>
      </w:pPr>
      <w:r>
        <w:rPr>
          <w:rFonts w:hint="eastAsia" w:ascii="仿宋" w:hAnsi="仿宋" w:eastAsia="仿宋" w:cs="仿宋"/>
          <w:w w:val="100"/>
          <w:kern w:val="0"/>
          <w:sz w:val="32"/>
          <w:szCs w:val="32"/>
          <w:lang w:eastAsia="zh-CN"/>
        </w:rPr>
        <w:t>我们严格按照相关规定，由权益保障部会同财务资产部共同起草资金分配方案。根据各县市区建档困难职工情况，资金申请情况、走访摸底情况及市财总体资金情况统筹考虑进行合理分配。</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cs="仿宋"/>
          <w:w w:val="100"/>
          <w:sz w:val="32"/>
          <w:szCs w:val="32"/>
          <w:lang w:val="en-US" w:eastAsia="zh-CN"/>
        </w:rPr>
      </w:pPr>
      <w:r>
        <w:rPr>
          <w:rFonts w:hint="eastAsia" w:ascii="仿宋" w:hAnsi="仿宋" w:eastAsia="仿宋" w:cs="仿宋"/>
          <w:w w:val="100"/>
          <w:kern w:val="0"/>
          <w:sz w:val="32"/>
          <w:szCs w:val="32"/>
          <w:lang w:eastAsia="zh-CN"/>
        </w:rPr>
        <w:t>上述资金根据相关规定，在</w:t>
      </w:r>
      <w:r>
        <w:rPr>
          <w:rFonts w:hint="eastAsia" w:ascii="仿宋" w:hAnsi="仿宋" w:eastAsia="仿宋" w:cs="仿宋"/>
          <w:w w:val="100"/>
          <w:kern w:val="0"/>
          <w:sz w:val="32"/>
          <w:szCs w:val="32"/>
          <w:lang w:val="en-US" w:eastAsia="zh-CN"/>
        </w:rPr>
        <w:t>2022年1月前内全部使用完毕。</w:t>
      </w:r>
    </w:p>
    <w:p>
      <w:pPr>
        <w:pStyle w:val="9"/>
        <w:keepNext w:val="0"/>
        <w:keepLines w:val="0"/>
        <w:pageBreakBefore w:val="0"/>
        <w:widowControl w:val="0"/>
        <w:numPr>
          <w:ilvl w:val="0"/>
          <w:numId w:val="0"/>
        </w:numPr>
        <w:tabs>
          <w:tab w:val="left" w:pos="1851"/>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 w:hAnsi="仿宋" w:eastAsia="仿宋" w:cs="仿宋"/>
          <w:w w:val="100"/>
          <w:sz w:val="32"/>
          <w:szCs w:val="32"/>
          <w:highlight w:val="none"/>
          <w:lang w:val="en-US" w:eastAsia="zh-CN"/>
        </w:rPr>
      </w:pPr>
      <w:r>
        <w:rPr>
          <w:rFonts w:hint="eastAsia" w:ascii="仿宋" w:hAnsi="仿宋" w:eastAsia="仿宋" w:cs="仿宋"/>
          <w:w w:val="100"/>
          <w:sz w:val="32"/>
          <w:szCs w:val="32"/>
          <w:highlight w:val="none"/>
          <w:lang w:eastAsia="zh-CN"/>
        </w:rPr>
        <w:t>（</w:t>
      </w:r>
      <w:r>
        <w:rPr>
          <w:rFonts w:hint="eastAsia" w:ascii="仿宋" w:hAnsi="仿宋" w:eastAsia="仿宋" w:cs="仿宋"/>
          <w:w w:val="100"/>
          <w:sz w:val="32"/>
          <w:szCs w:val="32"/>
          <w:highlight w:val="none"/>
          <w:lang w:val="en-US" w:eastAsia="zh-CN"/>
        </w:rPr>
        <w:t>3</w:t>
      </w:r>
      <w:r>
        <w:rPr>
          <w:rFonts w:hint="eastAsia" w:ascii="仿宋" w:hAnsi="仿宋" w:eastAsia="仿宋" w:cs="仿宋"/>
          <w:w w:val="100"/>
          <w:sz w:val="32"/>
          <w:szCs w:val="32"/>
          <w:highlight w:val="none"/>
          <w:lang w:eastAsia="zh-CN"/>
        </w:rPr>
        <w:t>）</w:t>
      </w:r>
      <w:r>
        <w:rPr>
          <w:rFonts w:hint="eastAsia" w:ascii="仿宋" w:hAnsi="仿宋" w:eastAsia="仿宋" w:cs="仿宋"/>
          <w:w w:val="100"/>
          <w:sz w:val="32"/>
          <w:szCs w:val="32"/>
          <w:highlight w:val="none"/>
          <w:lang w:val="en-US" w:eastAsia="zh-CN"/>
        </w:rPr>
        <w:t>项目资金管理情况（包括管理制度、办法的制定及执行情况）分析。</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cs="仿宋"/>
          <w:w w:val="100"/>
          <w:sz w:val="32"/>
          <w:szCs w:val="32"/>
          <w:highlight w:val="yellow"/>
          <w:lang w:val="en-US" w:eastAsia="zh-CN"/>
        </w:rPr>
      </w:pPr>
      <w:r>
        <w:rPr>
          <w:rFonts w:hint="eastAsia" w:ascii="仿宋" w:hAnsi="仿宋" w:eastAsia="仿宋" w:cs="仿宋"/>
          <w:w w:val="100"/>
          <w:sz w:val="32"/>
          <w:szCs w:val="32"/>
          <w:lang w:eastAsia="zh-CN"/>
        </w:rPr>
        <w:t>岳阳市</w:t>
      </w:r>
      <w:r>
        <w:rPr>
          <w:rFonts w:hint="eastAsia" w:ascii="仿宋" w:hAnsi="仿宋" w:eastAsia="仿宋" w:cs="仿宋"/>
          <w:w w:val="100"/>
          <w:sz w:val="32"/>
          <w:szCs w:val="32"/>
        </w:rPr>
        <w:t>总工会</w:t>
      </w:r>
      <w:r>
        <w:rPr>
          <w:rFonts w:hint="eastAsia" w:ascii="仿宋" w:hAnsi="仿宋" w:eastAsia="仿宋" w:cs="仿宋"/>
          <w:w w:val="100"/>
          <w:sz w:val="32"/>
          <w:szCs w:val="32"/>
          <w:lang w:eastAsia="zh-CN"/>
        </w:rPr>
        <w:t>市财政、市总配套帮扶资金</w:t>
      </w:r>
      <w:r>
        <w:rPr>
          <w:rFonts w:hint="eastAsia" w:ascii="仿宋" w:hAnsi="仿宋" w:eastAsia="仿宋" w:cs="仿宋"/>
          <w:w w:val="100"/>
          <w:sz w:val="32"/>
          <w:szCs w:val="32"/>
        </w:rPr>
        <w:t>严格按照全总、省总的相关文件要求，对困难职工建档标准、档案管理、补助标准及限额管理、帮扶资金管理均作出具体明确要求。</w:t>
      </w:r>
    </w:p>
    <w:p>
      <w:pPr>
        <w:pStyle w:val="9"/>
        <w:keepNext w:val="0"/>
        <w:keepLines w:val="0"/>
        <w:pageBreakBefore w:val="0"/>
        <w:widowControl w:val="0"/>
        <w:numPr>
          <w:ilvl w:val="0"/>
          <w:numId w:val="0"/>
        </w:numPr>
        <w:tabs>
          <w:tab w:val="left" w:pos="1851"/>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 w:hAnsi="仿宋" w:eastAsia="仿宋" w:cs="仿宋"/>
          <w:w w:val="100"/>
          <w:sz w:val="32"/>
          <w:szCs w:val="32"/>
        </w:rPr>
      </w:pPr>
      <w:r>
        <w:rPr>
          <w:rFonts w:hint="eastAsia" w:ascii="仿宋" w:hAnsi="仿宋" w:eastAsia="仿宋" w:cs="仿宋"/>
          <w:w w:val="100"/>
          <w:sz w:val="32"/>
          <w:szCs w:val="32"/>
          <w:highlight w:val="none"/>
          <w:lang w:val="en-US" w:eastAsia="zh-CN"/>
        </w:rPr>
        <w:t>3.</w:t>
      </w:r>
      <w:r>
        <w:rPr>
          <w:rFonts w:hint="eastAsia" w:ascii="仿宋" w:hAnsi="仿宋" w:eastAsia="仿宋" w:cs="仿宋"/>
          <w:w w:val="100"/>
          <w:sz w:val="32"/>
          <w:szCs w:val="32"/>
          <w:lang w:val="en-US" w:eastAsia="zh-CN"/>
        </w:rPr>
        <w:t>组织实施</w:t>
      </w:r>
      <w:r>
        <w:rPr>
          <w:rFonts w:hint="eastAsia" w:ascii="仿宋" w:hAnsi="仿宋" w:eastAsia="仿宋" w:cs="仿宋"/>
          <w:w w:val="100"/>
          <w:sz w:val="32"/>
          <w:szCs w:val="32"/>
        </w:rPr>
        <w:t>情况。</w:t>
      </w:r>
    </w:p>
    <w:p>
      <w:pPr>
        <w:pStyle w:val="9"/>
        <w:keepNext w:val="0"/>
        <w:keepLines w:val="0"/>
        <w:pageBreakBefore w:val="0"/>
        <w:widowControl w:val="0"/>
        <w:numPr>
          <w:ilvl w:val="0"/>
          <w:numId w:val="0"/>
        </w:numPr>
        <w:tabs>
          <w:tab w:val="left" w:pos="1851"/>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1</w:t>
      </w: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项目组织情况（包括项目招投标情况、调整情况、完成验收等）分析。</w:t>
      </w:r>
    </w:p>
    <w:p>
      <w:pPr>
        <w:pStyle w:val="9"/>
        <w:keepNext w:val="0"/>
        <w:keepLines w:val="0"/>
        <w:pageBreakBefore w:val="0"/>
        <w:widowControl w:val="0"/>
        <w:numPr>
          <w:ilvl w:val="0"/>
          <w:numId w:val="0"/>
        </w:numPr>
        <w:tabs>
          <w:tab w:val="left" w:pos="1851"/>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eastAsia="zh-CN"/>
        </w:rPr>
        <w:t>市总工会严格按照《湖南省工会送温暖资金使用管理实施细则(试行)》（湘工办发〔2020〕21号）《湖南省工会专项帮扶资金使用管理实施细则》《湖南省工会困难职工档案管理办法》（湘工办发〔2020〕26号）的相关规定，编写了《岳阳档案管理、专项资金使用和送温暖资金管理操作手册》，先后下发了《关于开展</w:t>
      </w:r>
      <w:r>
        <w:rPr>
          <w:rFonts w:hint="eastAsia" w:ascii="仿宋" w:hAnsi="仿宋" w:eastAsia="仿宋" w:cs="仿宋"/>
          <w:w w:val="100"/>
          <w:sz w:val="32"/>
          <w:szCs w:val="32"/>
          <w:lang w:val="en-US" w:eastAsia="zh-CN"/>
        </w:rPr>
        <w:t>2021年度困难职工建档工作的通知</w:t>
      </w:r>
      <w:r>
        <w:rPr>
          <w:rFonts w:hint="eastAsia" w:ascii="仿宋" w:hAnsi="仿宋" w:eastAsia="仿宋" w:cs="仿宋"/>
          <w:w w:val="100"/>
          <w:sz w:val="32"/>
          <w:szCs w:val="32"/>
          <w:lang w:eastAsia="zh-CN"/>
        </w:rPr>
        <w:t>》《关于进一步规范建档困难职工档案管理的通知》《关于开展常态化送温暖活动的通知》等文件，</w:t>
      </w:r>
      <w:r>
        <w:rPr>
          <w:rFonts w:hint="eastAsia" w:ascii="仿宋" w:hAnsi="仿宋" w:eastAsia="仿宋" w:cs="仿宋"/>
          <w:w w:val="100"/>
          <w:sz w:val="32"/>
          <w:szCs w:val="32"/>
        </w:rPr>
        <w:t>明确了帮扶对象、帮扶程序、帮扶标准和帮扶类别，</w:t>
      </w:r>
      <w:r>
        <w:rPr>
          <w:rFonts w:hint="eastAsia" w:ascii="仿宋" w:hAnsi="仿宋" w:eastAsia="仿宋" w:cs="仿宋"/>
          <w:snapToGrid w:val="0"/>
          <w:w w:val="100"/>
          <w:kern w:val="0"/>
          <w:sz w:val="32"/>
          <w:szCs w:val="32"/>
        </w:rPr>
        <w:t>困难职工帮扶中心负责本级困难职工的建档，县市区总工会负责辖区内困难职工的建档；市总财务部负责帮扶资金的接收、拨付，明确帮扶资金来源、使用方向和会计科目；</w:t>
      </w:r>
      <w:r>
        <w:rPr>
          <w:rFonts w:hint="eastAsia" w:ascii="仿宋" w:hAnsi="仿宋" w:eastAsia="仿宋" w:cs="仿宋"/>
          <w:snapToGrid w:val="0"/>
          <w:w w:val="100"/>
          <w:kern w:val="0"/>
          <w:sz w:val="32"/>
          <w:szCs w:val="32"/>
          <w:lang w:eastAsia="zh-CN"/>
        </w:rPr>
        <w:t>市</w:t>
      </w:r>
      <w:r>
        <w:rPr>
          <w:rFonts w:hint="eastAsia" w:ascii="仿宋" w:hAnsi="仿宋" w:eastAsia="仿宋" w:cs="仿宋"/>
          <w:snapToGrid w:val="0"/>
          <w:w w:val="100"/>
          <w:kern w:val="0"/>
          <w:sz w:val="32"/>
          <w:szCs w:val="32"/>
        </w:rPr>
        <w:t>总经审委负责</w:t>
      </w:r>
      <w:r>
        <w:rPr>
          <w:rFonts w:hint="eastAsia" w:ascii="仿宋" w:hAnsi="仿宋" w:eastAsia="仿宋" w:cs="仿宋"/>
          <w:snapToGrid w:val="0"/>
          <w:w w:val="100"/>
          <w:kern w:val="0"/>
          <w:sz w:val="32"/>
          <w:szCs w:val="32"/>
          <w:lang w:eastAsia="zh-CN"/>
        </w:rPr>
        <w:t>全市</w:t>
      </w:r>
      <w:r>
        <w:rPr>
          <w:rFonts w:hint="eastAsia" w:ascii="仿宋" w:hAnsi="仿宋" w:eastAsia="仿宋" w:cs="仿宋"/>
          <w:snapToGrid w:val="0"/>
          <w:w w:val="100"/>
          <w:kern w:val="0"/>
          <w:sz w:val="32"/>
          <w:szCs w:val="32"/>
        </w:rPr>
        <w:t>帮扶资金使用管理的审计监督，对帮扶资金使用情况开展审计工作；</w:t>
      </w:r>
      <w:r>
        <w:rPr>
          <w:rFonts w:hint="eastAsia" w:ascii="仿宋" w:hAnsi="仿宋" w:eastAsia="仿宋" w:cs="仿宋"/>
          <w:snapToGrid w:val="0"/>
          <w:w w:val="100"/>
          <w:kern w:val="0"/>
          <w:sz w:val="32"/>
          <w:szCs w:val="32"/>
          <w:lang w:eastAsia="zh-CN"/>
        </w:rPr>
        <w:t>市总权益保障部</w:t>
      </w:r>
      <w:r>
        <w:rPr>
          <w:rFonts w:hint="eastAsia" w:ascii="仿宋" w:hAnsi="仿宋" w:eastAsia="仿宋" w:cs="仿宋"/>
          <w:snapToGrid w:val="0"/>
          <w:w w:val="100"/>
          <w:kern w:val="0"/>
          <w:sz w:val="32"/>
          <w:szCs w:val="32"/>
        </w:rPr>
        <w:t>对帮扶资金的使用和管理进行指导督查。</w:t>
      </w:r>
    </w:p>
    <w:p>
      <w:pPr>
        <w:pStyle w:val="2"/>
        <w:keepNext w:val="0"/>
        <w:keepLines w:val="0"/>
        <w:pageBreakBefore w:val="0"/>
        <w:widowControl w:val="0"/>
        <w:numPr>
          <w:ilvl w:val="0"/>
          <w:numId w:val="3"/>
        </w:numPr>
        <w:kinsoku/>
        <w:wordWrap/>
        <w:overflowPunct/>
        <w:topLinePunct w:val="0"/>
        <w:bidi w:val="0"/>
        <w:adjustRightInd/>
        <w:snapToGrid/>
        <w:spacing w:line="560" w:lineRule="exact"/>
        <w:ind w:left="210" w:leftChars="0" w:firstLineChars="0"/>
        <w:textAlignment w:val="auto"/>
        <w:rPr>
          <w:rFonts w:hint="eastAsia" w:ascii="仿宋" w:hAnsi="仿宋" w:eastAsia="仿宋" w:cs="仿宋"/>
          <w:w w:val="100"/>
          <w:sz w:val="32"/>
          <w:szCs w:val="32"/>
          <w:highlight w:val="none"/>
          <w:lang w:val="en-US" w:eastAsia="zh-CN"/>
        </w:rPr>
      </w:pPr>
      <w:r>
        <w:rPr>
          <w:rFonts w:hint="eastAsia" w:ascii="仿宋" w:hAnsi="仿宋" w:eastAsia="仿宋" w:cs="仿宋"/>
          <w:w w:val="100"/>
          <w:sz w:val="32"/>
          <w:szCs w:val="32"/>
          <w:highlight w:val="none"/>
          <w:lang w:val="en-US" w:eastAsia="zh-CN"/>
        </w:rPr>
        <w:t>项目管理情况（包括项目管理制度建设、日常检查监督管理情况）分析。</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cs="仿宋"/>
          <w:w w:val="100"/>
          <w:sz w:val="32"/>
          <w:szCs w:val="32"/>
          <w:highlight w:val="yellow"/>
          <w:lang w:val="en-US" w:eastAsia="zh-CN"/>
        </w:rPr>
      </w:pPr>
      <w:r>
        <w:rPr>
          <w:rFonts w:hint="eastAsia" w:ascii="仿宋" w:hAnsi="仿宋" w:eastAsia="仿宋" w:cs="仿宋"/>
          <w:w w:val="100"/>
          <w:sz w:val="32"/>
          <w:szCs w:val="32"/>
          <w:lang w:val="en-US" w:eastAsia="zh-CN"/>
        </w:rPr>
        <w:t>严格按照岳阳市总工会档案管理办法及岳阳市专项帮扶资金和常态化送温暖资金使用细则执行项目，由基层申报对象，困难职工帮扶中心负责审核，做到“底子清、账目明”。市总权益保障部每年结合资金审计、专项检查等工作进行检查，监督。同时，不定时对系统内档案进行抽查，确保档案符合要求。</w:t>
      </w:r>
    </w:p>
    <w:p>
      <w:pPr>
        <w:pStyle w:val="9"/>
        <w:keepNext w:val="0"/>
        <w:keepLines w:val="0"/>
        <w:pageBreakBefore w:val="0"/>
        <w:widowControl w:val="0"/>
        <w:numPr>
          <w:ilvl w:val="0"/>
          <w:numId w:val="0"/>
        </w:numPr>
        <w:tabs>
          <w:tab w:val="left" w:pos="1851"/>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4.项目绩效情况</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cs="仿宋"/>
          <w:w w:val="100"/>
          <w:sz w:val="32"/>
          <w:szCs w:val="32"/>
          <w:highlight w:val="none"/>
          <w:lang w:val="en-US" w:eastAsia="zh-CN"/>
        </w:rPr>
      </w:pPr>
      <w:r>
        <w:rPr>
          <w:rFonts w:hint="eastAsia" w:ascii="仿宋" w:hAnsi="仿宋" w:eastAsia="仿宋" w:cs="仿宋"/>
          <w:w w:val="100"/>
          <w:sz w:val="32"/>
          <w:szCs w:val="32"/>
          <w:highlight w:val="none"/>
          <w:lang w:val="en-US" w:eastAsia="zh-CN"/>
        </w:rPr>
        <w:t>（1）项目绩效目标完成情况分析。将项目支出后的实际状况分析与申报的绩效目标对比，对部室项目支出的产出指标和效益指标细化后三级绩效指标进行量化、具体分析。</w:t>
      </w: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ascii="仿宋" w:hAnsi="仿宋" w:eastAsia="仿宋" w:cs="仿宋"/>
          <w:w w:val="100"/>
          <w:sz w:val="32"/>
          <w:szCs w:val="32"/>
        </w:rPr>
      </w:pPr>
      <w:r>
        <w:rPr>
          <w:rFonts w:hint="eastAsia" w:ascii="仿宋" w:hAnsi="仿宋" w:eastAsia="仿宋" w:cs="仿宋"/>
          <w:w w:val="100"/>
          <w:sz w:val="32"/>
          <w:szCs w:val="32"/>
          <w:lang w:eastAsia="zh-CN"/>
        </w:rPr>
        <w:t>市财政、市总配套帮扶资金</w:t>
      </w:r>
      <w:r>
        <w:rPr>
          <w:rFonts w:hint="eastAsia" w:ascii="仿宋" w:hAnsi="仿宋" w:eastAsia="仿宋" w:cs="仿宋"/>
          <w:w w:val="100"/>
          <w:sz w:val="32"/>
          <w:szCs w:val="32"/>
        </w:rPr>
        <w:t>严格按照文件规定执行。资金分配方案确定后，直接发放给个人的，由帮扶中心集体研究后，制作实名制汇总表，并及时打卡发放到位；资金发放到县市区的，权益保障部会同财务资产部共同下发拨款通知单，注明资金总额、资金来源、资金性质、资金金额和资金使用要求。资金全部实行银行卡发放，无现金发放情况，银行对账单据作为原始凭证。</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rPr>
        <w:t>202</w:t>
      </w:r>
      <w:r>
        <w:rPr>
          <w:rFonts w:hint="eastAsia" w:ascii="仿宋" w:hAnsi="仿宋" w:eastAsia="仿宋" w:cs="仿宋"/>
          <w:w w:val="100"/>
          <w:sz w:val="32"/>
          <w:szCs w:val="32"/>
          <w:lang w:val="en-US" w:eastAsia="zh-CN"/>
        </w:rPr>
        <w:t>1</w:t>
      </w:r>
      <w:r>
        <w:rPr>
          <w:rFonts w:hint="eastAsia" w:ascii="仿宋" w:hAnsi="仿宋" w:eastAsia="仿宋" w:cs="仿宋"/>
          <w:w w:val="100"/>
          <w:sz w:val="32"/>
          <w:szCs w:val="32"/>
        </w:rPr>
        <w:t>年度</w:t>
      </w:r>
      <w:r>
        <w:rPr>
          <w:rFonts w:hint="eastAsia" w:ascii="仿宋" w:hAnsi="仿宋" w:eastAsia="仿宋" w:cs="仿宋"/>
          <w:w w:val="100"/>
          <w:sz w:val="32"/>
          <w:szCs w:val="32"/>
          <w:lang w:eastAsia="zh-CN"/>
        </w:rPr>
        <w:t>市财政、市总配套帮扶资金</w:t>
      </w:r>
      <w:r>
        <w:rPr>
          <w:rFonts w:hint="eastAsia" w:ascii="仿宋" w:hAnsi="仿宋" w:eastAsia="仿宋" w:cs="仿宋"/>
          <w:w w:val="100"/>
          <w:sz w:val="32"/>
          <w:szCs w:val="32"/>
        </w:rPr>
        <w:t>全年预算安排</w:t>
      </w:r>
      <w:r>
        <w:rPr>
          <w:rFonts w:hint="eastAsia" w:ascii="仿宋" w:hAnsi="仿宋" w:eastAsia="仿宋" w:cs="仿宋"/>
          <w:w w:val="100"/>
          <w:sz w:val="32"/>
          <w:szCs w:val="32"/>
          <w:lang w:val="en-US" w:eastAsia="zh-CN"/>
        </w:rPr>
        <w:t>370</w:t>
      </w:r>
      <w:r>
        <w:rPr>
          <w:rFonts w:hint="eastAsia" w:ascii="仿宋" w:hAnsi="仿宋" w:eastAsia="仿宋" w:cs="仿宋"/>
          <w:w w:val="100"/>
          <w:sz w:val="32"/>
          <w:szCs w:val="32"/>
        </w:rPr>
        <w:t>万元，截止12月底实际支出</w:t>
      </w:r>
      <w:r>
        <w:rPr>
          <w:rFonts w:hint="eastAsia" w:ascii="仿宋" w:hAnsi="仿宋" w:eastAsia="仿宋" w:cs="仿宋"/>
          <w:w w:val="100"/>
          <w:sz w:val="32"/>
          <w:szCs w:val="32"/>
          <w:lang w:val="en-US" w:eastAsia="zh-CN"/>
        </w:rPr>
        <w:t>273.79万</w:t>
      </w:r>
      <w:r>
        <w:rPr>
          <w:rFonts w:hint="eastAsia" w:ascii="仿宋" w:hAnsi="仿宋" w:eastAsia="仿宋" w:cs="仿宋"/>
          <w:w w:val="100"/>
          <w:sz w:val="32"/>
          <w:szCs w:val="32"/>
        </w:rPr>
        <w:t>元，</w:t>
      </w:r>
      <w:r>
        <w:rPr>
          <w:rFonts w:hint="eastAsia" w:ascii="仿宋" w:hAnsi="仿宋" w:eastAsia="仿宋" w:cs="仿宋"/>
          <w:w w:val="100"/>
          <w:sz w:val="32"/>
          <w:szCs w:val="32"/>
          <w:lang w:eastAsia="zh-CN"/>
        </w:rPr>
        <w:t>截止到</w:t>
      </w:r>
      <w:r>
        <w:rPr>
          <w:rFonts w:hint="eastAsia" w:ascii="仿宋" w:hAnsi="仿宋" w:eastAsia="仿宋" w:cs="仿宋"/>
          <w:w w:val="100"/>
          <w:sz w:val="32"/>
          <w:szCs w:val="32"/>
          <w:lang w:val="en-US" w:eastAsia="zh-CN"/>
        </w:rPr>
        <w:t>2022年1月实际支出370万元，</w:t>
      </w:r>
      <w:r>
        <w:rPr>
          <w:rFonts w:hint="eastAsia" w:ascii="仿宋" w:hAnsi="仿宋" w:eastAsia="仿宋" w:cs="仿宋"/>
          <w:w w:val="100"/>
          <w:sz w:val="32"/>
          <w:szCs w:val="32"/>
        </w:rPr>
        <w:t>执行率为100%。</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rPr>
        <w:t>通过为困难职工提供生活帮扶、医疗救助、助学帮扶和送温暖，使困难职工的困难状况得到缓解，使广大困难职工切实感受到党和政府对困难职工的关怀和帮扶，充分发挥工会帮扶工作在社会救助体系中的</w:t>
      </w:r>
      <w:r>
        <w:rPr>
          <w:rFonts w:hint="eastAsia" w:ascii="仿宋" w:hAnsi="仿宋" w:eastAsia="仿宋" w:cs="仿宋"/>
          <w:w w:val="100"/>
          <w:sz w:val="32"/>
          <w:szCs w:val="32"/>
          <w:lang w:val="en-US" w:eastAsia="zh-CN"/>
        </w:rPr>
        <w:t>查漏补缺</w:t>
      </w:r>
      <w:r>
        <w:rPr>
          <w:rFonts w:hint="eastAsia" w:ascii="仿宋" w:hAnsi="仿宋" w:eastAsia="仿宋" w:cs="仿宋"/>
          <w:w w:val="100"/>
          <w:sz w:val="32"/>
          <w:szCs w:val="32"/>
        </w:rPr>
        <w:t>作用，为实现和谐发展，产生了很好社会效果。</w:t>
      </w:r>
    </w:p>
    <w:p>
      <w:pPr>
        <w:pStyle w:val="9"/>
        <w:keepNext w:val="0"/>
        <w:keepLines w:val="0"/>
        <w:pageBreakBefore w:val="0"/>
        <w:widowControl w:val="0"/>
        <w:numPr>
          <w:ilvl w:val="0"/>
          <w:numId w:val="3"/>
        </w:numPr>
        <w:tabs>
          <w:tab w:val="left" w:pos="1851"/>
        </w:tabs>
        <w:kinsoku/>
        <w:wordWrap/>
        <w:overflowPunct/>
        <w:topLinePunct w:val="0"/>
        <w:autoSpaceDE w:val="0"/>
        <w:autoSpaceDN w:val="0"/>
        <w:bidi w:val="0"/>
        <w:adjustRightInd/>
        <w:snapToGrid/>
        <w:spacing w:before="0" w:after="0" w:line="560" w:lineRule="exact"/>
        <w:ind w:left="210" w:leftChars="0" w:right="0" w:rightChars="0" w:firstLine="420" w:firstLineChars="0"/>
        <w:jc w:val="left"/>
        <w:textAlignment w:val="auto"/>
        <w:rPr>
          <w:rFonts w:hint="eastAsia" w:ascii="仿宋" w:hAnsi="仿宋" w:eastAsia="仿宋" w:cs="仿宋"/>
          <w:w w:val="100"/>
          <w:sz w:val="32"/>
          <w:szCs w:val="32"/>
          <w:highlight w:val="none"/>
          <w:lang w:val="en-US" w:eastAsia="zh-CN"/>
        </w:rPr>
      </w:pPr>
      <w:r>
        <w:rPr>
          <w:rFonts w:hint="eastAsia" w:ascii="仿宋" w:hAnsi="仿宋" w:eastAsia="仿宋" w:cs="仿宋"/>
          <w:w w:val="100"/>
          <w:sz w:val="32"/>
          <w:szCs w:val="32"/>
          <w:highlight w:val="none"/>
          <w:lang w:val="en-US" w:eastAsia="zh-CN"/>
        </w:rPr>
        <w:t>项目绩效目标未完成原因分析。</w:t>
      </w:r>
    </w:p>
    <w:p>
      <w:pPr>
        <w:pStyle w:val="9"/>
        <w:keepNext w:val="0"/>
        <w:keepLines w:val="0"/>
        <w:pageBreakBefore w:val="0"/>
        <w:widowControl w:val="0"/>
        <w:numPr>
          <w:numId w:val="0"/>
        </w:numPr>
        <w:tabs>
          <w:tab w:val="left" w:pos="1851"/>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“两节”送温暖的资金，在农历除夕（2022年1月31日）前发放完毕，而预算执行数统计至2021年12月31日，才出现预算未执行完毕的情况。</w:t>
      </w:r>
    </w:p>
    <w:p>
      <w:pPr>
        <w:pStyle w:val="9"/>
        <w:keepNext w:val="0"/>
        <w:keepLines w:val="0"/>
        <w:pageBreakBefore w:val="0"/>
        <w:widowControl w:val="0"/>
        <w:numPr>
          <w:ilvl w:val="0"/>
          <w:numId w:val="0"/>
        </w:numPr>
        <w:tabs>
          <w:tab w:val="left" w:pos="1851"/>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 w:hAnsi="仿宋" w:eastAsia="仿宋" w:cs="仿宋"/>
          <w:w w:val="100"/>
          <w:sz w:val="32"/>
          <w:szCs w:val="32"/>
          <w:highlight w:val="none"/>
          <w:lang w:val="en-US" w:eastAsia="zh-CN"/>
        </w:rPr>
      </w:pPr>
      <w:r>
        <w:rPr>
          <w:rFonts w:hint="eastAsia" w:ascii="仿宋" w:hAnsi="仿宋" w:eastAsia="仿宋" w:cs="仿宋"/>
          <w:w w:val="100"/>
          <w:sz w:val="32"/>
          <w:szCs w:val="32"/>
          <w:highlight w:val="none"/>
          <w:lang w:val="en-US" w:eastAsia="zh-CN"/>
        </w:rPr>
        <w:t>5.其他需要说明的问题</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cs="仿宋"/>
          <w:w w:val="100"/>
          <w:sz w:val="32"/>
          <w:szCs w:val="32"/>
          <w:highlight w:val="none"/>
          <w:lang w:val="en-US" w:eastAsia="zh-CN"/>
        </w:rPr>
      </w:pPr>
      <w:r>
        <w:rPr>
          <w:rFonts w:hint="eastAsia" w:ascii="仿宋" w:hAnsi="仿宋" w:eastAsia="仿宋" w:cs="仿宋"/>
          <w:w w:val="100"/>
          <w:sz w:val="32"/>
          <w:szCs w:val="32"/>
          <w:highlight w:val="none"/>
          <w:lang w:val="en-US" w:eastAsia="zh-CN"/>
        </w:rPr>
        <w:t>（1） 后续工作计划</w:t>
      </w: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ascii="仿宋" w:hAnsi="仿宋" w:eastAsia="仿宋" w:cs="仿宋"/>
          <w:w w:val="100"/>
          <w:sz w:val="32"/>
          <w:szCs w:val="32"/>
          <w:highlight w:val="none"/>
          <w:lang w:val="en-US" w:eastAsia="zh-CN"/>
        </w:rPr>
      </w:pPr>
      <w:r>
        <w:rPr>
          <w:rFonts w:hint="eastAsia" w:ascii="仿宋" w:hAnsi="仿宋" w:eastAsia="仿宋" w:cs="仿宋"/>
          <w:w w:val="100"/>
          <w:sz w:val="32"/>
          <w:szCs w:val="32"/>
          <w:highlight w:val="none"/>
        </w:rPr>
        <w:t>通过修改和完善了帮扶资金管理办法，加强使用对象的界定和帮扶标准的确定。同时，统筹安排全年的帮扶资金分配，在传统节假日和大型活动期间，制定相应的帮扶月度计划，有序使用帮扶资金，及时解决困难</w:t>
      </w:r>
      <w:r>
        <w:rPr>
          <w:rFonts w:hint="eastAsia" w:ascii="仿宋" w:hAnsi="仿宋" w:eastAsia="仿宋" w:cs="仿宋"/>
          <w:w w:val="100"/>
          <w:sz w:val="32"/>
          <w:szCs w:val="32"/>
          <w:highlight w:val="none"/>
          <w:lang w:eastAsia="zh-CN"/>
        </w:rPr>
        <w:t>职工</w:t>
      </w:r>
      <w:r>
        <w:rPr>
          <w:rFonts w:hint="eastAsia" w:ascii="仿宋" w:hAnsi="仿宋" w:eastAsia="仿宋" w:cs="仿宋"/>
          <w:w w:val="100"/>
          <w:sz w:val="32"/>
          <w:szCs w:val="32"/>
          <w:highlight w:val="none"/>
        </w:rPr>
        <w:t>的当前困难。</w:t>
      </w:r>
    </w:p>
    <w:p>
      <w:pPr>
        <w:pStyle w:val="9"/>
        <w:keepNext w:val="0"/>
        <w:keepLines w:val="0"/>
        <w:pageBreakBefore w:val="0"/>
        <w:widowControl w:val="0"/>
        <w:numPr>
          <w:numId w:val="0"/>
        </w:numPr>
        <w:tabs>
          <w:tab w:val="left" w:pos="1851"/>
        </w:tabs>
        <w:kinsoku/>
        <w:wordWrap/>
        <w:overflowPunct/>
        <w:topLinePunct w:val="0"/>
        <w:autoSpaceDE w:val="0"/>
        <w:autoSpaceDN w:val="0"/>
        <w:bidi w:val="0"/>
        <w:adjustRightInd/>
        <w:snapToGrid/>
        <w:spacing w:before="0" w:after="0" w:line="560" w:lineRule="exact"/>
        <w:ind w:left="630" w:leftChars="0" w:right="0" w:rightChars="0"/>
        <w:jc w:val="left"/>
        <w:textAlignment w:val="auto"/>
        <w:rPr>
          <w:rFonts w:hint="eastAsia" w:ascii="仿宋" w:hAnsi="仿宋" w:eastAsia="仿宋" w:cs="仿宋"/>
          <w:w w:val="100"/>
          <w:sz w:val="32"/>
          <w:szCs w:val="32"/>
          <w:highlight w:val="none"/>
          <w:lang w:val="en-US" w:eastAsia="zh-CN"/>
        </w:rPr>
      </w:pPr>
      <w:r>
        <w:rPr>
          <w:rFonts w:hint="eastAsia" w:ascii="仿宋" w:hAnsi="仿宋" w:eastAsia="仿宋" w:cs="仿宋"/>
          <w:w w:val="100"/>
          <w:sz w:val="32"/>
          <w:szCs w:val="32"/>
          <w:highlight w:val="none"/>
          <w:lang w:val="en-US" w:eastAsia="zh-CN"/>
        </w:rPr>
        <w:t>（2）主要经验及做法、存在问题和建议。（包括资金安排、使用过程中的经验、做法、存在问题、改进措施和有关建议等）</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主要经验做法：根据最新档案管理办法及专项帮扶资金和常态化送温暖资金使用细则，对建档对象分层管理，精准识别；对常态化送温暖对象慰问做到一户一次。</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存在问题：基层单位台账管理不规范。在自查中发现，所有资金均按要求拨付到位，但在台账管理上不规范，如部分县市区将省财帮扶资金和央财、市财资金台账装订在一起，需要其提供资料的时候，难以精准提供某份台账。又如有的地方未将资料集中整理，将会议记录放在办公室，实名制汇总表在财务部，职工申请资料在帮扶中心导致需要提供资料之时又要到处找。</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cs="仿宋"/>
          <w:w w:val="100"/>
          <w:sz w:val="32"/>
          <w:szCs w:val="32"/>
          <w:highlight w:val="yellow"/>
          <w:lang w:val="en-US" w:eastAsia="zh-CN"/>
        </w:rPr>
      </w:pPr>
      <w:r>
        <w:rPr>
          <w:rFonts w:hint="eastAsia" w:ascii="仿宋" w:hAnsi="仿宋" w:eastAsia="仿宋" w:cs="仿宋"/>
          <w:w w:val="100"/>
          <w:sz w:val="32"/>
          <w:szCs w:val="32"/>
        </w:rPr>
        <w:t>相关建议</w:t>
      </w:r>
      <w:r>
        <w:rPr>
          <w:rFonts w:hint="eastAsia" w:ascii="仿宋" w:hAnsi="仿宋" w:eastAsia="仿宋" w:cs="仿宋"/>
          <w:w w:val="100"/>
          <w:sz w:val="32"/>
          <w:szCs w:val="32"/>
          <w:lang w:eastAsia="zh-CN"/>
        </w:rPr>
        <w:t>：一是加强对基层工会帮扶资料的监督检查，督促其将同一类型的资料归类整理，便于查询；二是资金拨付后，督促各单位及时使用相关资金。</w:t>
      </w:r>
    </w:p>
    <w:p>
      <w:pPr>
        <w:pStyle w:val="9"/>
        <w:keepNext w:val="0"/>
        <w:keepLines w:val="0"/>
        <w:pageBreakBefore w:val="0"/>
        <w:widowControl w:val="0"/>
        <w:numPr>
          <w:ilvl w:val="0"/>
          <w:numId w:val="0"/>
        </w:numPr>
        <w:tabs>
          <w:tab w:val="left" w:pos="1851"/>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 w:hAnsi="仿宋" w:eastAsia="仿宋" w:cs="仿宋"/>
          <w:w w:val="100"/>
          <w:sz w:val="32"/>
          <w:szCs w:val="32"/>
          <w:lang w:eastAsia="zh-CN"/>
        </w:rPr>
      </w:pPr>
      <w:r>
        <w:rPr>
          <w:rFonts w:hint="eastAsia" w:ascii="仿宋" w:hAnsi="仿宋" w:eastAsia="仿宋" w:cs="仿宋"/>
          <w:w w:val="100"/>
          <w:sz w:val="32"/>
          <w:szCs w:val="32"/>
          <w:lang w:val="en-US" w:eastAsia="zh-CN"/>
        </w:rPr>
        <w:t>（3）其他</w:t>
      </w:r>
    </w:p>
    <w:p>
      <w:pPr>
        <w:ind w:firstLine="640" w:firstLineChars="200"/>
        <w:rPr>
          <w:rFonts w:hint="eastAsia" w:ascii="Times New Roman" w:hAnsi="Times New Roman" w:eastAsia="仿宋_GB2312"/>
          <w:sz w:val="32"/>
          <w:szCs w:val="32"/>
        </w:rPr>
      </w:pPr>
    </w:p>
    <w:p>
      <w:pPr>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F3BD7"/>
    <w:multiLevelType w:val="singleLevel"/>
    <w:tmpl w:val="DAAF3BD7"/>
    <w:lvl w:ilvl="0" w:tentative="0">
      <w:start w:val="1"/>
      <w:numFmt w:val="chineseCounting"/>
      <w:suff w:val="nothing"/>
      <w:lvlText w:val="（%1）"/>
      <w:lvlJc w:val="left"/>
      <w:pPr>
        <w:ind w:left="-10"/>
      </w:pPr>
      <w:rPr>
        <w:rFonts w:hint="eastAsia"/>
      </w:rPr>
    </w:lvl>
  </w:abstractNum>
  <w:abstractNum w:abstractNumId="1">
    <w:nsid w:val="DF7E1C5C"/>
    <w:multiLevelType w:val="singleLevel"/>
    <w:tmpl w:val="DF7E1C5C"/>
    <w:lvl w:ilvl="0" w:tentative="0">
      <w:start w:val="2"/>
      <w:numFmt w:val="chineseCounting"/>
      <w:suff w:val="nothing"/>
      <w:lvlText w:val="%1、"/>
      <w:lvlJc w:val="left"/>
      <w:rPr>
        <w:rFonts w:hint="eastAsia"/>
      </w:rPr>
    </w:lvl>
  </w:abstractNum>
  <w:abstractNum w:abstractNumId="2">
    <w:nsid w:val="6094B8E7"/>
    <w:multiLevelType w:val="singleLevel"/>
    <w:tmpl w:val="6094B8E7"/>
    <w:lvl w:ilvl="0" w:tentative="0">
      <w:start w:val="2"/>
      <w:numFmt w:val="decimal"/>
      <w:suff w:val="nothing"/>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YWZkMzY5ZDQ5YmIzYzE2NWYzYTI0OWM1N2ZlNWMifQ=="/>
  </w:docVars>
  <w:rsids>
    <w:rsidRoot w:val="7EBEC677"/>
    <w:rsid w:val="040538A2"/>
    <w:rsid w:val="0A7F372A"/>
    <w:rsid w:val="130568E3"/>
    <w:rsid w:val="219C3012"/>
    <w:rsid w:val="24973F99"/>
    <w:rsid w:val="26BF9238"/>
    <w:rsid w:val="2DDF287B"/>
    <w:rsid w:val="2EFF39C8"/>
    <w:rsid w:val="2FFFCDD6"/>
    <w:rsid w:val="325E32FE"/>
    <w:rsid w:val="33D39502"/>
    <w:rsid w:val="37EDEE05"/>
    <w:rsid w:val="37F68FB6"/>
    <w:rsid w:val="3AFCAAA8"/>
    <w:rsid w:val="3BFF5DD4"/>
    <w:rsid w:val="3DFE3D19"/>
    <w:rsid w:val="3EBF0406"/>
    <w:rsid w:val="3F5BCEB4"/>
    <w:rsid w:val="3F7FC38E"/>
    <w:rsid w:val="3FFC270A"/>
    <w:rsid w:val="3FFF5EBD"/>
    <w:rsid w:val="4AFE3214"/>
    <w:rsid w:val="4D9BBB5E"/>
    <w:rsid w:val="4FDBE130"/>
    <w:rsid w:val="55B14754"/>
    <w:rsid w:val="574FAD22"/>
    <w:rsid w:val="577CC140"/>
    <w:rsid w:val="577CC725"/>
    <w:rsid w:val="58DE993E"/>
    <w:rsid w:val="5DEF4743"/>
    <w:rsid w:val="5EFFEB9E"/>
    <w:rsid w:val="5FC9F59F"/>
    <w:rsid w:val="5FD08FEB"/>
    <w:rsid w:val="64FBEC9F"/>
    <w:rsid w:val="66EEF2F9"/>
    <w:rsid w:val="679F7A7A"/>
    <w:rsid w:val="67F6F88E"/>
    <w:rsid w:val="6D4FE0D6"/>
    <w:rsid w:val="6EF35457"/>
    <w:rsid w:val="6F3EFC3C"/>
    <w:rsid w:val="6F9DB891"/>
    <w:rsid w:val="7353B905"/>
    <w:rsid w:val="75F3BBCA"/>
    <w:rsid w:val="75F7C815"/>
    <w:rsid w:val="762703E8"/>
    <w:rsid w:val="7756E22E"/>
    <w:rsid w:val="77F7AFC9"/>
    <w:rsid w:val="7DB95CD6"/>
    <w:rsid w:val="7DBFF043"/>
    <w:rsid w:val="7E5D79C0"/>
    <w:rsid w:val="7EBDE45B"/>
    <w:rsid w:val="7EBE14DC"/>
    <w:rsid w:val="7EBEC677"/>
    <w:rsid w:val="7ECE2767"/>
    <w:rsid w:val="7EFFAB0F"/>
    <w:rsid w:val="7F4B2D7A"/>
    <w:rsid w:val="7FBF76B7"/>
    <w:rsid w:val="7FC7A3B8"/>
    <w:rsid w:val="7FD9C5FB"/>
    <w:rsid w:val="7FF69F61"/>
    <w:rsid w:val="7FFE098B"/>
    <w:rsid w:val="7FFEF2CA"/>
    <w:rsid w:val="7FFF2B79"/>
    <w:rsid w:val="7FFF8D9A"/>
    <w:rsid w:val="9D38A200"/>
    <w:rsid w:val="9EF5120C"/>
    <w:rsid w:val="9EFF712E"/>
    <w:rsid w:val="9F99153B"/>
    <w:rsid w:val="A6FB0836"/>
    <w:rsid w:val="AAF7DDA8"/>
    <w:rsid w:val="ABF7D18C"/>
    <w:rsid w:val="ACFD17FF"/>
    <w:rsid w:val="AE3FE6BB"/>
    <w:rsid w:val="AFDD6DB4"/>
    <w:rsid w:val="AFFF84DE"/>
    <w:rsid w:val="AFFF99B1"/>
    <w:rsid w:val="B3AC2B02"/>
    <w:rsid w:val="B7BE85B4"/>
    <w:rsid w:val="BD7E28D0"/>
    <w:rsid w:val="BDE18548"/>
    <w:rsid w:val="BDE5CB39"/>
    <w:rsid w:val="BE7FB427"/>
    <w:rsid w:val="BF6E24D3"/>
    <w:rsid w:val="BFB09126"/>
    <w:rsid w:val="BFBE2A7E"/>
    <w:rsid w:val="BFFA65AB"/>
    <w:rsid w:val="BFFD5F89"/>
    <w:rsid w:val="BFFFD1EF"/>
    <w:rsid w:val="CEFF0FF5"/>
    <w:rsid w:val="CFFEA645"/>
    <w:rsid w:val="D53DD50C"/>
    <w:rsid w:val="D7FFE4AA"/>
    <w:rsid w:val="D9D6F1EC"/>
    <w:rsid w:val="DCB60D28"/>
    <w:rsid w:val="DDF7D578"/>
    <w:rsid w:val="DDFED56E"/>
    <w:rsid w:val="DDFF14CB"/>
    <w:rsid w:val="E5FDD29C"/>
    <w:rsid w:val="E6D6E29C"/>
    <w:rsid w:val="E6FB5348"/>
    <w:rsid w:val="E97D8106"/>
    <w:rsid w:val="EABF5F24"/>
    <w:rsid w:val="EAF6CC3C"/>
    <w:rsid w:val="EDCFF52E"/>
    <w:rsid w:val="EFBD8A33"/>
    <w:rsid w:val="EFD5D11E"/>
    <w:rsid w:val="EFEF5CC8"/>
    <w:rsid w:val="F19F2DA0"/>
    <w:rsid w:val="F1FDC2B4"/>
    <w:rsid w:val="F5DFA7AF"/>
    <w:rsid w:val="F7FDC10D"/>
    <w:rsid w:val="F9C3D6EF"/>
    <w:rsid w:val="FA7F2BFF"/>
    <w:rsid w:val="FB6A5190"/>
    <w:rsid w:val="FBDFA413"/>
    <w:rsid w:val="FBEB8624"/>
    <w:rsid w:val="FBF74017"/>
    <w:rsid w:val="FBFF4B8D"/>
    <w:rsid w:val="FCFF8E89"/>
    <w:rsid w:val="FD7F5F41"/>
    <w:rsid w:val="FDBFE05B"/>
    <w:rsid w:val="FDF7C1CB"/>
    <w:rsid w:val="FDFAF2E2"/>
    <w:rsid w:val="FE7DEEE1"/>
    <w:rsid w:val="FE9B15DA"/>
    <w:rsid w:val="FEBDD70F"/>
    <w:rsid w:val="FEF80AB2"/>
    <w:rsid w:val="FF697AE2"/>
    <w:rsid w:val="FF6F2775"/>
    <w:rsid w:val="FF7FB923"/>
    <w:rsid w:val="FF976B4A"/>
    <w:rsid w:val="FFD66B74"/>
    <w:rsid w:val="FFEC5B51"/>
    <w:rsid w:val="FFF984B3"/>
    <w:rsid w:val="FFFA8DD6"/>
    <w:rsid w:val="FFFB1F67"/>
    <w:rsid w:val="FFFCC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unhideWhenUsed/>
    <w:qFormat/>
    <w:uiPriority w:val="39"/>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正文-啊"/>
    <w:basedOn w:val="1"/>
    <w:qFormat/>
    <w:uiPriority w:val="0"/>
    <w:pPr>
      <w:spacing w:beforeLines="100" w:line="276" w:lineRule="auto"/>
      <w:ind w:left="210" w:right="210" w:firstLine="600"/>
      <w:contextualSpacing/>
    </w:pPr>
    <w:rPr>
      <w:rFonts w:ascii="微软雅黑" w:hAnsi="微软雅黑" w:eastAsia="宋体" w:cs="Times New Roman"/>
      <w:color w:val="000000"/>
      <w:sz w:val="24"/>
      <w:szCs w:val="21"/>
    </w:rPr>
  </w:style>
  <w:style w:type="paragraph" w:styleId="9">
    <w:name w:val="List Paragraph"/>
    <w:basedOn w:val="1"/>
    <w:qFormat/>
    <w:uiPriority w:val="1"/>
    <w:pPr>
      <w:spacing w:before="171"/>
      <w:ind w:left="1851" w:hanging="48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2112</Words>
  <Characters>2162</Characters>
  <Lines>0</Lines>
  <Paragraphs>0</Paragraphs>
  <TotalTime>9</TotalTime>
  <ScaleCrop>false</ScaleCrop>
  <LinksUpToDate>false</LinksUpToDate>
  <CharactersWithSpaces>2173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2022-05-07T03:21:00Z</dcterms:created>
  <dc:creator>rzz</dc:creator>
  <cp:lastModifiedBy>Administrator</cp:lastModifiedBy>
  <dcterms:modified xsi:type="dcterms:W3CDTF">2022-06-01T09:27:22Z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AC562A1AB6464E01A87B105048DBCEEA</vt:lpwstr>
  </property>
</Properties>
</file>