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岳阳市妇女联合会</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203001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15</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5"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刘小平</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8889236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4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1.</w:t>
            </w:r>
            <w:r>
              <w:rPr>
                <w:rFonts w:hint="eastAsia" w:ascii="仿宋_GB2312" w:hAnsi="仿宋" w:eastAsia="仿宋_GB2312" w:cs="仿宋"/>
                <w:color w:val="000000" w:themeColor="text1"/>
                <w:sz w:val="24"/>
                <w:szCs w:val="24"/>
                <w14:textFill>
                  <w14:solidFill>
                    <w14:schemeClr w14:val="tx1"/>
                  </w14:solidFill>
                </w14:textFill>
              </w:rPr>
              <w:t>团结、教育全市各族各界妇女以及各类妇女组织同党中央在思想上、政治上、行动上保持高度一致，引领广大妇女听党话、跟党走。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2.</w:t>
            </w:r>
            <w:r>
              <w:rPr>
                <w:rFonts w:hint="eastAsia" w:ascii="仿宋_GB2312" w:hAnsi="仿宋" w:eastAsia="仿宋_GB2312" w:cs="仿宋"/>
                <w:color w:val="000000" w:themeColor="text1"/>
                <w:sz w:val="24"/>
                <w:szCs w:val="24"/>
                <w14:textFill>
                  <w14:solidFill>
                    <w14:schemeClr w14:val="tx1"/>
                  </w14:solidFill>
                </w14:textFill>
              </w:rPr>
              <w:t>紧密围绕市委、市政府的中心任务开展工作，团结、动员和组织全市妇女投身改革开放和社会主义经济建设、政治建设、文化建设、社会建设和生态文明建设，在新时代中国特色社会主义伟大实践中发挥积极作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3.</w:t>
            </w:r>
            <w:r>
              <w:rPr>
                <w:rFonts w:hint="eastAsia" w:ascii="仿宋_GB2312" w:hAnsi="仿宋" w:eastAsia="仿宋_GB2312" w:cs="仿宋"/>
                <w:color w:val="000000" w:themeColor="text1"/>
                <w:sz w:val="24"/>
                <w:szCs w:val="24"/>
                <w14:textFill>
                  <w14:solidFill>
                    <w14:schemeClr w14:val="tx1"/>
                  </w14:solidFill>
                </w14:textFill>
              </w:rPr>
              <w:t>代表妇女参与国家和社会事务的民主决策、民主管理、民主监督，关注并加强研究涉及妇女儿童切身利益的热点、难点问题，及时向市委反映社情民意，提出对策建议；参与有关妇女儿童政策的研究与拟订，从源头上强化维护妇女儿童合法权益工作。扩大社会联动维权工作格局，协助有关部门或单位查处侵害妇女儿童权益的行为，为受侵害的妇女儿童提供帮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4.</w:t>
            </w:r>
            <w:r>
              <w:rPr>
                <w:rFonts w:hint="eastAsia" w:ascii="仿宋_GB2312" w:hAnsi="仿宋" w:eastAsia="仿宋_GB2312" w:cs="仿宋"/>
                <w:color w:val="000000" w:themeColor="text1"/>
                <w:sz w:val="24"/>
                <w:szCs w:val="24"/>
                <w14:textFill>
                  <w14:solidFill>
                    <w14:schemeClr w14:val="tx1"/>
                  </w14:solidFill>
                </w14:textFill>
              </w:rPr>
              <w:t>推动落实男女平等基本国策落实，营造有利于妇女全面发展的社会环境。教育和引导妇女践行社会主义核心价值观，发扬自尊、自信、自立、自强的精神，提高综合素质，实现全面发展。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5.</w:t>
            </w:r>
            <w:r>
              <w:rPr>
                <w:rFonts w:hint="eastAsia" w:ascii="仿宋_GB2312" w:hAnsi="仿宋" w:eastAsia="仿宋_GB2312" w:cs="仿宋"/>
                <w:color w:val="000000" w:themeColor="text1"/>
                <w:sz w:val="24"/>
                <w:szCs w:val="24"/>
                <w14:textFill>
                  <w14:solidFill>
                    <w14:schemeClr w14:val="tx1"/>
                  </w14:solidFill>
                </w14:textFill>
              </w:rPr>
              <w:t>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6.</w:t>
            </w:r>
            <w:r>
              <w:rPr>
                <w:rFonts w:hint="eastAsia" w:ascii="仿宋_GB2312" w:hAnsi="仿宋" w:eastAsia="仿宋_GB2312" w:cs="仿宋"/>
                <w:color w:val="000000" w:themeColor="text1"/>
                <w:sz w:val="24"/>
                <w:szCs w:val="24"/>
                <w14:textFill>
                  <w14:solidFill>
                    <w14:schemeClr w14:val="tx1"/>
                  </w14:solidFill>
                </w14:textFill>
              </w:rPr>
              <w:t>指导我市各级妇联依据《中华全国妇女联合会章程》和妇女代表大会的任务开展妇女工作，联系团体会员并给予工作指导。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7.</w:t>
            </w:r>
            <w:r>
              <w:rPr>
                <w:rFonts w:hint="eastAsia" w:ascii="仿宋_GB2312" w:hAnsi="仿宋" w:eastAsia="仿宋_GB2312" w:cs="仿宋"/>
                <w:color w:val="000000" w:themeColor="text1"/>
                <w:sz w:val="24"/>
                <w:szCs w:val="24"/>
                <w14:textFill>
                  <w14:solidFill>
                    <w14:schemeClr w14:val="tx1"/>
                  </w14:solidFill>
                </w14:textFill>
              </w:rPr>
              <w:t>创新家庭文明建设工作，弘扬家庭美德，培养良好家风，促进家庭和谐。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8.</w:t>
            </w:r>
            <w:r>
              <w:rPr>
                <w:rFonts w:hint="eastAsia" w:ascii="仿宋_GB2312" w:hAnsi="仿宋" w:eastAsia="仿宋_GB2312" w:cs="仿宋"/>
                <w:color w:val="000000" w:themeColor="text1"/>
                <w:sz w:val="24"/>
                <w:szCs w:val="24"/>
                <w14:textFill>
                  <w14:solidFill>
                    <w14:schemeClr w14:val="tx1"/>
                  </w14:solidFill>
                </w14:textFill>
              </w:rPr>
              <w:t>承担市妇女儿童工作委员会办公室的工作，推动落实妇女儿童发展规划各项目标任务。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 w:eastAsia="仿宋_GB2312" w:cs="仿宋"/>
                <w:color w:val="000000" w:themeColor="text1"/>
                <w:sz w:val="24"/>
                <w:szCs w:val="24"/>
                <w:lang w:val="en-US" w:eastAsia="zh-CN"/>
                <w14:textFill>
                  <w14:solidFill>
                    <w14:schemeClr w14:val="tx1"/>
                  </w14:solidFill>
                </w14:textFill>
              </w:rPr>
              <w:t>9.</w:t>
            </w:r>
            <w:r>
              <w:rPr>
                <w:rFonts w:hint="eastAsia" w:ascii="仿宋_GB2312" w:hAnsi="仿宋" w:eastAsia="仿宋_GB2312" w:cs="仿宋"/>
                <w:color w:val="000000" w:themeColor="text1"/>
                <w:sz w:val="24"/>
                <w:szCs w:val="24"/>
                <w14:textFill>
                  <w14:solidFill>
                    <w14:schemeClr w14:val="tx1"/>
                  </w14:solidFill>
                </w14:textFill>
              </w:rPr>
              <w:t>完成市委、市政府交办的其他事项。</w:t>
            </w:r>
            <w:r>
              <w:rPr>
                <w:rFonts w:hint="eastAsia" w:ascii="仿宋_GB2312" w:hAnsi="仿宋_GB2312" w:eastAsia="仿宋_GB2312" w:cs="仿宋_GB2312"/>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1.积极投身乡村振兴、疫情防控、人才队伍建设等中心工作</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b w:val="0"/>
                <w:color w:val="000000"/>
                <w:kern w:val="2"/>
                <w:sz w:val="24"/>
                <w:szCs w:val="24"/>
                <w:lang w:val="en-US" w:eastAsia="zh-CN" w:bidi="ar-SA"/>
              </w:rPr>
              <w:t>.抓实党史学习教育，广泛开展“我为妇女群众办实事”活动</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color w:val="000000"/>
                <w:kern w:val="2"/>
                <w:sz w:val="24"/>
                <w:szCs w:val="24"/>
                <w:lang w:val="en-US" w:eastAsia="zh-CN" w:bidi="ar-SA"/>
              </w:rPr>
            </w:pPr>
            <w:r>
              <w:rPr>
                <w:rFonts w:hint="eastAsia" w:ascii="仿宋_GB2312" w:hAnsi="仿宋_GB2312" w:eastAsia="仿宋_GB2312" w:cs="仿宋_GB2312"/>
                <w:b w:val="0"/>
                <w:color w:val="000000"/>
                <w:kern w:val="2"/>
                <w:sz w:val="24"/>
                <w:szCs w:val="24"/>
                <w:lang w:val="en-US" w:eastAsia="zh-CN" w:bidi="ar-SA"/>
              </w:rPr>
              <w:t>3.坚持党建带妇建，深入推进妇联改革“破难行动”</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_GB2312" w:eastAsia="仿宋_GB2312" w:cs="仿宋_GB2312"/>
                <w:b w:val="0"/>
                <w:color w:val="000000"/>
                <w:kern w:val="2"/>
                <w:sz w:val="24"/>
                <w:szCs w:val="24"/>
                <w:lang w:val="en-US" w:eastAsia="zh-CN" w:bidi="ar-SA"/>
              </w:rPr>
            </w:pPr>
            <w:r>
              <w:rPr>
                <w:rFonts w:hint="eastAsia" w:ascii="仿宋_GB2312" w:hAnsi="仿宋_GB2312" w:eastAsia="仿宋_GB2312" w:cs="仿宋_GB2312"/>
                <w:b w:val="0"/>
                <w:color w:val="000000"/>
                <w:kern w:val="2"/>
                <w:sz w:val="24"/>
                <w:szCs w:val="24"/>
                <w:lang w:val="en-US" w:eastAsia="zh-CN" w:bidi="ar-SA"/>
              </w:rPr>
              <w:t>4.做好妇女儿童维权、禁毒宣传等工作</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val="0"/>
                <w:color w:val="000000"/>
                <w:kern w:val="2"/>
                <w:sz w:val="24"/>
                <w:szCs w:val="24"/>
                <w:lang w:val="en-US" w:eastAsia="zh-CN" w:bidi="ar-SA"/>
              </w:rPr>
              <w:t>5.抓好家庭家教家风建设，开展示范创建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0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1.</w:t>
            </w:r>
            <w:r>
              <w:rPr>
                <w:rFonts w:hint="eastAsia" w:ascii="仿宋_GB2312" w:hAnsi="仿宋" w:eastAsia="仿宋_GB2312" w:cs="仿宋"/>
                <w:color w:val="000000" w:themeColor="text1"/>
                <w:sz w:val="24"/>
                <w:szCs w:val="24"/>
                <w:lang w:eastAsia="zh-CN"/>
                <w14:textFill>
                  <w14:solidFill>
                    <w14:schemeClr w14:val="tx1"/>
                  </w14:solidFill>
                </w14:textFill>
              </w:rPr>
              <w:t>加强思想引领，率先开展“百万女性学党史”主题活动，组织各类“巾帼大宣讲”100多场。在《岳阳日报》开设“最美奋斗者”专栏，报道“三八红旗手”等先进典型事迹。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2.</w:t>
            </w:r>
            <w:r>
              <w:rPr>
                <w:rFonts w:hint="eastAsia" w:ascii="仿宋_GB2312" w:hAnsi="仿宋" w:eastAsia="仿宋_GB2312" w:cs="仿宋"/>
                <w:color w:val="000000" w:themeColor="text1"/>
                <w:sz w:val="24"/>
                <w:szCs w:val="24"/>
                <w:lang w:eastAsia="zh-CN"/>
                <w14:textFill>
                  <w14:solidFill>
                    <w14:schemeClr w14:val="tx1"/>
                  </w14:solidFill>
                </w14:textFill>
              </w:rPr>
              <w:t>服务中心工作，围绕“三高四新”战略，持续开展“巾帼文明岗”“巾帼建功标兵”等评选，6年累计扶持女性领军人才148名。在全市启动“百万妇女振乡村·巾帼助力全域游”主题活动，开展“八个一”评选。选派一名副主席到华容县开展乡村振兴驻点帮扶，在人财物上给予大力支持。深入推进湘女素质提升工程，举办电商直播、现代物流等各类培训班461期，31432人参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 w:eastAsia="仿宋_GB2312" w:cs="仿宋"/>
                <w:color w:val="000000" w:themeColor="text1"/>
                <w:sz w:val="24"/>
                <w:szCs w:val="24"/>
                <w:lang w:val="en-US"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3维护妇儿权益</w:t>
            </w:r>
            <w:r>
              <w:rPr>
                <w:rFonts w:hint="eastAsia" w:ascii="仿宋_GB2312" w:hAnsi="仿宋" w:eastAsia="仿宋_GB2312" w:cs="仿宋"/>
                <w:color w:val="000000" w:themeColor="text1"/>
                <w:sz w:val="24"/>
                <w:szCs w:val="24"/>
                <w:lang w:eastAsia="zh-CN"/>
                <w14:textFill>
                  <w14:solidFill>
                    <w14:schemeClr w14:val="tx1"/>
                  </w14:solidFill>
                </w14:textFill>
              </w:rPr>
              <w:t>，组织维权工作暨女童权益保护“百场宣讲”讲师培训，开展宣讲</w:t>
            </w:r>
            <w:r>
              <w:rPr>
                <w:rFonts w:hint="eastAsia" w:ascii="仿宋_GB2312" w:hAnsi="仿宋" w:eastAsia="仿宋_GB2312" w:cs="仿宋"/>
                <w:color w:val="000000" w:themeColor="text1"/>
                <w:sz w:val="24"/>
                <w:szCs w:val="24"/>
                <w:lang w:val="en-US" w:eastAsia="zh-CN"/>
                <w14:textFill>
                  <w14:solidFill>
                    <w14:schemeClr w14:val="tx1"/>
                  </w14:solidFill>
                </w14:textFill>
              </w:rPr>
              <w:t>600多场。</w:t>
            </w:r>
            <w:r>
              <w:rPr>
                <w:rFonts w:hint="eastAsia" w:ascii="仿宋_GB2312" w:hAnsi="仿宋" w:eastAsia="仿宋_GB2312" w:cs="仿宋"/>
                <w:color w:val="000000" w:themeColor="text1"/>
                <w:sz w:val="24"/>
                <w:szCs w:val="24"/>
                <w:lang w:eastAsia="zh-CN"/>
                <w14:textFill>
                  <w14:solidFill>
                    <w14:schemeClr w14:val="tx1"/>
                  </w14:solidFill>
                </w14:textFill>
              </w:rPr>
              <w:t>持续打造“和姐”工作室婚调品牌，开展“‘典’亮美好生活——百名律师送法进社区”等普法活动和“绽放她力量 为女性赋能”反家暴主题活动。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4.</w:t>
            </w:r>
            <w:r>
              <w:rPr>
                <w:rFonts w:hint="eastAsia" w:ascii="仿宋_GB2312" w:hAnsi="仿宋" w:eastAsia="仿宋_GB2312" w:cs="仿宋"/>
                <w:color w:val="000000" w:themeColor="text1"/>
                <w:sz w:val="24"/>
                <w:szCs w:val="24"/>
                <w:lang w:eastAsia="zh-CN"/>
                <w14:textFill>
                  <w14:solidFill>
                    <w14:schemeClr w14:val="tx1"/>
                  </w14:solidFill>
                </w14:textFill>
              </w:rPr>
              <w:t>抓牢家庭教育，召开深入贯彻《湖南省家庭教育促进条例》工作推进会，评选“最美家庭”“五好家庭”200多户。扎实开展家庭公益巡讲，发布家庭教育微课100多堂。联动13个县市区开展“百万家庭‘守护好一江碧水’，低碳无磷排放从我做起”主题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 w:eastAsia="仿宋_GB2312" w:cs="仿宋"/>
                <w:color w:val="000000" w:themeColor="text1"/>
                <w:sz w:val="24"/>
                <w:szCs w:val="24"/>
                <w:lang w:val="en-US" w:eastAsia="zh-CN"/>
                <w14:textFill>
                  <w14:solidFill>
                    <w14:schemeClr w14:val="tx1"/>
                  </w14:solidFill>
                </w14:textFill>
              </w:rPr>
            </w:pPr>
            <w:r>
              <w:rPr>
                <w:rFonts w:hint="eastAsia" w:ascii="仿宋_GB2312" w:hAnsi="仿宋" w:eastAsia="仿宋_GB2312" w:cs="仿宋"/>
                <w:color w:val="000000" w:themeColor="text1"/>
                <w:kern w:val="2"/>
                <w:sz w:val="24"/>
                <w:szCs w:val="24"/>
                <w:lang w:val="en-US" w:eastAsia="zh-CN" w:bidi="ar-SA"/>
                <w14:textFill>
                  <w14:solidFill>
                    <w14:schemeClr w14:val="tx1"/>
                  </w14:solidFill>
                </w14:textFill>
              </w:rPr>
              <w:t>5.办好为民实事，联合妇幼保健院开展“康乃馨”女性健康关爱活动，“两癌”免费筛查超额完成任务，争取救助金267万元。开展“战疫有你 关爱有我”慰问活动，募集物资10万余元。“六一”期间深入湘阴、岳阳县等学校进行慰问，送出近300份4万余元的学习用品。组织开展“出手吧，姐姐”关爱困境妇儿募捐，</w:t>
            </w:r>
            <w:r>
              <w:rPr>
                <w:rFonts w:hint="eastAsia" w:ascii="仿宋_GB2312" w:hAnsi="仿宋" w:eastAsia="仿宋_GB2312" w:cs="仿宋"/>
                <w:color w:val="000000" w:themeColor="text1"/>
                <w:sz w:val="24"/>
                <w:szCs w:val="24"/>
                <w:lang w:val="en-US" w:eastAsia="zh-CN"/>
                <w14:textFill>
                  <w14:solidFill>
                    <w14:schemeClr w14:val="tx1"/>
                  </w14:solidFill>
                </w14:textFill>
              </w:rPr>
              <w:t>筹集资金80多万元。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lang w:val="en-US" w:eastAsia="zh-CN"/>
              </w:rPr>
            </w:pPr>
            <w:r>
              <w:rPr>
                <w:rFonts w:hint="eastAsia" w:ascii="仿宋_GB2312" w:hAnsi="仿宋" w:eastAsia="仿宋_GB2312" w:cs="仿宋"/>
                <w:color w:val="000000" w:themeColor="text1"/>
                <w:sz w:val="24"/>
                <w:szCs w:val="24"/>
                <w:lang w:val="en-US" w:eastAsia="zh-CN"/>
                <w14:textFill>
                  <w14:solidFill>
                    <w14:schemeClr w14:val="tx1"/>
                  </w14:solidFill>
                </w14:textFill>
              </w:rPr>
              <w:t>6.做活“破难”文章，</w:t>
            </w:r>
            <w:r>
              <w:rPr>
                <w:rFonts w:hint="eastAsia" w:ascii="仿宋_GB2312" w:hAnsi="仿宋" w:eastAsia="仿宋_GB2312" w:cs="仿宋"/>
                <w:color w:val="000000" w:themeColor="text1"/>
                <w:sz w:val="24"/>
                <w:szCs w:val="24"/>
                <w:lang w:eastAsia="zh-CN"/>
                <w14:textFill>
                  <w14:solidFill>
                    <w14:schemeClr w14:val="tx1"/>
                  </w14:solidFill>
                </w14:textFill>
              </w:rPr>
              <w:t>评选出20个示范“妇女之家”、16个“妇女微家”，指导女科协、同心社会工作发展中心、女律师协会等社会组织成立妇联。全面完成基层换届，共选举产生主席1820名、副主席3481名、执委27300名。“两个规划”全面落实，涉及8大领域的171个统计监测指标全部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妇联</w:t>
            </w:r>
            <w:r>
              <w:rPr>
                <w:rFonts w:hint="eastAsia" w:ascii="仿宋_GB2312" w:hAnsi="仿宋_GB2312" w:eastAsia="仿宋_GB2312" w:cs="仿宋_GB2312"/>
                <w:color w:val="000000"/>
                <w:sz w:val="24"/>
              </w:rPr>
              <w:t>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499.52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default" w:ascii="仿宋_GB2312" w:hAnsi="仿宋_GB2312" w:eastAsia="仿宋_GB2312" w:cs="仿宋_GB2312"/>
                <w:color w:val="000000"/>
                <w:sz w:val="24"/>
                <w:lang w:val="en-US"/>
              </w:rPr>
              <w:t>132.74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359.55</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妇联</w:t>
            </w:r>
            <w:r>
              <w:rPr>
                <w:rFonts w:hint="eastAsia" w:ascii="仿宋_GB2312" w:hAnsi="仿宋_GB2312" w:eastAsia="仿宋_GB2312" w:cs="仿宋_GB2312"/>
                <w:color w:val="000000"/>
                <w:sz w:val="24"/>
              </w:rPr>
              <w:t>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479.55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479.55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268.97</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210.57</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19.97</w:t>
            </w:r>
          </w:p>
        </w:tc>
        <w:tc>
          <w:tcPr>
            <w:tcW w:w="62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妇联</w:t>
            </w:r>
            <w:r>
              <w:rPr>
                <w:rFonts w:hint="eastAsia" w:ascii="仿宋_GB2312" w:hAnsi="仿宋_GB2312" w:eastAsia="仿宋_GB2312" w:cs="仿宋_GB2312"/>
                <w:color w:val="000000"/>
                <w:sz w:val="24"/>
              </w:rPr>
              <w:t>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6.35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1.69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4.66</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eastAsia="zh-CN"/>
              </w:rPr>
              <w:t>妇联</w:t>
            </w:r>
            <w:r>
              <w:rPr>
                <w:rFonts w:hint="eastAsia" w:ascii="仿宋_GB2312" w:hAnsi="仿宋_GB2312" w:eastAsia="仿宋_GB2312" w:cs="仿宋_GB2312"/>
                <w:color w:val="000000"/>
                <w:sz w:val="24"/>
              </w:rPr>
              <w:t>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54.38</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54.38</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3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szCs w:val="24"/>
                <w:lang w:val="en-US" w:eastAsia="zh-CN"/>
              </w:rPr>
              <w:t>积极投身党史学习教育、乡村振兴、疫情防控等中心工作</w:t>
            </w:r>
          </w:p>
          <w:p>
            <w:pPr>
              <w:autoSpaceDN w:val="0"/>
              <w:spacing w:line="320" w:lineRule="exact"/>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szCs w:val="24"/>
                <w:lang w:eastAsia="zh-CN"/>
              </w:rPr>
              <w:t>深化妇联改革“破难”行动，全面完成基层换届，全面落实“两个规划”</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做好妇女儿童维权、禁毒宣传等工作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szCs w:val="24"/>
                <w:lang w:val="en-US" w:eastAsia="zh-CN"/>
              </w:rPr>
              <w:t>4.抓好家庭家教家风，开展示范创建</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
                <w:color w:val="000000" w:themeColor="text1"/>
                <w:kern w:val="2"/>
                <w:sz w:val="24"/>
                <w:szCs w:val="24"/>
                <w:lang w:val="en-US" w:eastAsia="zh-CN" w:bidi="ar-SA"/>
                <w14:textFill>
                  <w14:solidFill>
                    <w14:schemeClr w14:val="tx1"/>
                  </w14:solidFill>
                </w14:textFill>
              </w:rPr>
              <w:t>开展“康乃馨”女性健康关爱活动，“两癌”免费筛查超额完成任务，争取救助金267万元。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5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 w:eastAsia="仿宋_GB2312" w:cs="仿宋"/>
                <w:color w:val="000000" w:themeColor="text1"/>
                <w:kern w:val="2"/>
                <w:sz w:val="24"/>
                <w:szCs w:val="24"/>
                <w:lang w:val="en-US" w:eastAsia="zh-CN" w:bidi="ar-SA"/>
                <w14:textFill>
                  <w14:solidFill>
                    <w14:schemeClr w14:val="tx1"/>
                  </w14:solidFill>
                </w14:textFill>
              </w:rPr>
              <w:t>开展抗疫慰问活动，募集物资10万余元。“六一”期间送出近300份4万余元的学习用品。组织开展“出手吧，姐姐”关爱困境妇儿募捐，</w:t>
            </w:r>
            <w:r>
              <w:rPr>
                <w:rFonts w:hint="eastAsia" w:ascii="仿宋_GB2312" w:hAnsi="仿宋" w:eastAsia="仿宋_GB2312" w:cs="仿宋"/>
                <w:color w:val="000000" w:themeColor="text1"/>
                <w:sz w:val="24"/>
                <w:szCs w:val="24"/>
                <w:lang w:val="en-US" w:eastAsia="zh-CN"/>
                <w14:textFill>
                  <w14:solidFill>
                    <w14:schemeClr w14:val="tx1"/>
                  </w14:solidFill>
                </w14:textFill>
              </w:rPr>
              <w:t>筹集资金80多万元。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25" w:hRule="atLeast"/>
          <w:jc w:val="center"/>
        </w:trPr>
        <w:tc>
          <w:tcPr>
            <w:tcW w:w="1441" w:type="dxa"/>
            <w:vMerge w:val="continue"/>
            <w:vAlign w:val="center"/>
          </w:tcPr>
          <w:p>
            <w:pPr>
              <w:spacing w:line="320" w:lineRule="exact"/>
              <w:jc w:val="center"/>
              <w:rPr>
                <w:rFonts w:ascii="仿宋_GB2312" w:hAnsi="仿宋_GB2312" w:eastAsia="仿宋_GB2312" w:cs="仿宋_GB2312"/>
                <w:sz w:val="24"/>
              </w:rPr>
            </w:pPr>
          </w:p>
        </w:tc>
        <w:tc>
          <w:tcPr>
            <w:tcW w:w="1549" w:type="dxa"/>
            <w:gridSpan w:val="4"/>
            <w:vMerge w:val="restart"/>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rPr>
                <w:rFonts w:ascii="仿宋_GB2312" w:hAnsi="仿宋_GB2312" w:eastAsia="仿宋_GB2312" w:cs="仿宋_GB2312"/>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质量指标</w:t>
            </w:r>
          </w:p>
        </w:tc>
        <w:tc>
          <w:tcPr>
            <w:tcW w:w="2709"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 w:eastAsia="仿宋_GB2312" w:cs="仿宋"/>
                <w:color w:val="000000" w:themeColor="text1"/>
                <w:sz w:val="24"/>
                <w:szCs w:val="24"/>
                <w:lang w:eastAsia="zh-CN"/>
                <w14:textFill>
                  <w14:solidFill>
                    <w14:schemeClr w14:val="tx1"/>
                  </w14:solidFill>
                </w14:textFill>
              </w:rPr>
              <w:t>召开深入贯彻《湖南省家庭教育促进条例》工作推进会，扎实开展家庭公益巡讲，评选表彰“最美家庭”“五好家庭”。</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6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
                <w:color w:val="000000" w:themeColor="text1"/>
                <w:sz w:val="24"/>
                <w:szCs w:val="24"/>
                <w:lang w:eastAsia="zh-CN"/>
                <w14:textFill>
                  <w14:solidFill>
                    <w14:schemeClr w14:val="tx1"/>
                  </w14:solidFill>
                </w14:textFill>
              </w:rPr>
              <w:t>深入推进湘女素质提升工程，举办电商直播、现代物流等各类培训班461期，31432人参与。</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指标</w:t>
            </w:r>
            <w:r>
              <w:rPr>
                <w:rFonts w:hint="eastAsia" w:ascii="仿宋_GB2312" w:hAnsi="仿宋_GB2312" w:eastAsia="仿宋_GB2312" w:cs="仿宋_GB2312"/>
                <w:color w:val="000000"/>
                <w:sz w:val="24"/>
                <w:lang w:val="en-US" w:eastAsia="zh-CN"/>
              </w:rPr>
              <w:t>2：</w:t>
            </w:r>
            <w:r>
              <w:rPr>
                <w:rFonts w:hint="eastAsia" w:ascii="仿宋_GB2312" w:hAnsi="仿宋" w:eastAsia="仿宋_GB2312" w:cs="仿宋"/>
                <w:color w:val="000000" w:themeColor="text1"/>
                <w:sz w:val="24"/>
                <w:szCs w:val="24"/>
                <w:lang w:eastAsia="zh-CN"/>
                <w14:textFill>
                  <w14:solidFill>
                    <w14:schemeClr w14:val="tx1"/>
                  </w14:solidFill>
                </w14:textFill>
              </w:rPr>
              <w:t>组织维权工作暨女童权益保护“百场宣讲”讲师培训，开展宣讲</w:t>
            </w:r>
            <w:r>
              <w:rPr>
                <w:rFonts w:hint="eastAsia" w:ascii="仿宋_GB2312" w:hAnsi="仿宋" w:eastAsia="仿宋_GB2312" w:cs="仿宋"/>
                <w:color w:val="000000" w:themeColor="text1"/>
                <w:sz w:val="24"/>
                <w:szCs w:val="24"/>
                <w:lang w:val="en-US" w:eastAsia="zh-CN"/>
                <w14:textFill>
                  <w14:solidFill>
                    <w14:schemeClr w14:val="tx1"/>
                  </w14:solidFill>
                </w14:textFill>
              </w:rPr>
              <w:t>600多场。</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 w:eastAsia="仿宋_GB2312" w:cs="仿宋"/>
                <w:color w:val="000000" w:themeColor="text1"/>
                <w:sz w:val="24"/>
                <w:szCs w:val="24"/>
                <w:lang w:val="en-US" w:eastAsia="zh-CN"/>
                <w14:textFill>
                  <w14:solidFill>
                    <w14:schemeClr w14:val="tx1"/>
                  </w14:solidFill>
                </w14:textFill>
              </w:rPr>
              <w:t>全省重点民生实事“两癌”筛查超额完成任务，争取救助金267万元。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0"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绩效定量目标及实施计划完成情况</w:t>
            </w: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按活动方案，在规定时间内完成各项任务。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指标1：严格控制在预算范围内。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7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p>
            <w:pPr>
              <w:autoSpaceDN w:val="0"/>
              <w:spacing w:line="320" w:lineRule="exact"/>
              <w:jc w:val="center"/>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rPr>
              <w:t>指标1：</w:t>
            </w:r>
            <w:r>
              <w:rPr>
                <w:rFonts w:hint="eastAsia" w:ascii="仿宋_GB2312" w:hAnsi="仿宋" w:eastAsia="仿宋_GB2312" w:cs="仿宋"/>
                <w:color w:val="000000" w:themeColor="text1"/>
                <w:sz w:val="24"/>
                <w:szCs w:val="24"/>
                <w:lang w:eastAsia="zh-CN"/>
                <w14:textFill>
                  <w14:solidFill>
                    <w14:schemeClr w14:val="tx1"/>
                  </w14:solidFill>
                </w14:textFill>
              </w:rPr>
              <w:t>全面完成基层换届，共选举产生主席1820名、副主席3481名、执委27300名。“两个规划”全面落实，涉及8大领域的171个统计监测指标全部达标。</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lang w:val="en-US" w:eastAsia="zh-CN"/>
              </w:rPr>
              <w:t>指标2：</w:t>
            </w:r>
            <w:r>
              <w:rPr>
                <w:rFonts w:hint="eastAsia" w:ascii="仿宋_GB2312" w:hAnsi="仿宋" w:eastAsia="仿宋_GB2312" w:cs="仿宋"/>
                <w:color w:val="000000" w:themeColor="text1"/>
                <w:sz w:val="24"/>
                <w:szCs w:val="24"/>
                <w:lang w:eastAsia="zh-CN"/>
                <w14:textFill>
                  <w14:solidFill>
                    <w14:schemeClr w14:val="tx1"/>
                  </w14:solidFill>
                </w14:textFill>
              </w:rPr>
              <w:t>联动13个县市区开展“百万家庭‘守护好一江碧水’，低碳无磷排放从我做起”主题活动，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lang w:val="en-US"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增加了群团组织的凝聚力。</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仿宋_GB2312" w:hAnsi="仿宋" w:eastAsia="仿宋_GB2312" w:cs="仿宋"/>
                <w:color w:val="000000" w:themeColor="text1"/>
                <w:sz w:val="24"/>
                <w:szCs w:val="24"/>
                <w:lang w:val="en-US" w:eastAsia="zh-CN"/>
                <w14:textFill>
                  <w14:solidFill>
                    <w14:schemeClr w14:val="tx1"/>
                  </w14:solidFill>
                </w14:textFill>
              </w:rPr>
              <w:t>指标3：维护妇儿权益，</w:t>
            </w:r>
            <w:r>
              <w:rPr>
                <w:rFonts w:hint="eastAsia" w:ascii="仿宋_GB2312" w:hAnsi="仿宋" w:eastAsia="仿宋_GB2312" w:cs="仿宋"/>
                <w:color w:val="000000" w:themeColor="text1"/>
                <w:sz w:val="24"/>
                <w:szCs w:val="24"/>
                <w:lang w:eastAsia="zh-CN"/>
                <w14:textFill>
                  <w14:solidFill>
                    <w14:schemeClr w14:val="tx1"/>
                  </w14:solidFill>
                </w14:textFill>
              </w:rPr>
              <w:t>持续打造“和姐”工作室婚调品牌，全年妇联系统共接待来信来访来电725起，办结率100%。</w:t>
            </w:r>
          </w:p>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ascii="仿宋_GB2312" w:hAnsi="仿宋_GB2312" w:eastAsia="仿宋_GB2312" w:cs="仿宋_GB2312"/>
                <w:color w:val="000000"/>
                <w:sz w:val="24"/>
              </w:rPr>
            </w:pPr>
            <w:r>
              <w:rPr>
                <w:rFonts w:hint="eastAsia" w:ascii="仿宋_GB2312" w:hAnsi="仿宋" w:eastAsia="仿宋_GB2312" w:cs="仿宋"/>
                <w:color w:val="000000" w:themeColor="text1"/>
                <w:sz w:val="24"/>
                <w:szCs w:val="24"/>
                <w:lang w:val="en-US" w:eastAsia="zh-CN"/>
                <w14:textFill>
                  <w14:solidFill>
                    <w14:schemeClr w14:val="tx1"/>
                  </w14:solidFill>
                </w14:textFill>
              </w:rPr>
              <w:t>指标4：</w:t>
            </w:r>
            <w:r>
              <w:rPr>
                <w:rFonts w:hint="eastAsia" w:ascii="仿宋_GB2312" w:hAnsi="仿宋" w:eastAsia="仿宋_GB2312" w:cs="仿宋"/>
                <w:color w:val="000000" w:themeColor="text1"/>
                <w:sz w:val="24"/>
                <w:szCs w:val="24"/>
                <w:lang w:eastAsia="zh-CN"/>
                <w14:textFill>
                  <w14:solidFill>
                    <w14:schemeClr w14:val="tx1"/>
                  </w14:solidFill>
                </w14:textFill>
              </w:rPr>
              <w:t>开展各类家庭公益讲座逾百场，发布家庭教育微课100多堂，评选“最美家庭”“五好家庭”200多户。</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7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
                <w:color w:val="000000" w:themeColor="text1"/>
                <w:sz w:val="24"/>
                <w:szCs w:val="24"/>
                <w:lang w:eastAsia="zh-CN"/>
                <w14:textFill>
                  <w14:solidFill>
                    <w14:schemeClr w14:val="tx1"/>
                  </w14:solidFill>
                </w14:textFill>
              </w:rPr>
              <w:t>帮助27个农村专业合作社、300余个农村家庭电商出售农作物和农副产品，助力农村妇女增收477.8万余元。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jc w:val="center"/>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扎实开展志愿服务，保护环境可持续发展。</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群众满意度达95%以上。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杨  景</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党组成员、副主席</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市妇联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刘小平</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办公室主任</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市妇联</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10"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pStyle w:val="2"/>
              <w:rPr>
                <w:rFonts w:ascii="仿宋_GB2312" w:hAnsi="仿宋_GB2312" w:eastAsia="仿宋_GB2312" w:cs="仿宋_GB2312"/>
                <w:color w:val="000000"/>
                <w:sz w:val="24"/>
              </w:rPr>
            </w:pPr>
          </w:p>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57"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ind w:firstLine="2640" w:firstLineChars="1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54" w:hRule="atLeast"/>
          <w:jc w:val="center"/>
        </w:trPr>
        <w:tc>
          <w:tcPr>
            <w:tcW w:w="9800" w:type="dxa"/>
            <w:gridSpan w:val="17"/>
            <w:vAlign w:val="center"/>
          </w:tcPr>
          <w:p>
            <w:pPr>
              <w:spacing w:line="320" w:lineRule="exact"/>
              <w:rPr>
                <w:rFonts w:hint="eastAsia" w:eastAsia="仿宋_GB2312"/>
                <w:sz w:val="24"/>
              </w:rPr>
            </w:pPr>
          </w:p>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pStyle w:val="2"/>
              <w:rPr>
                <w:rFonts w:eastAsia="仿宋_GB2312"/>
                <w:sz w:val="24"/>
              </w:rPr>
            </w:pPr>
          </w:p>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张春芳</w:t>
      </w:r>
      <w:r>
        <w:rPr>
          <w:rFonts w:hint="eastAsia" w:eastAsia="仿宋_GB2312" w:cs="仿宋_GB2312"/>
          <w:bCs/>
          <w:sz w:val="28"/>
          <w:szCs w:val="28"/>
        </w:rPr>
        <w:t xml:space="preserve">                        </w:t>
      </w:r>
      <w:bookmarkStart w:id="0" w:name="_GoBack"/>
      <w:bookmarkEnd w:id="0"/>
      <w:r>
        <w:rPr>
          <w:rFonts w:hint="eastAsia" w:eastAsia="仿宋_GB2312" w:cs="仿宋_GB2312"/>
          <w:bCs/>
          <w:sz w:val="28"/>
          <w:szCs w:val="28"/>
        </w:rPr>
        <w:t>联系电话：</w:t>
      </w:r>
      <w:r>
        <w:rPr>
          <w:rFonts w:hint="eastAsia" w:eastAsia="仿宋_GB2312" w:cs="仿宋_GB2312"/>
          <w:bCs/>
          <w:sz w:val="28"/>
          <w:szCs w:val="28"/>
          <w:lang w:val="en-US" w:eastAsia="zh-CN"/>
        </w:rPr>
        <w:t>8889236</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（一）市妇联</w:t>
            </w:r>
            <w:r>
              <w:rPr>
                <w:rFonts w:hint="eastAsia" w:ascii="仿宋_GB2312" w:hAnsi="仿宋_GB2312" w:eastAsia="仿宋_GB2312" w:cs="仿宋_GB2312"/>
                <w:bCs/>
                <w:sz w:val="28"/>
                <w:szCs w:val="28"/>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eastAsia="仿宋_GB2312"/>
                <w:sz w:val="32"/>
                <w:szCs w:val="32"/>
              </w:rPr>
            </w:pPr>
            <w:r>
              <w:rPr>
                <w:rFonts w:hint="eastAsia" w:ascii="仿宋_GB2312" w:hAnsi="仿宋_GB2312" w:eastAsia="仿宋_GB2312" w:cs="仿宋_GB2312"/>
                <w:bCs/>
                <w:sz w:val="28"/>
                <w:szCs w:val="28"/>
              </w:rPr>
              <w:t>市妇女联合会是市委领导下的全市各族各界妇女的群众团体组织，正处级，列群团机构序列。</w:t>
            </w:r>
            <w:r>
              <w:rPr>
                <w:rFonts w:hint="eastAsia" w:ascii="仿宋_GB2312" w:hAnsi="仿宋_GB2312" w:eastAsia="仿宋_GB2312" w:cs="仿宋_GB2312"/>
                <w:bCs/>
                <w:sz w:val="28"/>
                <w:szCs w:val="28"/>
                <w:lang w:eastAsia="zh-CN"/>
              </w:rPr>
              <w:t>目前</w:t>
            </w:r>
            <w:r>
              <w:rPr>
                <w:rFonts w:hint="eastAsia" w:ascii="仿宋_GB2312" w:hAnsi="仿宋_GB2312" w:eastAsia="仿宋_GB2312" w:cs="仿宋_GB2312"/>
                <w:bCs/>
                <w:sz w:val="28"/>
                <w:szCs w:val="28"/>
              </w:rPr>
              <w:t>共有行政编制1</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人，在职</w:t>
            </w: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人，退休干部9人。内设办公室、宣传部、组织联络部、家庭和儿童工作部、权益部、妇女发展部6个部室，市政府妇女儿童工作委员会办公室设在妇联。主要职责是:</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团结、教育全市各族各界妇女以及各类妇女组织同党中央在思想上、政治上、行动上保持高度一致，引领广大妇女听党话、跟党走。</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紧密围绕市委、市政府的中心任务开展工作，团结、动员和组织全市妇女投身改革开放和社会主义经济建设、政治建设、文化建设、社会建设和生态文明建设，在新时代中国特色社会主义伟大实践中发挥积极作用。</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代表妇女参与国家和社会事务的民主决策、民主管理、民主监督，关注并加强研究涉及妇女儿童切身利益的热点、难点问题，及时向市委反映社情民意，提出对策建议；参与有关妇女儿童政策的研究与拟订，从源头上强化维护妇女儿童合法权益工作。扩大社会联动维权工作格局，协助有关部门或单位查处侵害妇女儿童权益的行为，为受侵害的妇女儿童提供帮助。</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推动落实男女平等基本国策落实，营造有利于妇女全面发展的社会环境。教育和引导妇女践行社会主义核心价值观，发扬自尊、自信、自立、自强的精神，提高综合素质，实现全面发展。</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指导我市各级妇联依据《中华全国妇女联合会章程》和妇女代表大会的任务开展妇女工作，联系团体会员并给予工作指导。</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创新家庭文明建设工作，弘扬家庭美德，培养良好家风，促进家庭和谐。</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承担市妇女儿童工作委员会办公室的工作，推动落实妇女儿童发展规划各项目标任务。</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完成市委、市政府交办的其他事项。</w:t>
            </w:r>
            <w:r>
              <w:rPr>
                <w:rFonts w:hint="eastAsia" w:ascii="仿宋" w:hAnsi="仿宋" w:eastAsia="仿宋"/>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市妇联经费主要用于</w:t>
            </w:r>
            <w:r>
              <w:rPr>
                <w:rFonts w:hint="eastAsia" w:ascii="仿宋_GB2312" w:hAnsi="仿宋_GB2312" w:eastAsia="仿宋_GB2312" w:cs="仿宋_GB2312"/>
                <w:bCs/>
                <w:sz w:val="28"/>
                <w:szCs w:val="28"/>
                <w:lang w:val="en-US" w:eastAsia="zh-CN"/>
              </w:rPr>
              <w:t>妇女儿童发展中长期规划的落实及督导、相关会议的召开、妇女儿童维权、婚姻调解、反家暴、普法宣传、妇女同胞思想政治引领的宣传教育、文明创建、社会综合治理、禁毒宣传、家庭家教家风建设等工作。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2021年度市妇联基本支出479.55万元，其中人员经费支出268.97万元，主要用于发放人员工资及津补贴、生活补助等；一般商品和服务支出210.57万元，主要用于保障机关正常运转所需开支的办公费、差旅费、接待费、会议费、公务用车运行维护费、物业管理费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2021年安排妇儿工委专项经费9万元，主要用于妇女儿童发展规划的落实及督导、相关会议的召开、保障妇女儿童发展等工作。信访维权专项经费9万元，主要用于妇女儿童维权、婚姻调解、反家暴、普法宣传等工作。其他专项经费27万，主要用于妇女同胞思想政治引领的宣传教育、文明创建、社会综合治理、禁毒宣传、家庭家教宣传等工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Cs/>
                <w:sz w:val="28"/>
                <w:szCs w:val="28"/>
              </w:rPr>
              <w:t>专项资金实际使用情况分析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专项经费均按预算计划使用。</w:t>
            </w:r>
          </w:p>
          <w:p>
            <w:pPr>
              <w:numPr>
                <w:ilvl w:val="0"/>
                <w:numId w:val="2"/>
              </w:numPr>
              <w:spacing w:line="560" w:lineRule="exact"/>
              <w:ind w:left="0" w:leftChars="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numPr>
                <w:ilvl w:val="0"/>
                <w:numId w:val="0"/>
              </w:num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目前对专项资金的管理按照项目支出涉及的经济科目的明细项目，根据财务管理办法的相关制度执行。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、规范</w:t>
            </w:r>
            <w:r>
              <w:rPr>
                <w:rFonts w:hint="eastAsia" w:ascii="仿宋_GB2312" w:hAnsi="仿宋_GB2312" w:eastAsia="仿宋_GB2312" w:cs="仿宋_GB2312"/>
                <w:bCs/>
                <w:sz w:val="28"/>
                <w:szCs w:val="28"/>
                <w:lang w:eastAsia="zh-CN"/>
              </w:rPr>
              <w:t>化</w:t>
            </w:r>
            <w:r>
              <w:rPr>
                <w:rFonts w:hint="eastAsia" w:ascii="仿宋_GB2312" w:hAnsi="仿宋_GB2312" w:eastAsia="仿宋_GB2312" w:cs="仿宋_GB2312"/>
                <w:bCs/>
                <w:sz w:val="28"/>
                <w:szCs w:val="28"/>
              </w:rPr>
              <w:t>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认真贯彻落实中央八项规定，市委、市政府厉行节约的精神，进一步规范机关作风、加强机关财务管理，对单位行政运行、内部控制、会议、差旅、培训等严格按政策管理执行。</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严格执行预算</w:t>
            </w:r>
          </w:p>
          <w:p>
            <w:pPr>
              <w:numPr>
                <w:ilvl w:val="0"/>
                <w:numId w:val="0"/>
              </w:num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）公务用车运行费：严格执行公车管理规定，公务用车一律实行派车登记制，单位公车实行定点维修</w:t>
            </w:r>
            <w:r>
              <w:rPr>
                <w:rFonts w:hint="eastAsia" w:ascii="仿宋_GB2312" w:hAnsi="仿宋_GB2312" w:eastAsia="仿宋_GB2312" w:cs="仿宋_GB2312"/>
                <w:bCs/>
                <w:sz w:val="28"/>
                <w:szCs w:val="28"/>
                <w:lang w:eastAsia="zh-CN"/>
              </w:rPr>
              <w:t>、</w:t>
            </w:r>
            <w:r>
              <w:rPr>
                <w:rFonts w:ascii="仿宋_GB2312" w:hAnsi="仿宋_GB2312" w:eastAsia="仿宋_GB2312" w:cs="仿宋_GB2312"/>
                <w:bCs/>
                <w:sz w:val="28"/>
                <w:szCs w:val="28"/>
              </w:rPr>
              <w:t>IC</w:t>
            </w:r>
            <w:r>
              <w:rPr>
                <w:rFonts w:hint="eastAsia" w:ascii="仿宋_GB2312" w:hAnsi="仿宋_GB2312" w:eastAsia="仿宋_GB2312" w:cs="仿宋_GB2312"/>
                <w:bCs/>
                <w:sz w:val="28"/>
                <w:szCs w:val="28"/>
              </w:rPr>
              <w:t>卡加油、统一保险制度，如实登记上报公务车辆情况，</w:t>
            </w:r>
            <w:r>
              <w:rPr>
                <w:rFonts w:hint="eastAsia" w:ascii="仿宋_GB2312" w:hAnsi="仿宋_GB2312" w:eastAsia="仿宋_GB2312" w:cs="仿宋_GB2312"/>
                <w:bCs/>
                <w:sz w:val="28"/>
                <w:szCs w:val="28"/>
                <w:lang w:eastAsia="zh-CN"/>
              </w:rPr>
              <w:t>无</w:t>
            </w:r>
            <w:r>
              <w:rPr>
                <w:rFonts w:hint="eastAsia" w:ascii="仿宋_GB2312" w:hAnsi="仿宋_GB2312" w:eastAsia="仿宋_GB2312" w:cs="仿宋_GB2312"/>
                <w:bCs/>
                <w:sz w:val="28"/>
                <w:szCs w:val="28"/>
              </w:rPr>
              <w:t>公车私用</w:t>
            </w:r>
            <w:r>
              <w:rPr>
                <w:rFonts w:hint="eastAsia" w:ascii="仿宋_GB2312" w:hAnsi="仿宋_GB2312" w:eastAsia="仿宋_GB2312" w:cs="仿宋_GB2312"/>
                <w:bCs/>
                <w:sz w:val="28"/>
                <w:szCs w:val="28"/>
                <w:lang w:eastAsia="zh-CN"/>
              </w:rPr>
              <w:t>情况</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）公务接待费用：严格接待审批程序，严格执行凭公函接待制度、禁酒禁烟，严格控制接待标准。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）公务卡使用情况符合相关规定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Cs/>
                <w:sz w:val="28"/>
                <w:szCs w:val="28"/>
              </w:rPr>
              <w:t>公务卡使用按有关规定执行，费用开支</w:t>
            </w:r>
            <w:r>
              <w:rPr>
                <w:rFonts w:hint="eastAsia" w:ascii="仿宋_GB2312" w:hAnsi="仿宋_GB2312" w:eastAsia="仿宋_GB2312" w:cs="仿宋_GB2312"/>
                <w:bCs/>
                <w:sz w:val="28"/>
                <w:szCs w:val="28"/>
                <w:lang w:eastAsia="zh-CN"/>
              </w:rPr>
              <w:t>基本使</w:t>
            </w:r>
            <w:r>
              <w:rPr>
                <w:rFonts w:hint="eastAsia" w:ascii="仿宋_GB2312" w:hAnsi="仿宋_GB2312" w:eastAsia="仿宋_GB2312" w:cs="仿宋_GB2312"/>
                <w:bCs/>
                <w:sz w:val="28"/>
                <w:szCs w:val="28"/>
              </w:rPr>
              <w:t>用公务卡结算。</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注重</w:t>
            </w:r>
            <w:r>
              <w:rPr>
                <w:rFonts w:hint="eastAsia" w:ascii="仿宋_GB2312" w:hAnsi="仿宋_GB2312" w:eastAsia="仿宋_GB2312" w:cs="仿宋_GB2312"/>
                <w:bCs/>
                <w:sz w:val="28"/>
                <w:szCs w:val="28"/>
              </w:rPr>
              <w:t>加强对会议经费的管理。按要求尽量精简会议，控制会议时间</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规模、人数，会期不超过</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天，会议的人数及标准严格按规定执行。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仿宋_GB2312" w:hAnsi="仿宋_GB2312" w:eastAsia="仿宋_GB2312" w:cs="仿宋_GB2312"/>
                <w:bCs/>
                <w:sz w:val="28"/>
                <w:szCs w:val="28"/>
                <w:lang w:val="en-US" w:eastAsia="zh-CN"/>
              </w:rPr>
              <w:t xml:space="preserve">    2、注重加强对上级拨付的专项经费的管理。按文件要求，切实做到专款专用，无侵占挪用等违规情况。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_GB2312" w:eastAsia="仿宋_GB2312" w:cs="仿宋_GB2312"/>
                <w:b w:val="0"/>
                <w:bCs/>
                <w:kern w:val="2"/>
                <w:sz w:val="28"/>
                <w:szCs w:val="28"/>
                <w:lang w:val="en-US" w:eastAsia="zh-CN" w:bidi="ar-SA"/>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kern w:val="2"/>
                <w:sz w:val="28"/>
                <w:szCs w:val="28"/>
                <w:lang w:val="en-US" w:eastAsia="zh-CN" w:bidi="ar-SA"/>
              </w:rPr>
              <w:t>2021年整体支出均控制在年度预算内，“三公”经费使用较上年有所下降，各项工作均按计划推进，尤其“两癌”免费检查民生实事超额完成目标任务，妇女同胞地位得到提高，权益得到保障，作用发挥明显，组织更加健全，群众满意度达95%以上。</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存在的主要问题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outlineLvl w:val="0"/>
              <w:rPr>
                <w:rFonts w:hint="default" w:ascii="仿宋_GB2312" w:hAnsi="仿宋_GB2312" w:eastAsia="仿宋_GB2312" w:cs="仿宋_GB2312"/>
                <w:b w:val="0"/>
                <w:bCs/>
                <w:kern w:val="2"/>
                <w:sz w:val="28"/>
                <w:szCs w:val="28"/>
                <w:lang w:val="en-US" w:eastAsia="zh-CN" w:bidi="ar-SA"/>
              </w:rPr>
            </w:pPr>
            <w:r>
              <w:rPr>
                <w:rFonts w:hint="eastAsia"/>
                <w:lang w:val="en-US" w:eastAsia="zh-CN"/>
              </w:rPr>
              <w:t xml:space="preserve">  </w:t>
            </w:r>
            <w:r>
              <w:rPr>
                <w:rFonts w:hint="eastAsia" w:ascii="仿宋_GB2312" w:hAnsi="仿宋_GB2312" w:eastAsia="仿宋_GB2312" w:cs="仿宋_GB2312"/>
                <w:b w:val="0"/>
                <w:bCs/>
                <w:kern w:val="2"/>
                <w:sz w:val="28"/>
                <w:szCs w:val="28"/>
                <w:lang w:val="en-US" w:eastAsia="zh-CN" w:bidi="ar-SA"/>
              </w:rPr>
              <w:t>预算执行还不够精准，经费使用有时还不够规范。</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一是</w:t>
            </w:r>
            <w:r>
              <w:rPr>
                <w:rFonts w:hint="eastAsia" w:ascii="仿宋_GB2312" w:hAnsi="仿宋_GB2312" w:eastAsia="仿宋_GB2312" w:cs="仿宋_GB2312"/>
                <w:bCs/>
                <w:sz w:val="28"/>
                <w:szCs w:val="28"/>
              </w:rPr>
              <w:t>进一步加强预算</w:t>
            </w:r>
            <w:r>
              <w:rPr>
                <w:rFonts w:hint="eastAsia" w:ascii="仿宋_GB2312" w:hAnsi="仿宋_GB2312" w:eastAsia="仿宋_GB2312" w:cs="仿宋_GB2312"/>
                <w:bCs/>
                <w:sz w:val="28"/>
                <w:szCs w:val="28"/>
                <w:lang w:eastAsia="zh-CN"/>
              </w:rPr>
              <w:t>编制</w:t>
            </w:r>
            <w:r>
              <w:rPr>
                <w:rFonts w:hint="eastAsia" w:ascii="仿宋_GB2312" w:hAnsi="仿宋_GB2312" w:eastAsia="仿宋_GB2312" w:cs="仿宋_GB2312"/>
                <w:bCs/>
                <w:sz w:val="28"/>
                <w:szCs w:val="28"/>
              </w:rPr>
              <w:t>，提高预算编制的科学性、合理性、严谨性和可控性。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二是进一步</w:t>
            </w:r>
            <w:r>
              <w:rPr>
                <w:rFonts w:hint="eastAsia" w:ascii="仿宋_GB2312" w:hAnsi="仿宋_GB2312" w:eastAsia="仿宋_GB2312" w:cs="仿宋_GB2312"/>
                <w:bCs/>
                <w:sz w:val="28"/>
                <w:szCs w:val="28"/>
              </w:rPr>
              <w:t>加强财务管理，严格财务审核，定期做好支出预算分析，</w:t>
            </w:r>
            <w:r>
              <w:rPr>
                <w:rFonts w:hint="eastAsia" w:ascii="仿宋_GB2312" w:hAnsi="仿宋_GB2312" w:eastAsia="仿宋_GB2312" w:cs="仿宋_GB2312"/>
                <w:bCs/>
                <w:sz w:val="28"/>
                <w:szCs w:val="28"/>
                <w:lang w:eastAsia="zh-CN"/>
              </w:rPr>
              <w:t>防止超预算开支</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同时，及时跟进专项资金的使用、分配情况，确保专款专用、取得实效。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bCs/>
                <w:sz w:val="28"/>
                <w:szCs w:val="28"/>
              </w:rPr>
            </w:pPr>
          </w:p>
        </w:tc>
      </w:tr>
    </w:tbl>
    <w:p>
      <w:pPr>
        <w:spacing w:line="348" w:lineRule="auto"/>
        <w:rPr>
          <w:rFonts w:eastAsia="楷体_GB2312"/>
          <w:bCs/>
          <w:sz w:val="28"/>
          <w:szCs w:val="28"/>
        </w:rPr>
      </w:pPr>
    </w:p>
    <w:p>
      <w:pPr>
        <w:rPr>
          <w:rFonts w:hint="eastAsia" w:ascii="方正小标宋简体" w:eastAsia="方正小标宋简体"/>
          <w:sz w:val="38"/>
          <w:szCs w:val="38"/>
        </w:rPr>
      </w:pPr>
      <w:r>
        <w:rPr>
          <w:rFonts w:eastAsia="楷体_GB2312"/>
          <w:bCs/>
          <w:sz w:val="28"/>
          <w:szCs w:val="28"/>
        </w:rPr>
        <w:br w:type="page"/>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77" w:type="dxa"/>
        <w:jc w:val="center"/>
        <w:tblLayout w:type="fixed"/>
        <w:tblCellMar>
          <w:top w:w="0" w:type="dxa"/>
          <w:left w:w="108" w:type="dxa"/>
          <w:bottom w:w="0" w:type="dxa"/>
          <w:right w:w="108" w:type="dxa"/>
        </w:tblCellMar>
      </w:tblPr>
      <w:tblGrid>
        <w:gridCol w:w="974"/>
        <w:gridCol w:w="937"/>
        <w:gridCol w:w="1387"/>
        <w:gridCol w:w="4165"/>
        <w:gridCol w:w="618"/>
        <w:gridCol w:w="718"/>
        <w:gridCol w:w="1078"/>
      </w:tblGrid>
      <w:tr>
        <w:tblPrEx>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6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1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7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94" w:hRule="atLeast"/>
          <w:jc w:val="center"/>
        </w:trPr>
        <w:tc>
          <w:tcPr>
            <w:tcW w:w="9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7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824" w:hRule="atLeast"/>
          <w:jc w:val="center"/>
        </w:trPr>
        <w:tc>
          <w:tcPr>
            <w:tcW w:w="9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7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9" w:hRule="atLeast"/>
          <w:jc w:val="center"/>
        </w:trPr>
        <w:tc>
          <w:tcPr>
            <w:tcW w:w="9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5</w:t>
            </w:r>
          </w:p>
        </w:tc>
        <w:tc>
          <w:tcPr>
            <w:tcW w:w="1078"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820" w:hRule="atLeast"/>
          <w:jc w:val="center"/>
        </w:trPr>
        <w:tc>
          <w:tcPr>
            <w:tcW w:w="97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95" w:hRule="atLeast"/>
          <w:jc w:val="center"/>
        </w:trPr>
        <w:tc>
          <w:tcPr>
            <w:tcW w:w="9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56" w:hRule="atLeast"/>
          <w:jc w:val="center"/>
        </w:trPr>
        <w:tc>
          <w:tcPr>
            <w:tcW w:w="9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2</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p>
        </w:tc>
      </w:tr>
      <w:tr>
        <w:tblPrEx>
          <w:tblCellMar>
            <w:top w:w="0" w:type="dxa"/>
            <w:left w:w="108" w:type="dxa"/>
            <w:bottom w:w="0" w:type="dxa"/>
            <w:right w:w="108" w:type="dxa"/>
          </w:tblCellMar>
        </w:tblPrEx>
        <w:trPr>
          <w:trHeight w:val="527" w:hRule="atLeast"/>
          <w:jc w:val="center"/>
        </w:trPr>
        <w:tc>
          <w:tcPr>
            <w:tcW w:w="9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6</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12" w:hRule="atLeast"/>
          <w:jc w:val="center"/>
        </w:trPr>
        <w:tc>
          <w:tcPr>
            <w:tcW w:w="9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91" w:hRule="atLeast"/>
          <w:jc w:val="center"/>
        </w:trPr>
        <w:tc>
          <w:tcPr>
            <w:tcW w:w="97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65"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63" w:hRule="atLeast"/>
          <w:jc w:val="center"/>
        </w:trPr>
        <w:tc>
          <w:tcPr>
            <w:tcW w:w="97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5" w:hRule="atLeast"/>
          <w:jc w:val="center"/>
        </w:trPr>
        <w:tc>
          <w:tcPr>
            <w:tcW w:w="97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8" w:hRule="atLeast"/>
          <w:jc w:val="center"/>
        </w:trPr>
        <w:tc>
          <w:tcPr>
            <w:tcW w:w="97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7"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88" w:hRule="atLeast"/>
          <w:jc w:val="center"/>
        </w:trPr>
        <w:tc>
          <w:tcPr>
            <w:tcW w:w="97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6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1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7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8"/>
        <w:tblW w:w="9896" w:type="dxa"/>
        <w:jc w:val="center"/>
        <w:tblLayout w:type="fixed"/>
        <w:tblCellMar>
          <w:top w:w="0" w:type="dxa"/>
          <w:left w:w="108" w:type="dxa"/>
          <w:bottom w:w="0" w:type="dxa"/>
          <w:right w:w="108" w:type="dxa"/>
        </w:tblCellMar>
      </w:tblPr>
      <w:tblGrid>
        <w:gridCol w:w="976"/>
        <w:gridCol w:w="939"/>
        <w:gridCol w:w="1389"/>
        <w:gridCol w:w="4173"/>
        <w:gridCol w:w="619"/>
        <w:gridCol w:w="720"/>
        <w:gridCol w:w="1080"/>
      </w:tblGrid>
      <w:tr>
        <w:tblPrEx>
          <w:tblCellMar>
            <w:top w:w="0" w:type="dxa"/>
            <w:left w:w="108" w:type="dxa"/>
            <w:bottom w:w="0" w:type="dxa"/>
            <w:right w:w="108" w:type="dxa"/>
          </w:tblCellMar>
        </w:tblPrEx>
        <w:trPr>
          <w:trHeight w:val="666"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174"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43"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79"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7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7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42"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79"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71"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56"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56"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56"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208"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3"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42"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spacing w:val="-8"/>
                <w:kern w:val="0"/>
                <w:sz w:val="18"/>
                <w:szCs w:val="18"/>
                <w:lang w:val="en-US" w:eastAsia="zh-CN"/>
              </w:rPr>
            </w:pPr>
            <w:r>
              <w:rPr>
                <w:rFonts w:hint="eastAsia" w:ascii="仿宋_GB2312" w:hAnsi="宋体" w:eastAsia="仿宋_GB2312" w:cs="宋体"/>
                <w:b/>
                <w:bCs/>
                <w:spacing w:val="-8"/>
                <w:kern w:val="0"/>
                <w:sz w:val="18"/>
                <w:szCs w:val="18"/>
                <w:lang w:val="en-US" w:eastAsia="zh-CN"/>
              </w:rPr>
              <w:t>99</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9</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1">
    <w:nsid w:val="1E0409C0"/>
    <w:multiLevelType w:val="singleLevel"/>
    <w:tmpl w:val="1E0409C0"/>
    <w:lvl w:ilvl="0" w:tentative="0">
      <w:start w:val="2"/>
      <w:numFmt w:val="chineseCounting"/>
      <w:suff w:val="nothing"/>
      <w:lvlText w:val="（%1）"/>
      <w:lvlJc w:val="left"/>
      <w:rPr>
        <w:rFonts w:hint="eastAsia"/>
      </w:rPr>
    </w:lvl>
  </w:abstractNum>
  <w:abstractNum w:abstractNumId="2">
    <w:nsid w:val="1F5407FC"/>
    <w:multiLevelType w:val="singleLevel"/>
    <w:tmpl w:val="1F5407FC"/>
    <w:lvl w:ilvl="0" w:tentative="0">
      <w:start w:val="2"/>
      <w:numFmt w:val="decimal"/>
      <w:suff w:val="nothing"/>
      <w:lvlText w:val="%1、"/>
      <w:lvlJc w:val="left"/>
    </w:lvl>
  </w:abstractNum>
  <w:abstractNum w:abstractNumId="3">
    <w:nsid w:val="4804A728"/>
    <w:multiLevelType w:val="singleLevel"/>
    <w:tmpl w:val="4804A728"/>
    <w:lvl w:ilvl="0" w:tentative="0">
      <w:start w:val="5"/>
      <w:numFmt w:val="chineseCounting"/>
      <w:suff w:val="nothing"/>
      <w:lvlText w:val="%1、"/>
      <w:lvlJc w:val="left"/>
      <w:rPr>
        <w:rFonts w:hint="eastAsia"/>
      </w:rPr>
    </w:lvl>
  </w:abstractNum>
  <w:abstractNum w:abstractNumId="4">
    <w:nsid w:val="50FB65BF"/>
    <w:multiLevelType w:val="singleLevel"/>
    <w:tmpl w:val="50FB65BF"/>
    <w:lvl w:ilvl="0" w:tentative="0">
      <w:start w:val="2"/>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MWNhN2E2MjZiMDI1MjM4YTI3ZWY0YzU4YzhjYW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E6F19"/>
    <w:rsid w:val="00FF1172"/>
    <w:rsid w:val="00FF3FE2"/>
    <w:rsid w:val="00FF4BBA"/>
    <w:rsid w:val="00FF6034"/>
    <w:rsid w:val="00FF7685"/>
    <w:rsid w:val="00FF774A"/>
    <w:rsid w:val="011760FD"/>
    <w:rsid w:val="056106F1"/>
    <w:rsid w:val="06F35306"/>
    <w:rsid w:val="0BDD731F"/>
    <w:rsid w:val="0C41127C"/>
    <w:rsid w:val="0F824444"/>
    <w:rsid w:val="0FE82EBE"/>
    <w:rsid w:val="11603602"/>
    <w:rsid w:val="1398778B"/>
    <w:rsid w:val="1C1915AB"/>
    <w:rsid w:val="2356519F"/>
    <w:rsid w:val="25C0437E"/>
    <w:rsid w:val="395D0DAD"/>
    <w:rsid w:val="3CEE0CBC"/>
    <w:rsid w:val="3DB07C0A"/>
    <w:rsid w:val="3EF74E77"/>
    <w:rsid w:val="3FAD51E8"/>
    <w:rsid w:val="47666D96"/>
    <w:rsid w:val="4AB30F1A"/>
    <w:rsid w:val="4B75327C"/>
    <w:rsid w:val="502E7E3D"/>
    <w:rsid w:val="5487551B"/>
    <w:rsid w:val="59AD26BD"/>
    <w:rsid w:val="64652393"/>
    <w:rsid w:val="697F131D"/>
    <w:rsid w:val="6BAF69CB"/>
    <w:rsid w:val="6E1E6DE1"/>
    <w:rsid w:val="6F2A5693"/>
    <w:rsid w:val="77ED417E"/>
    <w:rsid w:val="7E741B41"/>
    <w:rsid w:val="7FE15291"/>
    <w:rsid w:val="7FE2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4">
    <w:name w:val="Body Text Indent 2"/>
    <w:basedOn w:val="1"/>
    <w:link w:val="15"/>
    <w:unhideWhenUsed/>
    <w:qFormat/>
    <w:uiPriority w:val="99"/>
    <w:pPr>
      <w:ind w:firstLine="588" w:firstLineChars="200"/>
    </w:pPr>
    <w:rPr>
      <w:rFonts w:ascii="仿宋_GB2312" w:hAnsi="Calibri" w:eastAsia="仿宋_GB2312"/>
      <w:sz w:val="32"/>
    </w:rPr>
  </w:style>
  <w:style w:type="paragraph" w:styleId="5">
    <w:name w:val="Balloon Text"/>
    <w:basedOn w:val="1"/>
    <w:link w:val="18"/>
    <w:semiHidden/>
    <w:qFormat/>
    <w:uiPriority w:val="0"/>
    <w:rPr>
      <w:sz w:val="18"/>
      <w:szCs w:val="18"/>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4"/>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5"/>
    <w:semiHidden/>
    <w:qFormat/>
    <w:uiPriority w:val="0"/>
    <w:rPr>
      <w:rFonts w:ascii="Times New Roman" w:hAnsi="Times New Roman" w:eastAsia="宋体" w:cs="Times New Roman"/>
      <w:sz w:val="18"/>
      <w:szCs w:val="18"/>
    </w:rPr>
  </w:style>
  <w:style w:type="character" w:customStyle="1" w:styleId="1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6580</Words>
  <Characters>6934</Characters>
  <Lines>78</Lines>
  <Paragraphs>21</Paragraphs>
  <TotalTime>1</TotalTime>
  <ScaleCrop>false</ScaleCrop>
  <LinksUpToDate>false</LinksUpToDate>
  <CharactersWithSpaces>7503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嫣</cp:lastModifiedBy>
  <dcterms:modified xsi:type="dcterms:W3CDTF">2022-06-15T06:24:00Z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884D77C8C6A940988FF2922982E9EF30</vt:lpwstr>
  </property>
</Properties>
</file>