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宋体"/>
          <w:bCs/>
          <w:sz w:val="32"/>
          <w:szCs w:val="32"/>
        </w:rPr>
      </w:pPr>
    </w:p>
    <w:p>
      <w:pPr>
        <w:spacing w:line="348" w:lineRule="auto"/>
        <w:jc w:val="center"/>
        <w:rPr>
          <w:rFonts w:ascii="宋体" w:hAnsi="宋体" w:cs="宋体"/>
          <w:bCs/>
          <w:sz w:val="42"/>
          <w:szCs w:val="42"/>
        </w:rPr>
      </w:pPr>
    </w:p>
    <w:p>
      <w:pPr>
        <w:spacing w:line="348" w:lineRule="auto"/>
        <w:jc w:val="center"/>
        <w:rPr>
          <w:rFonts w:ascii="宋体" w:hAnsi="宋体" w:cs="宋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hint="default" w:ascii="Times New Roman" w:hAnsi="Times New Roman" w:eastAsia="方正小标宋简体" w:cs="Times New Roman"/>
          <w:bCs/>
          <w:sz w:val="46"/>
          <w:szCs w:val="46"/>
        </w:rPr>
        <w:t>202</w:t>
      </w:r>
      <w:r>
        <w:rPr>
          <w:rFonts w:hint="eastAsia" w:eastAsia="方正小标宋简体" w:cs="Times New Roman"/>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ascii="宋体" w:hAnsi="宋体" w:cs="宋体"/>
          <w:b/>
          <w:sz w:val="32"/>
        </w:rPr>
      </w:pPr>
    </w:p>
    <w:p>
      <w:pPr>
        <w:rPr>
          <w:rFonts w:ascii="宋体" w:hAnsi="宋体" w:cs="宋体"/>
          <w:b/>
          <w:sz w:val="32"/>
        </w:rPr>
      </w:pPr>
    </w:p>
    <w:p>
      <w:pPr>
        <w:rPr>
          <w:rFonts w:ascii="宋体" w:hAnsi="宋体" w:cs="宋体"/>
          <w:b/>
          <w:sz w:val="32"/>
        </w:rPr>
      </w:pPr>
    </w:p>
    <w:p>
      <w:pPr>
        <w:spacing w:beforeLines="50" w:line="348" w:lineRule="auto"/>
        <w:ind w:firstLine="476" w:firstLineChars="150"/>
        <w:rPr>
          <w:rFonts w:hint="eastAsia" w:ascii="仿宋" w:hAnsi="仿宋" w:eastAsia="仿宋" w:cs="仿宋"/>
          <w:sz w:val="32"/>
          <w:szCs w:val="32"/>
          <w:u w:val="single"/>
        </w:rPr>
      </w:pPr>
      <w:r>
        <w:rPr>
          <w:rFonts w:hint="eastAsia" w:ascii="仿宋" w:hAnsi="仿宋" w:eastAsia="仿宋" w:cs="仿宋"/>
          <w:sz w:val="32"/>
          <w:szCs w:val="32"/>
        </w:rPr>
        <w:t>部门(单位)名称：</w:t>
      </w:r>
      <w:r>
        <w:rPr>
          <w:rFonts w:hint="eastAsia" w:ascii="仿宋" w:hAnsi="仿宋" w:eastAsia="仿宋" w:cs="仿宋"/>
          <w:sz w:val="32"/>
          <w:szCs w:val="32"/>
          <w:u w:val="single"/>
        </w:rPr>
        <w:t xml:space="preserve">         湖南民族职业学院                                </w:t>
      </w:r>
    </w:p>
    <w:p>
      <w:pPr>
        <w:spacing w:beforeLines="50" w:line="348" w:lineRule="auto"/>
        <w:ind w:firstLine="476" w:firstLineChars="150"/>
        <w:rPr>
          <w:rFonts w:hint="eastAsia" w:ascii="仿宋" w:hAnsi="仿宋" w:eastAsia="仿宋" w:cs="仿宋"/>
          <w:spacing w:val="20"/>
          <w:sz w:val="32"/>
          <w:szCs w:val="32"/>
        </w:rPr>
      </w:pPr>
      <w:r>
        <w:rPr>
          <w:rFonts w:hint="eastAsia" w:ascii="仿宋" w:hAnsi="仿宋" w:eastAsia="仿宋" w:cs="仿宋"/>
          <w:sz w:val="32"/>
          <w:szCs w:val="32"/>
        </w:rPr>
        <w:t>预</w:t>
      </w:r>
      <w:r>
        <w:rPr>
          <w:rFonts w:hint="eastAsia" w:ascii="仿宋" w:hAnsi="仿宋" w:eastAsia="仿宋" w:cs="仿宋"/>
          <w:spacing w:val="30"/>
          <w:sz w:val="32"/>
          <w:szCs w:val="32"/>
        </w:rPr>
        <w:t xml:space="preserve"> 算 编 码：</w:t>
      </w:r>
      <w:r>
        <w:rPr>
          <w:rFonts w:hint="eastAsia" w:ascii="仿宋" w:hAnsi="仿宋" w:eastAsia="仿宋" w:cs="仿宋"/>
          <w:spacing w:val="20"/>
          <w:sz w:val="32"/>
          <w:szCs w:val="32"/>
          <w:u w:val="single"/>
        </w:rPr>
        <w:t xml:space="preserve">           214001                      </w:t>
      </w:r>
    </w:p>
    <w:p>
      <w:pPr>
        <w:spacing w:beforeLines="50" w:line="348" w:lineRule="auto"/>
        <w:ind w:firstLine="476" w:firstLineChars="150"/>
        <w:rPr>
          <w:rFonts w:hint="eastAsia" w:ascii="仿宋" w:hAnsi="仿宋" w:eastAsia="仿宋" w:cs="仿宋"/>
          <w:sz w:val="32"/>
          <w:szCs w:val="32"/>
        </w:rPr>
      </w:pPr>
      <w:r>
        <w:rPr>
          <w:rFonts w:hint="eastAsia" w:ascii="仿宋" w:hAnsi="仿宋" w:eastAsia="仿宋" w:cs="仿宋"/>
          <w:sz w:val="32"/>
          <w:szCs w:val="32"/>
        </w:rPr>
        <w:t>评价方式：部门（单位）绩效自评</w:t>
      </w:r>
    </w:p>
    <w:p>
      <w:pPr>
        <w:spacing w:beforeLines="50" w:line="348" w:lineRule="auto"/>
        <w:ind w:firstLine="476" w:firstLineChars="150"/>
        <w:rPr>
          <w:rFonts w:hint="eastAsia" w:ascii="仿宋" w:hAnsi="仿宋" w:eastAsia="仿宋" w:cs="仿宋"/>
          <w:sz w:val="32"/>
          <w:szCs w:val="32"/>
        </w:rPr>
      </w:pPr>
      <w:r>
        <w:rPr>
          <w:rFonts w:hint="eastAsia" w:ascii="仿宋" w:hAnsi="仿宋" w:eastAsia="仿宋" w:cs="仿宋"/>
          <w:sz w:val="32"/>
          <w:szCs w:val="32"/>
        </w:rPr>
        <w:t xml:space="preserve">评价机构：部门（单位）评价组   </w:t>
      </w:r>
    </w:p>
    <w:p>
      <w:pPr>
        <w:spacing w:line="720" w:lineRule="exact"/>
        <w:ind w:firstLine="1636" w:firstLineChars="690"/>
        <w:rPr>
          <w:rFonts w:ascii="宋体" w:hAnsi="宋体" w:cs="宋体"/>
          <w:sz w:val="24"/>
        </w:rPr>
      </w:pPr>
    </w:p>
    <w:p>
      <w:pPr>
        <w:spacing w:line="720" w:lineRule="exact"/>
        <w:ind w:firstLine="1636" w:firstLineChars="690"/>
        <w:rPr>
          <w:rFonts w:ascii="宋体" w:hAnsi="宋体" w:cs="宋体"/>
          <w:sz w:val="24"/>
        </w:rPr>
      </w:pPr>
    </w:p>
    <w:p>
      <w:pPr>
        <w:spacing w:line="720" w:lineRule="exact"/>
        <w:ind w:firstLine="1636" w:firstLineChars="690"/>
        <w:rPr>
          <w:rFonts w:ascii="宋体" w:hAnsi="宋体" w:cs="宋体"/>
          <w:sz w:val="24"/>
        </w:rPr>
      </w:pPr>
    </w:p>
    <w:p>
      <w:pPr>
        <w:spacing w:line="348" w:lineRule="auto"/>
        <w:jc w:val="center"/>
        <w:rPr>
          <w:rFonts w:hint="eastAsia" w:ascii="仿宋" w:hAnsi="仿宋" w:eastAsia="仿宋" w:cs="仿宋"/>
          <w:sz w:val="32"/>
          <w:szCs w:val="32"/>
        </w:rPr>
      </w:pPr>
      <w:r>
        <w:rPr>
          <w:rFonts w:hint="eastAsia" w:ascii="仿宋" w:hAnsi="仿宋" w:eastAsia="仿宋" w:cs="仿宋"/>
          <w:sz w:val="32"/>
          <w:szCs w:val="32"/>
        </w:rPr>
        <w:t>报告日期：2022年9月20日</w:t>
      </w:r>
    </w:p>
    <w:p>
      <w:pPr>
        <w:autoSpaceDN w:val="0"/>
        <w:jc w:val="center"/>
        <w:textAlignment w:val="center"/>
        <w:rPr>
          <w:rFonts w:ascii="宋体" w:hAnsi="宋体" w:cs="宋体"/>
          <w:sz w:val="24"/>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ascii="仿宋" w:hAnsi="仿宋" w:eastAsia="仿宋" w:cs="仿宋"/>
          <w:sz w:val="32"/>
          <w:szCs w:val="32"/>
        </w:rPr>
        <w:t>岳阳市财政局（制）</w:t>
      </w:r>
    </w:p>
    <w:tbl>
      <w:tblPr>
        <w:tblStyle w:val="10"/>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559"/>
        <w:gridCol w:w="521"/>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联系人</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袁思婷</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联络电话</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18873001685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1"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人员编制</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601</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实有人数</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1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职能职责概述</w:t>
            </w:r>
          </w:p>
        </w:tc>
        <w:tc>
          <w:tcPr>
            <w:tcW w:w="8146" w:type="dxa"/>
            <w:gridSpan w:val="15"/>
            <w:vAlign w:val="center"/>
          </w:tcPr>
          <w:p>
            <w:pPr>
              <w:keepNext w:val="0"/>
              <w:keepLines w:val="0"/>
              <w:pageBreakBefore w:val="0"/>
              <w:widowControl w:val="0"/>
              <w:kinsoku/>
              <w:wordWrap/>
              <w:overflowPunct/>
              <w:topLinePunct w:val="0"/>
              <w:autoSpaceDE/>
              <w:autoSpaceDN w:val="0"/>
              <w:bidi w:val="0"/>
              <w:adjustRightInd/>
              <w:snapToGrid/>
              <w:spacing w:line="500" w:lineRule="exact"/>
              <w:ind w:firstLine="480" w:firstLineChars="200"/>
              <w:jc w:val="left"/>
              <w:textAlignment w:val="center"/>
              <w:rPr>
                <w:rFonts w:hint="eastAsia" w:ascii="宋体" w:hAnsi="宋体" w:eastAsia="宋体" w:cs="宋体"/>
                <w:color w:val="000000"/>
                <w:sz w:val="24"/>
              </w:rPr>
            </w:pPr>
            <w:r>
              <w:rPr>
                <w:rFonts w:hint="eastAsia" w:ascii="宋体" w:hAnsi="宋体" w:eastAsia="宋体" w:cs="宋体"/>
                <w:color w:val="000000"/>
                <w:sz w:val="24"/>
              </w:rPr>
              <w:t>培养高等专科学历技术人才，促进高等职业教育和民族教育共同发展。以开展中小学教师教育、高等职业教育、民族职业教育为主，相关教育教学科学研究和相关继续教育培训为辅的教育教学活动。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5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年度主要</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8146" w:type="dxa"/>
            <w:gridSpan w:val="15"/>
            <w:vAlign w:val="center"/>
          </w:tcPr>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1.以政治统领为抓手，不断加强学校党的建设；</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2.以提质培优为抓手，不断提升学校内涵建设；</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3.以内部管理为抓手，不断完善学校治理能力；</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4.以服务地方为抓手，不断促进社会职能履行。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21"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pacing w:val="-6"/>
                <w:sz w:val="24"/>
              </w:rPr>
            </w:pPr>
            <w:r>
              <w:rPr>
                <w:rFonts w:hint="eastAsia" w:ascii="宋体" w:hAnsi="宋体" w:eastAsia="宋体" w:cs="宋体"/>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bidi w:val="0"/>
              <w:adjustRightInd/>
              <w:snapToGrid/>
              <w:spacing w:line="500" w:lineRule="exact"/>
              <w:rPr>
                <w:rFonts w:hint="eastAsia" w:ascii="宋体" w:hAnsi="宋体" w:eastAsia="宋体" w:cs="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rPr>
            </w:pPr>
            <w:r>
              <w:rPr>
                <w:rFonts w:hint="eastAsia" w:ascii="宋体" w:hAnsi="宋体" w:eastAsia="宋体" w:cs="宋体"/>
                <w:b/>
                <w:bCs w:val="0"/>
                <w:sz w:val="24"/>
                <w:lang w:val="en-US" w:eastAsia="zh-CN"/>
              </w:rPr>
              <w:t>1.</w:t>
            </w:r>
            <w:r>
              <w:rPr>
                <w:rFonts w:hint="eastAsia" w:ascii="宋体" w:hAnsi="宋体" w:eastAsia="宋体" w:cs="宋体"/>
                <w:b/>
                <w:bCs w:val="0"/>
                <w:sz w:val="24"/>
              </w:rPr>
              <w:t>课程项目建设提质明显。</w:t>
            </w:r>
            <w:r>
              <w:rPr>
                <w:rFonts w:hint="eastAsia" w:ascii="宋体" w:hAnsi="宋体" w:eastAsia="宋体" w:cs="宋体"/>
                <w:bCs/>
                <w:sz w:val="24"/>
              </w:rPr>
              <w:t>立项建设省级精品在线开放课程15门、精品（培育）课程7门；申报国家“十四五”规划教材3部。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hint="eastAsia" w:ascii="宋体" w:hAnsi="宋体" w:eastAsia="宋体" w:cs="宋体"/>
                <w:bCs/>
                <w:sz w:val="24"/>
              </w:rPr>
            </w:pPr>
            <w:r>
              <w:rPr>
                <w:rFonts w:hint="eastAsia" w:ascii="宋体" w:hAnsi="宋体" w:eastAsia="宋体" w:cs="宋体"/>
                <w:b/>
                <w:bCs w:val="0"/>
                <w:sz w:val="24"/>
                <w:lang w:val="en-US" w:eastAsia="zh-CN"/>
              </w:rPr>
              <w:t>2.人才培养质量稳步提升。</w:t>
            </w:r>
            <w:r>
              <w:rPr>
                <w:rFonts w:hint="eastAsia" w:ascii="宋体" w:hAnsi="宋体" w:eastAsia="宋体" w:cs="宋体"/>
                <w:bCs/>
                <w:sz w:val="24"/>
              </w:rPr>
              <w:t>2021届“专升本”科录取人数248人，在全省专科院校中保持高位水平；2021年，学生获国家、省级各类技能竞赛奖励43项，其中国家级一等奖1项，国家级二等奖4项，国家级三等奖6项，省级一等奖6项，省级二等奖11项，省级三等奖15项；2021年，学生毕业设计抽查合格率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lang w:eastAsia="zh-CN"/>
              </w:rPr>
            </w:pPr>
            <w:r>
              <w:rPr>
                <w:rFonts w:hint="eastAsia" w:ascii="宋体" w:hAnsi="宋体" w:eastAsia="宋体" w:cs="宋体"/>
                <w:b/>
                <w:bCs w:val="0"/>
                <w:sz w:val="24"/>
                <w:lang w:val="en-US" w:eastAsia="zh-CN"/>
              </w:rPr>
              <w:t>3.育人成果更加丰硕。</w:t>
            </w:r>
            <w:r>
              <w:rPr>
                <w:rFonts w:hint="eastAsia" w:ascii="宋体" w:hAnsi="宋体" w:eastAsia="宋体" w:cs="宋体"/>
                <w:bCs/>
                <w:sz w:val="24"/>
              </w:rPr>
              <w:t>学校先后荣获湖南省民族健身操大赛二等奖、湖南省第四届高校校园好声音大赛总冠军及优秀组织奖”、“中国梦•校园情”湖南省第六届大学生微电影短视频大赛优秀组织奖及作品一等奖、全省普通高校“读懂中国”主题教育活动中“优秀组织奖”及作品二等奖等省市级荣誉60多项。学生参加第七届湖南省“互联网+”大学生创新创业大赛，获3个三等奖，是岳阳市唯一晋级省赛的高职院校；学生参加全省黄炎培职业能力大赛，选送的3个项目均获优胜奖</w:t>
            </w:r>
            <w:r>
              <w:rPr>
                <w:rFonts w:hint="eastAsia" w:ascii="宋体" w:hAnsi="宋体" w:eastAsia="宋体" w:cs="宋体"/>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lang w:eastAsia="zh-CN"/>
              </w:rPr>
            </w:pPr>
            <w:r>
              <w:rPr>
                <w:rFonts w:hint="eastAsia" w:ascii="宋体" w:hAnsi="宋体" w:eastAsia="宋体" w:cs="宋体"/>
                <w:b/>
                <w:bCs w:val="0"/>
                <w:sz w:val="24"/>
              </w:rPr>
              <w:t>4.招生就业持续向好。</w:t>
            </w:r>
            <w:r>
              <w:rPr>
                <w:rFonts w:hint="eastAsia" w:ascii="宋体" w:hAnsi="宋体" w:eastAsia="宋体" w:cs="宋体"/>
                <w:bCs/>
                <w:sz w:val="24"/>
              </w:rPr>
              <w:t>2021年，学校实际录取人数5200人，比上年增长300多人；历史类专业组、物理类专业组投档分数线在全省高职专科院校中均排名第六，在岳阳三所高职院校中排名第一；2021届毕业生初次就业率高于全省高职院校平均值</w:t>
            </w:r>
            <w:r>
              <w:rPr>
                <w:rFonts w:hint="eastAsia" w:ascii="宋体" w:hAnsi="宋体" w:eastAsia="宋体" w:cs="宋体"/>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rPr>
            </w:pPr>
            <w:r>
              <w:rPr>
                <w:rFonts w:hint="eastAsia" w:ascii="宋体" w:hAnsi="宋体" w:eastAsia="宋体" w:cs="宋体"/>
                <w:b/>
                <w:bCs w:val="0"/>
                <w:sz w:val="24"/>
              </w:rPr>
              <w:t>5.科学研究不断深化。</w:t>
            </w:r>
            <w:r>
              <w:rPr>
                <w:rFonts w:hint="eastAsia" w:ascii="宋体" w:hAnsi="宋体" w:eastAsia="宋体" w:cs="宋体"/>
                <w:bCs/>
                <w:sz w:val="24"/>
              </w:rPr>
              <w:t>学校组织申报并立项课题80项，其中，省部级课题14项，市级课题32项，校级各类课题34项，省级课题结题达100%，规划项目管理受到省教育的高度肯定；教师公开发表学术论文235篇，授予专利48项。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val="0"/>
                <w:sz w:val="24"/>
              </w:rPr>
              <w:t>6.社会职能不断凸显。</w:t>
            </w:r>
            <w:r>
              <w:rPr>
                <w:rFonts w:hint="eastAsia" w:ascii="宋体" w:hAnsi="宋体" w:eastAsia="宋体" w:cs="宋体"/>
                <w:bCs/>
                <w:sz w:val="24"/>
              </w:rPr>
              <w:t>学校正式成为湖南省社会培训评价机构职业技能等级认定试点单位和省院校职业技能等级认定单位。10 个专业、8个职业技能等级证书成为湖南省第三批试点职业技能等级证书。学生本科自考考试报考率和合格率均创历史最好成绩。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6"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黑体" w:hAnsi="黑体" w:eastAsia="黑体" w:cs="黑体"/>
                <w:color w:val="000000"/>
                <w:sz w:val="24"/>
              </w:rPr>
            </w:pPr>
            <w:r>
              <w:rPr>
                <w:rFonts w:hint="eastAsia" w:ascii="黑体" w:hAnsi="黑体" w:eastAsia="黑体" w:cs="黑体"/>
                <w:color w:val="000000"/>
                <w:sz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68"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黑体" w:hAnsi="黑体" w:eastAsia="黑体" w:cs="黑体"/>
                <w:color w:val="000000"/>
                <w:sz w:val="24"/>
              </w:rPr>
            </w:pPr>
            <w:r>
              <w:rPr>
                <w:rFonts w:hint="eastAsia" w:ascii="仿宋" w:hAnsi="仿宋" w:eastAsia="仿宋" w:cs="仿宋"/>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0" w:hRule="atLeast"/>
          <w:jc w:val="center"/>
        </w:trPr>
        <w:tc>
          <w:tcPr>
            <w:tcW w:w="1700" w:type="dxa"/>
            <w:gridSpan w:val="3"/>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收入合计</w:t>
            </w:r>
          </w:p>
        </w:tc>
        <w:tc>
          <w:tcPr>
            <w:tcW w:w="7020" w:type="dxa"/>
            <w:gridSpan w:val="13"/>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1" w:hRule="atLeast"/>
          <w:jc w:val="center"/>
        </w:trPr>
        <w:tc>
          <w:tcPr>
            <w:tcW w:w="1700" w:type="dxa"/>
            <w:gridSpan w:val="3"/>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上年结转</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公共财</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政拨款</w:t>
            </w: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政府基金拨款</w:t>
            </w: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纳入专户管理的非税收入拨款</w:t>
            </w: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其他</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7" w:hRule="atLeast"/>
          <w:jc w:val="center"/>
        </w:trPr>
        <w:tc>
          <w:tcPr>
            <w:tcW w:w="170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20567.88</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10333.72</w:t>
            </w: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kern w:val="0"/>
                <w:sz w:val="24"/>
                <w:lang w:val="en-US" w:eastAsia="zh-CN"/>
              </w:rPr>
              <w:t>8321.72</w:t>
            </w:r>
            <w:bookmarkStart w:id="2" w:name="_GoBack"/>
            <w:bookmarkEnd w:id="2"/>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1912.44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2"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napToGrid w:val="0"/>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1345" w:type="dxa"/>
            <w:gridSpan w:val="4"/>
            <w:tcBorders>
              <w:left w:val="single" w:color="auto" w:sz="4" w:space="0"/>
              <w:bottom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基本支出</w:t>
            </w:r>
          </w:p>
        </w:tc>
        <w:tc>
          <w:tcPr>
            <w:tcW w:w="3240" w:type="dxa"/>
            <w:gridSpan w:val="5"/>
            <w:tcBorders>
              <w:top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1080" w:type="dxa"/>
            <w:gridSpan w:val="2"/>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当年结余</w:t>
            </w:r>
          </w:p>
        </w:tc>
        <w:tc>
          <w:tcPr>
            <w:tcW w:w="625"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人员支出</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公用支出</w:t>
            </w:r>
          </w:p>
        </w:tc>
        <w:tc>
          <w:tcPr>
            <w:tcW w:w="1080" w:type="dxa"/>
            <w:gridSpan w:val="2"/>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20567.88</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10968.17</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5401.19</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5566.98</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9599.72</w:t>
            </w: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2"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三公经费</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7020" w:type="dxa"/>
            <w:gridSpan w:val="13"/>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公务接待费</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公务用车运维费</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公务用车购置费</w:t>
            </w: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29.25</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2.75</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26.5</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固定资产</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6079" w:type="dxa"/>
            <w:gridSpan w:val="11"/>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41" w:type="dxa"/>
            <w:gridSpan w:val="2"/>
            <w:vMerge w:val="restart"/>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50"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在用固定资产</w:t>
            </w:r>
          </w:p>
        </w:tc>
        <w:tc>
          <w:tcPr>
            <w:tcW w:w="3644" w:type="dxa"/>
            <w:gridSpan w:val="7"/>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出租固定资产</w:t>
            </w:r>
          </w:p>
        </w:tc>
        <w:tc>
          <w:tcPr>
            <w:tcW w:w="941"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60582.86</w:t>
            </w: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60582.86</w:t>
            </w: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w:t>
            </w: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05"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6" w:hRule="atLeast"/>
          <w:jc w:val="center"/>
        </w:trPr>
        <w:tc>
          <w:tcPr>
            <w:tcW w:w="1441" w:type="dxa"/>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整体支出绩效定性目标及实施计划完成情况</w:t>
            </w:r>
          </w:p>
        </w:tc>
        <w:tc>
          <w:tcPr>
            <w:tcW w:w="377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预期目标</w:t>
            </w:r>
          </w:p>
        </w:tc>
        <w:tc>
          <w:tcPr>
            <w:tcW w:w="4585" w:type="dxa"/>
            <w:gridSpan w:val="9"/>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639"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774" w:type="dxa"/>
            <w:gridSpan w:val="7"/>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1.盯紧一个重点。即一流特色专业群建设。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2.抓住两个关键。即专业结构调整和课程与资源建设。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3.搞好三个建设。即规划建设、团队建设和平台建设。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kern w:val="0"/>
                <w:sz w:val="24"/>
                <w:szCs w:val="24"/>
              </w:rPr>
              <w:t>4.实现四个优化。即课程优化、师资优化、生源结构和债务结构的优化。</w:t>
            </w:r>
          </w:p>
        </w:tc>
        <w:tc>
          <w:tcPr>
            <w:tcW w:w="4585" w:type="dxa"/>
            <w:gridSpan w:val="9"/>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按要求、按标准完成各项任务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0" w:hRule="atLeast"/>
          <w:jc w:val="center"/>
        </w:trPr>
        <w:tc>
          <w:tcPr>
            <w:tcW w:w="1441" w:type="dxa"/>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整体支出</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绩效定量目标及实施计划完成情况</w:t>
            </w:r>
          </w:p>
        </w:tc>
        <w:tc>
          <w:tcPr>
            <w:tcW w:w="2966"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评价内容</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绩效目标</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产出目标</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（部门工作实绩，包含上级部门和市委市政府布置的重点工作、实事任务等，根据部门实际进行调整细化）</w:t>
            </w: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质量指标</w:t>
            </w: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1.省级资源库立项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2.承办省职业技能赛点工作</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3.防疫零事故</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4.学生资助研究先进单位</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5.征兵任务</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bCs/>
                <w:sz w:val="24"/>
                <w:szCs w:val="24"/>
              </w:rPr>
            </w:pPr>
            <w:r>
              <w:rPr>
                <w:rFonts w:hint="eastAsia" w:ascii="宋体" w:hAnsi="宋体" w:eastAsia="宋体" w:cs="宋体"/>
                <w:kern w:val="0"/>
                <w:sz w:val="24"/>
                <w:szCs w:val="24"/>
              </w:rPr>
              <w:t>6.招生计划</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7.学生就业率</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88.09%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bCs/>
                <w:color w:val="000000"/>
                <w:sz w:val="24"/>
                <w:szCs w:val="24"/>
              </w:rPr>
              <w:t>毕业设计抽查合格率100%</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数量指标</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kern w:val="0"/>
                <w:sz w:val="24"/>
                <w:szCs w:val="24"/>
              </w:rPr>
              <w:t>1.入党培训班</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4期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2.新发展党员</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3.意识形态分析研判会议</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4.省级精品课程</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5.资源库立项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6.现代学徒制试点工作</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7.培训37批次</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37批次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8.科研立项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74项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9.教师公开发表学术论文</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250篇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bCs/>
                <w:sz w:val="24"/>
                <w:szCs w:val="24"/>
              </w:rPr>
            </w:pPr>
            <w:r>
              <w:rPr>
                <w:rFonts w:hint="eastAsia" w:ascii="宋体" w:hAnsi="宋体" w:eastAsia="宋体" w:cs="宋体"/>
                <w:kern w:val="0"/>
                <w:sz w:val="24"/>
                <w:szCs w:val="24"/>
              </w:rPr>
              <w:t>10.专利</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11.教学团队获奖</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1"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12.省职业院校技能竞赛获奖</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时效指标</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按照计划和进度在一年内完成</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Cs/>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成本指标</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不超过年初预算，控制在预算之内</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效益目标</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（预期实现的效益）</w:t>
            </w: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社会效益</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开办西藏班，为藏区培养人才，促进民族团结</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为建档立卡等七类贫困户子女提供资助</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
                <w:color w:val="000000"/>
                <w:sz w:val="24"/>
                <w:szCs w:val="24"/>
              </w:rPr>
            </w:pPr>
            <w:r>
              <w:rPr>
                <w:rFonts w:hint="eastAsia" w:ascii="宋体" w:hAnsi="宋体" w:eastAsia="宋体" w:cs="宋体"/>
                <w:kern w:val="0"/>
                <w:sz w:val="24"/>
                <w:szCs w:val="24"/>
              </w:rPr>
              <w: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经济效益</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培训目标收入</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生态效益</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开展“垃圾分类”宣传指导活动</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社会公众或服务对象满意度</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学生、教师、家长及用人单位满意度：95%</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社区服务活动对象满意度：92%</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7" w:hRule="atLeast"/>
          <w:jc w:val="center"/>
        </w:trPr>
        <w:tc>
          <w:tcPr>
            <w:tcW w:w="2990"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绩效自评综合得分</w:t>
            </w:r>
          </w:p>
        </w:tc>
        <w:tc>
          <w:tcPr>
            <w:tcW w:w="6810" w:type="dxa"/>
            <w:gridSpan w:val="1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7" w:hRule="atLeast"/>
          <w:jc w:val="center"/>
        </w:trPr>
        <w:tc>
          <w:tcPr>
            <w:tcW w:w="2990"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评价等次</w:t>
            </w:r>
          </w:p>
        </w:tc>
        <w:tc>
          <w:tcPr>
            <w:tcW w:w="6810" w:type="dxa"/>
            <w:gridSpan w:val="1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3"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仿宋" w:hAnsi="仿宋" w:eastAsia="仿宋" w:cs="仿宋"/>
                <w:color w:val="000000"/>
                <w:sz w:val="24"/>
                <w:szCs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单  位</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3"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王志平</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党委委员、副院长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苏冠</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办公室主任</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何君辉</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计财处处长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张飞龙</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计财处副处长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53"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评价组组长（签字）：</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84"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部门（单位）意见：</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部门（单位）负责人（签章）：</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r>
              <w:rPr>
                <w:rFonts w:hint="eastAsia" w:ascii="宋体" w:hAnsi="宋体" w:eastAsia="宋体" w:cs="宋体"/>
                <w:sz w:val="24"/>
                <w:szCs w:val="24"/>
              </w:rPr>
              <w:t>财政部门归口业务科室意见：</w:t>
            </w: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r>
              <w:rPr>
                <w:rFonts w:hint="eastAsia" w:ascii="宋体" w:hAnsi="宋体" w:eastAsia="宋体" w:cs="宋体"/>
                <w:sz w:val="24"/>
                <w:szCs w:val="24"/>
              </w:rPr>
              <w:t xml:space="preserve">                                  财政部门归口业务科室负责人（签章）：</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 xml:space="preserve">                                                                 年    月   日</w:t>
            </w:r>
          </w:p>
        </w:tc>
      </w:tr>
    </w:tbl>
    <w:p>
      <w:pPr>
        <w:spacing w:line="440" w:lineRule="exact"/>
        <w:rPr>
          <w:rFonts w:hint="eastAsia" w:ascii="仿宋" w:hAnsi="仿宋" w:eastAsia="仿宋" w:cs="仿宋"/>
          <w:bCs/>
          <w:sz w:val="24"/>
          <w:szCs w:val="24"/>
        </w:rPr>
      </w:pPr>
      <w:r>
        <w:rPr>
          <w:rFonts w:hint="eastAsia" w:ascii="宋体" w:hAnsi="宋体" w:eastAsia="宋体" w:cs="宋体"/>
          <w:bCs/>
          <w:sz w:val="24"/>
          <w:szCs w:val="24"/>
        </w:rPr>
        <w:t xml:space="preserve">填报人（签名）：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联系电话：18873001685</w:t>
      </w:r>
    </w:p>
    <w:tbl>
      <w:tblPr>
        <w:tblStyle w:val="10"/>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（一）部门（单位）基本情况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1.单位基本情况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是岳阳市人民政府主办的全日制普通高等职业学校。学校现有人员编制601人，实有人数1126人。学校现有教师和各类专业技术人员807人，专任教师607人，其中正副教授280余人，硕士研究生200多人，“双师型”教师127人。学校设有小学教育学院、学前教育学院、视觉艺术学院、商贸旅游学院、教育信息技术学院、智能通信学院、基础教育学院、“一带一路”国际教育学院等8个院（系部）和成人教育学院、社会培训学院。开设有小学教育、学前教育、早期教育、服装与服饰设计、商务英语、航空服务、旅游管理、移动应用开发、通信技术等专业，小学教育、学前教育和教育文化创意三个专业群是湖南省教育厅2018年立项建设的"湖南省高等职业教育一流特色专业群"。学校现有在校学生1.3万人，分别来自全国24个省市、26个民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湖南民族职业学院为市财政定额预算拨款单位。根据部门预算和“三公”经费公开工作的整体部署，我院2021年度均按要求进行了公开。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2.部门主要职能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（1）全面贯彻执行党和国家的教育方针和政策法规；研究制定学院改革、发展和管理的规划、制度并组织实施。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2）依据有关规定和实际需要调整学科、专业设置；开展中小学教师教育、高等职业教育、民族职业教育为主，相关教育教学科学研究和相关继续教育培训为辅的教育教学活动；制定教学计划，组织开展教学活动；加强教学管理和素质教育。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（3）制定招生方案并组织实施，对学生进行全面教育和管理，加强对学生创新创业和就业工作的指导。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（4）根据国家和省的有关政策、要求，不断深化学院内部管理体制改革和人事制度、分配制度改革。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（5）认真履行学院国有资产管理职能；充分发挥其社会效益。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（6）开展职业教育改革等有关课题科研工作；开展校际间合作与交流。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（7）贯彻落实国家、省、市有关学生奖助学金政策，公开、公正评选学生奖助学金并足额及时发放到位。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2021年度学院整体支出20567.88万元，其中基本支出</w:t>
            </w:r>
            <w:r>
              <w:rPr>
                <w:rFonts w:hint="eastAsia" w:ascii="宋体" w:hAnsi="宋体" w:eastAsia="宋体" w:cs="宋体"/>
                <w:color w:val="000000" w:themeColor="text1"/>
                <w:sz w:val="24"/>
                <w:szCs w:val="24"/>
                <w14:textFill>
                  <w14:solidFill>
                    <w14:schemeClr w14:val="tx1"/>
                  </w14:solidFill>
                </w14:textFill>
              </w:rPr>
              <w:t>10968.17</w:t>
            </w:r>
            <w:r>
              <w:rPr>
                <w:rFonts w:hint="eastAsia" w:ascii="宋体" w:hAnsi="宋体" w:eastAsia="宋体" w:cs="宋体"/>
                <w:bCs/>
                <w:color w:val="000000" w:themeColor="text1"/>
                <w:sz w:val="24"/>
                <w:szCs w:val="24"/>
                <w14:textFill>
                  <w14:solidFill>
                    <w14:schemeClr w14:val="tx1"/>
                  </w14:solidFill>
                </w14:textFill>
              </w:rPr>
              <w:t>万元，项目支出</w:t>
            </w:r>
            <w:r>
              <w:rPr>
                <w:rFonts w:hint="eastAsia" w:ascii="宋体" w:hAnsi="宋体" w:eastAsia="宋体" w:cs="宋体"/>
                <w:color w:val="000000" w:themeColor="text1"/>
                <w:sz w:val="24"/>
                <w:szCs w:val="24"/>
                <w14:textFill>
                  <w14:solidFill>
                    <w14:schemeClr w14:val="tx1"/>
                  </w14:solidFill>
                </w14:textFill>
              </w:rPr>
              <w:t>9599.72</w:t>
            </w:r>
            <w:r>
              <w:rPr>
                <w:rFonts w:hint="eastAsia" w:ascii="宋体" w:hAnsi="宋体" w:eastAsia="宋体" w:cs="宋体"/>
                <w:bCs/>
                <w:color w:val="000000" w:themeColor="text1"/>
                <w:sz w:val="24"/>
                <w:szCs w:val="24"/>
                <w14:textFill>
                  <w14:solidFill>
                    <w14:schemeClr w14:val="tx1"/>
                  </w14:solidFill>
                </w14:textFill>
              </w:rPr>
              <w:t>万元。</w:t>
            </w:r>
            <w:r>
              <w:rPr>
                <w:rFonts w:hint="eastAsia" w:ascii="宋体" w:hAnsi="宋体" w:eastAsia="宋体" w:cs="宋体"/>
                <w:bCs/>
                <w:sz w:val="24"/>
                <w:szCs w:val="24"/>
              </w:rPr>
              <w:t>主要用于“双一流”建设，</w:t>
            </w:r>
            <w:r>
              <w:rPr>
                <w:rFonts w:hint="eastAsia" w:ascii="宋体" w:hAnsi="宋体" w:eastAsia="宋体" w:cs="宋体"/>
                <w:bCs/>
                <w:color w:val="000000" w:themeColor="text1"/>
                <w:sz w:val="24"/>
                <w:szCs w:val="24"/>
                <w14:textFill>
                  <w14:solidFill>
                    <w14:schemeClr w14:val="tx1"/>
                  </w14:solidFill>
                </w14:textFill>
              </w:rPr>
              <w:t>实训楼微格教室、语音室、学前教育实综合实训室更新改造、信息化建设，技能竞赛赛点建设，</w:t>
            </w:r>
            <w:r>
              <w:rPr>
                <w:rFonts w:hint="eastAsia" w:ascii="宋体" w:hAnsi="宋体" w:eastAsia="宋体" w:cs="宋体"/>
                <w:bCs/>
                <w:sz w:val="24"/>
                <w:szCs w:val="24"/>
              </w:rPr>
              <w:t>国培和教师培训等各项校内校外培训，以及国家奖助学金、高校义务兵学费资助等各类扶贫资金的发放。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（一）基本支出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2021年度学院基本支出</w:t>
            </w:r>
            <w:r>
              <w:rPr>
                <w:rFonts w:hint="eastAsia" w:ascii="宋体" w:hAnsi="宋体" w:eastAsia="宋体" w:cs="宋体"/>
                <w:color w:val="000000" w:themeColor="text1"/>
                <w:sz w:val="24"/>
                <w:szCs w:val="24"/>
                <w14:textFill>
                  <w14:solidFill>
                    <w14:schemeClr w14:val="tx1"/>
                  </w14:solidFill>
                </w14:textFill>
              </w:rPr>
              <w:t>10968.17</w:t>
            </w:r>
            <w:r>
              <w:rPr>
                <w:rFonts w:hint="eastAsia" w:ascii="宋体" w:hAnsi="宋体" w:eastAsia="宋体" w:cs="宋体"/>
                <w:bCs/>
                <w:color w:val="000000" w:themeColor="text1"/>
                <w:sz w:val="24"/>
                <w:szCs w:val="24"/>
                <w14:textFill>
                  <w14:solidFill>
                    <w14:schemeClr w14:val="tx1"/>
                  </w14:solidFill>
                </w14:textFill>
              </w:rPr>
              <w:t>万元，主要用于人员经费支出，积极推进民生工程；各项公用经费支出，确保学院正常运转。“三公”经费支出合计29.25万元，其中公务接待费2.75万元，公务用车运行维护费26.5万元。总体较上年上升3.24%，其中公务接待费上升135%，公务用车运行维护费降低2.53%。本单位公务接待基数较小，2020年受疫情影响，公务接待大幅减少，2021年有小幅度回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（二）专项支出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主要投入的专项资金有实训楼微格教室、语音室、学前教育实综合实训室更新改造、信息化建设：总投入1776万元，其中2021年投入1005万元。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专项资金实际使用情况分析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以上专项资金</w:t>
            </w:r>
            <w:r>
              <w:rPr>
                <w:rFonts w:hint="eastAsia" w:ascii="宋体" w:hAnsi="宋体" w:eastAsia="宋体" w:cs="宋体"/>
                <w:sz w:val="24"/>
                <w:szCs w:val="24"/>
              </w:rPr>
              <w:t>1005</w:t>
            </w:r>
            <w:r>
              <w:rPr>
                <w:rFonts w:hint="eastAsia" w:ascii="宋体" w:hAnsi="宋体" w:eastAsia="宋体" w:cs="宋体"/>
                <w:bCs/>
                <w:sz w:val="24"/>
                <w:szCs w:val="24"/>
              </w:rPr>
              <w:t>万元全部投入到实训楼微格教室、语音室、学前教育实综合实训室更新改造、信息化建设中，为本部门职能职责的实施提供了资金保障。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专项资金管理情况分析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为加强资金安排管理，我院严格执行《湖南民族职业学院专项资金管理办法》、《湖南民族职业学院基建修缮工程项目审计办法》。一方面严格项目审批，明确资金申报范围、程序和具体要求，要求申报项目必须符合政策要求，必须有助于学院基础能力的提升，服务广大师生，产生明显的社会效益；另一方面，加强资金使用过程中的监督监控，严格按照资金管理使用办法，要求各单位开展资金项目年度实施情况检查，并对重点项目实施情况进行抽查，严格执行财务内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（一）专项组织情况分析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bookmarkStart w:id="0" w:name="_Toc499733327"/>
            <w:bookmarkStart w:id="1" w:name="_Toc530556626"/>
            <w:r>
              <w:rPr>
                <w:rFonts w:hint="eastAsia" w:ascii="宋体" w:hAnsi="宋体" w:eastAsia="宋体" w:cs="宋体"/>
                <w:bCs/>
                <w:sz w:val="24"/>
                <w:szCs w:val="24"/>
              </w:rPr>
              <w:t>按照《湖南民族职业学院专项资金管理办法》第三条要求：专项资金由</w:t>
            </w:r>
            <w:r>
              <w:rPr>
                <w:rFonts w:hint="eastAsia" w:ascii="宋体" w:hAnsi="宋体" w:eastAsia="宋体" w:cs="宋体"/>
                <w:bCs/>
                <w:sz w:val="24"/>
                <w:szCs w:val="24"/>
                <w:lang w:val="en-US" w:eastAsia="zh-CN"/>
              </w:rPr>
              <w:t>计划</w:t>
            </w:r>
            <w:r>
              <w:rPr>
                <w:rFonts w:hint="eastAsia" w:ascii="宋体" w:hAnsi="宋体" w:eastAsia="宋体" w:cs="宋体"/>
                <w:bCs/>
                <w:sz w:val="24"/>
                <w:szCs w:val="24"/>
              </w:rPr>
              <w:t>财务处会同相关职能处室和系部共同管理。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《湖南民族职业学院招标采购管理与监督实施办法》第五条要求：学院成立招标采</w:t>
            </w:r>
            <w:r>
              <w:rPr>
                <w:rFonts w:hint="eastAsia" w:ascii="宋体" w:hAnsi="宋体" w:eastAsia="宋体" w:cs="宋体"/>
                <w:bCs/>
                <w:color w:val="000000" w:themeColor="text1"/>
                <w:sz w:val="24"/>
                <w:szCs w:val="24"/>
                <w14:textFill>
                  <w14:solidFill>
                    <w14:schemeClr w14:val="tx1"/>
                  </w14:solidFill>
                </w14:textFill>
              </w:rPr>
              <w:t>购工作领导小组，由学院领导、纪检监察处、审计处、计划财务处、资产管理处的主要负责人为招标采购领导小组成员（另外行文）。采购工作领导小组下设招标采购中心，在资产后勤处加挂学院招标</w:t>
            </w:r>
            <w:r>
              <w:rPr>
                <w:rFonts w:hint="eastAsia" w:ascii="宋体" w:hAnsi="宋体" w:eastAsia="宋体" w:cs="宋体"/>
                <w:bCs/>
                <w:sz w:val="24"/>
                <w:szCs w:val="24"/>
              </w:rPr>
              <w:t>采购中心牌子，负责招标采购具体工作。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关于学院招标、采购、大额支付与合同会审程序的有关规定》要求：由领导小组办公室负责制定标准格式的会审会签表，确定会审会签专职人员负责招标、采购、大额支付与合同会审会签日常工作。学院审计处确定价格专审员，负责对方案中涉及的工程和物资价格的审核。</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学院组织成立了项目建设工作小组，负责项目建设的统筹规划与管理、组织与实施工作。全年多次召开项目建设专题研讨会，年初根据合同制定了项目建设进度计划，按照项目建设方案要求，将建设任务落实到负责人、到时间节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专项管理情况分析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制定了《湖南民族职业学院专项资金管理办法》、《湖南民族职业学院招标采购管理与监督实施办法》和《关于学院招标、采购、大额支付与合同会审程序的有关规定》等制度系统科学的监控评价指标，通过每月自查、中期检查、年度检查等，从项目的可行性论证、资金使用、任务落实、项目管理和建设效果进行全过程动态管理。民族学院学前教育实训中心及公租房建设项目的管理严格按照项目主管部门制定的项目管理办法的要求，坚持申请立项和过程管理并重、服务支撑和监督管理并重的原则，实行项目负责人责任制，由项目负责人承担该项目执行过程中的所有责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部门（单位）整体支出绩效情况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2021年，根据学院年初工作规划和重点工作，围绕上级部门的工作部署，积极履行职责，强化管理，较好地完成了年度工作目标，同时加强预算收支</w:t>
            </w:r>
            <w:r>
              <w:rPr>
                <w:rFonts w:hint="eastAsia" w:ascii="宋体" w:hAnsi="宋体" w:eastAsia="宋体" w:cs="宋体"/>
                <w:color w:val="000000" w:themeColor="text1"/>
                <w:sz w:val="24"/>
                <w:szCs w:val="24"/>
                <w14:textFill>
                  <w14:solidFill>
                    <w14:schemeClr w14:val="tx1"/>
                  </w14:solidFill>
                </w14:textFill>
              </w:rPr>
              <w:t>的管理，建立健全内部管理制度，严格内部管理流程，部门整体支出管理得到了提升。2021年度部门整体支出绩效情况如下：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1.本年预算配置控制较好，“三公经费”支出总额比预算数减少59.76万元，比20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年减少2.98万元。主要原因为2021年学院教职工未因公出国、</w:t>
            </w:r>
            <w:r>
              <w:rPr>
                <w:rFonts w:hint="eastAsia" w:ascii="宋体" w:hAnsi="宋体" w:eastAsia="宋体" w:cs="宋体"/>
                <w:bCs/>
                <w:color w:val="000000" w:themeColor="text1"/>
                <w:sz w:val="24"/>
                <w:szCs w:val="24"/>
                <w14:textFill>
                  <w14:solidFill>
                    <w14:schemeClr w14:val="tx1"/>
                  </w14:solidFill>
                </w14:textFill>
              </w:rPr>
              <w:t>严控公务用车运行费用、严格公务接待管理制度</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预算执行方面，支出总额控制在预算总额以内，基本支出占总支出53.33%，其中人员支出占基本支出的49.24%，公用支出占基本支出的50.76%；项目支出占总支出46.67%。学院2021年较好地完成了当年任务目标，财政拨款支出总体控制较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3.预算管理方面，湖南民族职业学院制定了切实有效的财务、“三公经费”、资产采购、工程维修等内部管理制度，执行情况较好。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学校不断</w:t>
            </w:r>
            <w:r>
              <w:rPr>
                <w:rFonts w:hint="eastAsia" w:ascii="宋体" w:hAnsi="宋体" w:eastAsia="宋体" w:cs="宋体"/>
                <w:color w:val="000000" w:themeColor="text1"/>
                <w:sz w:val="24"/>
                <w:szCs w:val="24"/>
                <w:lang w:val="en-US" w:eastAsia="zh-CN"/>
                <w14:textFill>
                  <w14:solidFill>
                    <w14:schemeClr w14:val="tx1"/>
                  </w14:solidFill>
                </w14:textFill>
              </w:rPr>
              <w:t>完了善科研激励机制。拓展科研项目申报数量、质量、层次，鼓励教师开展科研工作。</w:t>
            </w:r>
            <w:r>
              <w:rPr>
                <w:rFonts w:hint="eastAsia" w:ascii="宋体" w:hAnsi="宋体" w:eastAsia="宋体" w:cs="宋体"/>
                <w:color w:val="000000" w:themeColor="text1"/>
                <w:sz w:val="24"/>
                <w:szCs w:val="24"/>
                <w:lang w:eastAsia="zh-CN"/>
                <w14:textFill>
                  <w14:solidFill>
                    <w14:schemeClr w14:val="tx1"/>
                  </w14:solidFill>
                </w14:textFill>
              </w:rPr>
              <w:t>今年，学校组织申报并立项校级以上课题74项，其中，省部级课题13项，市级课题23项，校级各类课题38项；获民族教育教学成果奖一等奖各1项、二等奖1项；</w:t>
            </w:r>
            <w:r>
              <w:rPr>
                <w:rFonts w:hint="eastAsia" w:ascii="宋体" w:hAnsi="宋体" w:eastAsia="宋体" w:cs="宋体"/>
                <w:bCs/>
                <w:sz w:val="24"/>
                <w:szCs w:val="24"/>
              </w:rPr>
              <w:t>教师公开发表学术论文235篇，</w:t>
            </w:r>
            <w:r>
              <w:rPr>
                <w:rFonts w:hint="eastAsia" w:ascii="宋体" w:hAnsi="宋体" w:eastAsia="宋体" w:cs="宋体"/>
                <w:color w:val="000000" w:themeColor="text1"/>
                <w:sz w:val="24"/>
                <w:szCs w:val="24"/>
                <w:lang w:eastAsia="zh-CN"/>
                <w14:textFill>
                  <w14:solidFill>
                    <w14:schemeClr w14:val="tx1"/>
                  </w14:solidFill>
                </w14:textFill>
              </w:rPr>
              <w:t>论文获奖67篇次，</w:t>
            </w:r>
            <w:r>
              <w:rPr>
                <w:rFonts w:hint="eastAsia" w:ascii="宋体" w:hAnsi="宋体" w:eastAsia="宋体" w:cs="宋体"/>
                <w:bCs/>
                <w:sz w:val="24"/>
                <w:szCs w:val="24"/>
              </w:rPr>
              <w:t>授予专利48项。</w:t>
            </w:r>
            <w:r>
              <w:rPr>
                <w:rFonts w:hint="eastAsia" w:ascii="宋体" w:hAnsi="宋体" w:eastAsia="宋体" w:cs="宋体"/>
                <w:color w:val="000000" w:themeColor="text1"/>
                <w:sz w:val="24"/>
                <w:szCs w:val="24"/>
                <w:lang w:eastAsia="zh-CN"/>
                <w14:textFill>
                  <w14:solidFill>
                    <w14:schemeClr w14:val="tx1"/>
                  </w14:solidFill>
                </w14:textFill>
              </w:rPr>
              <w:t>立项建设省级精品在线开放课程15门、精品（培育）课程7门；申报国家“十四五”规划教材3部。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5.人才培养质量稳步提升。</w:t>
            </w:r>
            <w:r>
              <w:rPr>
                <w:rFonts w:hint="eastAsia" w:ascii="宋体" w:hAnsi="宋体" w:eastAsia="宋体" w:cs="宋体"/>
                <w:b w:val="0"/>
                <w:bCs/>
                <w:sz w:val="24"/>
                <w:szCs w:val="24"/>
              </w:rPr>
              <w:t>2021届</w:t>
            </w:r>
            <w:r>
              <w:rPr>
                <w:rFonts w:hint="eastAsia" w:ascii="宋体" w:hAnsi="宋体" w:eastAsia="宋体" w:cs="宋体"/>
                <w:bCs/>
                <w:sz w:val="24"/>
                <w:szCs w:val="24"/>
              </w:rPr>
              <w:t>“专升本”科录取人数248人，在全省专科院校中保持高位水平；2021年，学生获国家、省级各类技能竞赛奖励43项，其中国家级一等奖1项，国家级二等奖4项，国家级三等奖6项，省级一等奖6项，省级二等奖11项，省级三等奖15项</w:t>
            </w:r>
            <w:r>
              <w:rPr>
                <w:rFonts w:hint="eastAsia" w:ascii="宋体" w:hAnsi="宋体" w:eastAsia="宋体" w:cs="宋体"/>
                <w:b w:val="0"/>
                <w:bCs/>
                <w:sz w:val="24"/>
                <w:szCs w:val="24"/>
              </w:rPr>
              <w:t>；2021年，学生毕业设计抽查合格率100%；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6.育人成果更加丰硕。</w:t>
            </w:r>
            <w:r>
              <w:rPr>
                <w:rFonts w:hint="eastAsia" w:ascii="宋体" w:hAnsi="宋体" w:eastAsia="宋体" w:cs="宋体"/>
                <w:bCs/>
                <w:sz w:val="24"/>
                <w:szCs w:val="24"/>
              </w:rPr>
              <w:t>学校先后荣获湖南省民族健身操大赛二等奖、湖南省第四届高校校园好声音大赛总冠军及优秀组织奖”、“中国梦•校园情”湖南省第六届大学生微电影短视频大赛优秀组织奖及作品一等奖、全省普通高校“读懂中国”主题教育活动中“优秀组织奖”及作品二等奖等省市级荣誉60多项。学生参加第七届湖南省“互联网+”大学生创新创业大赛，获3个三等奖，是岳阳市唯一晋级省赛的高职院校；学生参加全省黄炎培职业能力大赛，选送的3个项目均获优胜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新生录取率和毕业生就业创业率双率齐升，招生和就创业工作迈上“新台阶”。2021年是我省新高考改革落地首年，学校严格对标对表上级有关政策要求，创新招生工作方式方法，积极通过网站，微信平台，电话等方式给考生和家长提供有关招生政策、志愿填报和考试辅导等方面的咨询服务，同时积极开拓创新宣传方式，首次开展了抖音宣传。学校实际录取人数5200人，比上年增长了300多人；学校历史类录取最高分495，物理类最高分453，录取分数线继续保持全省前列。受新冠疫情的影响，高校毕业生就业形势十分严峻。学校主动作为，多方联动助力学生就业。今年，我校毕业生3872人，就业率达到88.09%，超过全省高校平均就业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学校正式</w:t>
            </w:r>
            <w:r>
              <w:rPr>
                <w:rFonts w:hint="eastAsia" w:ascii="宋体" w:hAnsi="宋体" w:eastAsia="宋体" w:cs="宋体"/>
                <w:bCs/>
                <w:sz w:val="24"/>
                <w:szCs w:val="24"/>
              </w:rPr>
              <w:t>成为湖南省社会培训评价机构职业技能等级认定试点单位和省院校职业技能等级认定单位。10 个专业、8个职业技能等级证书成为湖南省第三批试点职业技能等级证书。学生本科自考考试报考率和合格率均创历史最好成绩。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2021年，学校成人教育学院招收自考、成教新生共 2680人，成人学历继续教育在读学生达到6136人；全年成功组考4场自考纸笔、计算机化考试，参考科目达29000多科次，同时，作为岳阳市自考唯一的无纸化考点，实现组考工作零事故；学校今年本科自考考试报考率和合格率均创历史最好成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10.</w:t>
            </w:r>
            <w:r>
              <w:rPr>
                <w:rFonts w:hint="eastAsia" w:ascii="宋体" w:hAnsi="宋体" w:eastAsia="宋体" w:cs="宋体"/>
                <w:sz w:val="24"/>
                <w:szCs w:val="24"/>
              </w:rPr>
              <w:t>优化债务结构，</w:t>
            </w:r>
            <w:r>
              <w:rPr>
                <w:rFonts w:hint="eastAsia" w:ascii="宋体" w:hAnsi="宋体" w:eastAsia="宋体" w:cs="宋体"/>
                <w:color w:val="000000" w:themeColor="text1"/>
                <w:sz w:val="24"/>
                <w:szCs w:val="24"/>
                <w14:textFill>
                  <w14:solidFill>
                    <w14:schemeClr w14:val="tx1"/>
                  </w14:solidFill>
                </w14:textFill>
              </w:rPr>
              <w:t>降低资金成本。2021年学院较2020年减少银行贷款利息86万元，节余了更多资金用于学院建设和专业发展。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存在的主要问题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1.预算编制有待更严格执行。预算编制与实际支出项目有的存在差异。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2.学院新校园建设需要庞大的资金，财政拨款和学院自有资金不足以弥补建设所需，导致学院银行贷款较多，债务负担仍然很重，资金成本较高，对学院正常运转有一定的影响。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针对上述存在的问题及我院整体支出管理工作的需要，拟实施的改进措施如下</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1.按照预算规定的项目和用途严格财务审核，经费支出严格按预算规定项目的财务支出内容进行财务核算，在预算金额内严格控制费用的支出。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持续抓好“三公经费”，控制管理。严格控制“三公经费’的规模和比例，把关“三公经费”支出的审核、审批，进一步细化“三公经费”的管理，合理压缩“三公经费”的支出。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细化预算编制工作，认真做好预算的编制。严格按照预算编制的相关制度和要求进行预算编制，全面编制预算项目，优先保障固定性的费用支出项目，进一步提高预算编制的科学性、严谨性和可控性。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4.继续进行优化债务结构工作，降低资金成本，实现学院优良债务结构。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宋体" w:hAnsi="宋体" w:eastAsia="宋体" w:cs="宋体"/>
                <w:sz w:val="24"/>
                <w:szCs w:val="24"/>
              </w:rPr>
              <w:t>5.学院从扩规模转为调结构，加速学院内涵建设，努力实现“双一流”顺利创建。</w:t>
            </w:r>
          </w:p>
        </w:tc>
      </w:tr>
    </w:tbl>
    <w:p>
      <w:pPr>
        <w:spacing w:line="440" w:lineRule="exact"/>
        <w:rPr>
          <w:rFonts w:ascii="宋体" w:hAnsi="宋体" w:cs="宋体"/>
          <w:bCs/>
          <w:sz w:val="24"/>
        </w:rPr>
      </w:pPr>
    </w:p>
    <w:p>
      <w:pPr>
        <w:rPr>
          <w:rFonts w:ascii="黑体" w:hAnsi="黑体" w:eastAsia="黑体"/>
          <w:sz w:val="32"/>
          <w:szCs w:val="32"/>
        </w:rPr>
      </w:pPr>
      <w:r>
        <w:rPr>
          <w:rFonts w:hint="eastAsia" w:ascii="宋体" w:hAnsi="宋体" w:cs="宋体"/>
          <w:bCs/>
          <w:sz w:val="24"/>
        </w:rPr>
        <w:br w:type="page"/>
      </w:r>
      <w:r>
        <w:rPr>
          <w:rFonts w:hint="eastAsia" w:ascii="黑体" w:hAnsi="黑体" w:eastAsia="黑体"/>
          <w:sz w:val="32"/>
          <w:szCs w:val="32"/>
        </w:rPr>
        <w:t>附件</w:t>
      </w:r>
      <w:r>
        <w:rPr>
          <w:rFonts w:hint="default" w:ascii="Times New Roman" w:hAnsi="Times New Roman" w:eastAsia="黑体" w:cs="Times New Roman"/>
          <w:sz w:val="32"/>
          <w:szCs w:val="32"/>
        </w:rPr>
        <w:t>3</w:t>
      </w:r>
      <w:r>
        <w:rPr>
          <w:rFonts w:hint="eastAsia" w:ascii="黑体" w:hAnsi="黑体" w:eastAsia="黑体"/>
          <w:sz w:val="32"/>
          <w:szCs w:val="32"/>
        </w:rPr>
        <w:t>-</w:t>
      </w:r>
      <w:r>
        <w:rPr>
          <w:rFonts w:hint="default" w:ascii="Times New Roman" w:hAnsi="Times New Roman" w:eastAsia="黑体" w:cs="Times New Roman"/>
          <w:sz w:val="32"/>
          <w:szCs w:val="32"/>
        </w:rPr>
        <w:t>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4</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分；低于</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分；大于</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分；有结余，但不超过上年结转，</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w:t>
            </w:r>
            <w:r>
              <w:rPr>
                <w:rFonts w:hint="default" w:ascii="Times New Roman" w:hAnsi="Times New Roman" w:eastAsia="仿宋_GB2312" w:cs="Times New Roman"/>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⑤基础数据信息和汇集信息资料准确，</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％以上的，得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 xml:space="preserve">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②相关资产管理制度得到有效执行，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11</w:t>
            </w:r>
            <w:r>
              <w:rPr>
                <w:rFonts w:hint="eastAsia" w:ascii="仿宋_GB2312" w:hAnsi="宋体" w:eastAsia="仿宋_GB2312" w:cs="宋体"/>
                <w:kern w:val="0"/>
                <w:sz w:val="18"/>
                <w:szCs w:val="18"/>
              </w:rPr>
              <w:t>号）和《中共岳阳市委 岳阳市人民政府 关于做好</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年度综合绩效考评工作的补充通知》（岳发〔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19</w:t>
            </w:r>
            <w:r>
              <w:rPr>
                <w:rFonts w:hint="eastAsia" w:ascii="仿宋_GB2312" w:hAnsi="宋体" w:eastAsia="仿宋_GB2312" w:cs="宋体"/>
                <w:kern w:val="0"/>
                <w:sz w:val="18"/>
                <w:szCs w:val="18"/>
              </w:rPr>
              <w:t>号）附件</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第一大项“工作实绩指标”（</w:t>
            </w:r>
            <w:r>
              <w:rPr>
                <w:rFonts w:hint="default" w:ascii="Times New Roman" w:hAnsi="Times New Roman" w:eastAsia="仿宋_GB2312" w:cs="Times New Roman"/>
                <w:kern w:val="0"/>
                <w:sz w:val="18"/>
                <w:szCs w:val="18"/>
              </w:rPr>
              <w:t>700</w:t>
            </w:r>
            <w:r>
              <w:rPr>
                <w:rFonts w:hint="eastAsia" w:ascii="仿宋_GB2312" w:hAnsi="宋体" w:eastAsia="仿宋_GB2312" w:cs="宋体"/>
                <w:kern w:val="0"/>
                <w:sz w:val="18"/>
                <w:szCs w:val="18"/>
              </w:rPr>
              <w:t>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%（含）以上计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default" w:ascii="Times New Roman" w:hAnsi="Times New Roman" w:eastAsia="仿宋_GB2312" w:cs="Times New Roman"/>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eastAsia="仿宋_GB2312" w:cs="Times New Roman"/>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hint="default" w:ascii="Times New Roman" w:hAnsi="Times New Roman" w:eastAsia="仿宋_GB2312" w:cs="Times New Roman"/>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line="440" w:lineRule="exact"/>
        <w:rPr>
          <w:rFonts w:ascii="宋体" w:hAnsi="宋体" w:cs="宋体"/>
          <w:sz w:val="24"/>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CF38"/>
    <w:multiLevelType w:val="singleLevel"/>
    <w:tmpl w:val="8A97CF38"/>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2">
    <w:nsid w:val="1522444F"/>
    <w:multiLevelType w:val="singleLevel"/>
    <w:tmpl w:val="1522444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lmYThjMGFkNjcyMmZiZGIxNzE3YjNmNjFkMDk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05"/>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9A0"/>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1CC8"/>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6A90"/>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4F24"/>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3287"/>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5036"/>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16C"/>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5F3A"/>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1D0"/>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1B2C73"/>
    <w:rsid w:val="01BB3AB1"/>
    <w:rsid w:val="01BC67BE"/>
    <w:rsid w:val="024D0433"/>
    <w:rsid w:val="027C21D8"/>
    <w:rsid w:val="02824896"/>
    <w:rsid w:val="056D09B8"/>
    <w:rsid w:val="05944D8F"/>
    <w:rsid w:val="06301BE0"/>
    <w:rsid w:val="06C6696F"/>
    <w:rsid w:val="073A52EF"/>
    <w:rsid w:val="09B25281"/>
    <w:rsid w:val="0A0F24C6"/>
    <w:rsid w:val="0B8E2737"/>
    <w:rsid w:val="0CD3300D"/>
    <w:rsid w:val="0E2314A1"/>
    <w:rsid w:val="11B06427"/>
    <w:rsid w:val="15523582"/>
    <w:rsid w:val="17250B6F"/>
    <w:rsid w:val="1A6D65ED"/>
    <w:rsid w:val="1B3A45E1"/>
    <w:rsid w:val="1CA975D8"/>
    <w:rsid w:val="1DE1156B"/>
    <w:rsid w:val="1E202CDE"/>
    <w:rsid w:val="1E581A7B"/>
    <w:rsid w:val="207574EB"/>
    <w:rsid w:val="242F0B4B"/>
    <w:rsid w:val="243E6A95"/>
    <w:rsid w:val="26AD408F"/>
    <w:rsid w:val="294C3AD3"/>
    <w:rsid w:val="2A971BB7"/>
    <w:rsid w:val="2B8A00F2"/>
    <w:rsid w:val="2CA36D82"/>
    <w:rsid w:val="2D6C2C6A"/>
    <w:rsid w:val="2D8A30D0"/>
    <w:rsid w:val="2EA5011B"/>
    <w:rsid w:val="2ECE3FA3"/>
    <w:rsid w:val="2FBD2E68"/>
    <w:rsid w:val="3068673B"/>
    <w:rsid w:val="31EC7BF1"/>
    <w:rsid w:val="36965423"/>
    <w:rsid w:val="38624C76"/>
    <w:rsid w:val="39430C4F"/>
    <w:rsid w:val="3982724A"/>
    <w:rsid w:val="3C723001"/>
    <w:rsid w:val="3D2C3C67"/>
    <w:rsid w:val="3DBA4EA8"/>
    <w:rsid w:val="40E30F16"/>
    <w:rsid w:val="41936CE7"/>
    <w:rsid w:val="42520AE8"/>
    <w:rsid w:val="45F43D72"/>
    <w:rsid w:val="477A37A0"/>
    <w:rsid w:val="48C87995"/>
    <w:rsid w:val="48CE439D"/>
    <w:rsid w:val="499C7177"/>
    <w:rsid w:val="4C443186"/>
    <w:rsid w:val="4E4329D8"/>
    <w:rsid w:val="4FAB2981"/>
    <w:rsid w:val="50213B92"/>
    <w:rsid w:val="570A5B6B"/>
    <w:rsid w:val="580276E4"/>
    <w:rsid w:val="588E4828"/>
    <w:rsid w:val="593877F0"/>
    <w:rsid w:val="5B7478E6"/>
    <w:rsid w:val="5C1929B1"/>
    <w:rsid w:val="5EEB7FA5"/>
    <w:rsid w:val="5F7D65F4"/>
    <w:rsid w:val="62BE2050"/>
    <w:rsid w:val="634F5669"/>
    <w:rsid w:val="683C7354"/>
    <w:rsid w:val="68B774E2"/>
    <w:rsid w:val="6DED6729"/>
    <w:rsid w:val="6FEC74FE"/>
    <w:rsid w:val="71DC6DC5"/>
    <w:rsid w:val="72024B5F"/>
    <w:rsid w:val="726F41B9"/>
    <w:rsid w:val="736A0AF5"/>
    <w:rsid w:val="765D2FEA"/>
    <w:rsid w:val="76606DEF"/>
    <w:rsid w:val="77617B9D"/>
    <w:rsid w:val="78F66CB4"/>
    <w:rsid w:val="79BB2F7D"/>
    <w:rsid w:val="7A483689"/>
    <w:rsid w:val="7B737C61"/>
    <w:rsid w:val="7C37742B"/>
    <w:rsid w:val="7CE75BF8"/>
    <w:rsid w:val="7D920737"/>
    <w:rsid w:val="7DA1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qFormat/>
    <w:uiPriority w:val="99"/>
    <w:pPr>
      <w:spacing w:line="400" w:lineRule="exact"/>
      <w:ind w:firstLine="480" w:firstLineChars="200"/>
    </w:pPr>
    <w:rPr>
      <w:rFonts w:ascii="Calibri" w:hAnsi="Calibri" w:cs="Calibri"/>
      <w:szCs w:val="21"/>
    </w:r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pPr>
      <w:tabs>
        <w:tab w:val="right" w:leader="dot" w:pos="8296"/>
      </w:tabs>
      <w:spacing w:line="360" w:lineRule="auto"/>
      <w:jc w:val="center"/>
    </w:pPr>
    <w:rPr>
      <w:rFonts w:ascii="仿宋_GB2312" w:eastAsia="仿宋_GB2312"/>
      <w:b/>
      <w:kern w:val="0"/>
      <w:sz w:val="30"/>
      <w:szCs w:val="30"/>
    </w:rPr>
  </w:style>
  <w:style w:type="character" w:styleId="9">
    <w:name w:val="page number"/>
    <w:qFormat/>
    <w:uiPriority w:val="0"/>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8"/>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7959</Words>
  <Characters>8554</Characters>
  <Lines>67</Lines>
  <Paragraphs>18</Paragraphs>
  <TotalTime>47</TotalTime>
  <ScaleCrop>false</ScaleCrop>
  <LinksUpToDate>false</LinksUpToDate>
  <CharactersWithSpaces>9115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2022-09-22T00:29:00Z</dcterms:created>
  <dc:creator>User</dc:creator>
  <cp:lastModifiedBy>Sagittarius</cp:lastModifiedBy>
  <cp:lastPrinted>2022-09-22T02:18:00Z</cp:lastPrinted>
  <dcterms:modified xsi:type="dcterms:W3CDTF">2022-09-28T02:50:36Z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7DAC1F958322425A932AC3218E26CE5C</vt:lpwstr>
  </property>
</Properties>
</file>