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pacing w:val="-11"/>
          <w:sz w:val="32"/>
          <w:u w:val="single"/>
        </w:rPr>
        <w:t>中国人民政治协商会议岳阳市委员会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006001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 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 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 月  </w:t>
      </w:r>
      <w:r>
        <w:rPr>
          <w:rFonts w:hint="eastAsia" w:eastAsia="仿宋_GB2312"/>
          <w:sz w:val="32"/>
          <w:lang w:val="en-US" w:eastAsia="zh-CN"/>
        </w:rPr>
        <w:t>13</w:t>
      </w:r>
      <w:r>
        <w:rPr>
          <w:rFonts w:hint="eastAsia" w:eastAsia="仿宋_GB2312"/>
          <w:sz w:val="32"/>
        </w:rPr>
        <w:t xml:space="preserve"> 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6"/>
        <w:tblW w:w="98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59"/>
        <w:gridCol w:w="1080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李烨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8798723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人员编制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70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职能职责概述</w:t>
            </w:r>
          </w:p>
        </w:tc>
        <w:tc>
          <w:tcPr>
            <w:tcW w:w="8100" w:type="dxa"/>
            <w:gridSpan w:val="14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协的主要职能是政治协商、民主监督、参政议政。这三项主要职能是各党派团体、各族各界人士在中国政治体制中参与国事、发挥作用的重要内容和基本形式，体现了人民政协的性质和特点，是人民政协区别于其他政治组织的重要标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工作内容</w:t>
            </w:r>
          </w:p>
        </w:tc>
        <w:tc>
          <w:tcPr>
            <w:tcW w:w="8100" w:type="dxa"/>
            <w:gridSpan w:val="1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坚定站位，筑牢共同思想政治基础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把准定位，围绕中心大局促发展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争先进位，全面提高政协履职质效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彰显地位，提高履职科学化水平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highlight w:val="none"/>
              </w:rPr>
              <w:t>年度部门（单位）总体运行情况及取得的成绩</w:t>
            </w:r>
          </w:p>
        </w:tc>
        <w:tc>
          <w:tcPr>
            <w:tcW w:w="8100" w:type="dxa"/>
            <w:gridSpan w:val="14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一、坚定站位，筑牢共同思想政治基础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旗帜鲜明讲政治、持之以恒抓党建、注重实效学党史、隆重庆祝建党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百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二、把准定位，围绕中心大局促发展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1、做实课题调研。完成年度调研协商监督课题13个，开展协商21场次，组织视察监督40场次，形成调研监督报告13篇、建议案8件，提出建议123条，市领导批示47次。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2、促推成果转化。完善居家养老服务体系的17条建言成果被市政府“居家养老20条”文件吸收。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3、加强联动协作。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指导召开第50次湘鄂赣边境毗邻县市区政协工作研讨会，搭建三省文旅区域交流协作平台。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4、尽心助推发展。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持续组织开展“千户帮扶行动”，组织“优化提升义务植树活动”，选派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工作经验丰富、+工作能力强的机关干部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开展乡村振兴联点帮扶，助力脱贫攻坚成果巩固。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三、争先进位，全面提高政协履职质效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1、完善制度机制。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出台《加强和促进人民政协凝聚共识工作规则》《政协委员联系服务界别群众实施办法》等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8个规范性制度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zh-CN" w:eastAsia="zh-CN"/>
              </w:rPr>
              <w:t>将原有的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zh-CN" w:eastAsia="zh-CN"/>
              </w:rPr>
              <w:t>个界别优化整并为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22个。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2、拓展履职平台。全面开通省市县三级政协远程视频会议系统，建成机关无纸化会议系统，广泛运用“政协云”平台开展微协商、微监督，提交微建议，委员“云端”联合值班57期，线上微宣讲1800余人次。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3、优化提案办理。推行提案清单办理和全程网上办理，以点带面推动251件提案按时按质办理办结，提案办理满意率测评为98%。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、汇聚共识合力。举办知情明政大讲堂、专家讲堂、委员讲堂、道德讲堂19期，经常性联合党派团体开展调研视察、提案督办、座谈走访，密切与民族宗教界人士、党外知识分子、“三胞三属”、非公经济人士和新社会阶层人士的联络联谊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四、彰显地位，提高履职科学化水平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1、学导并行，强化委员主体作用发挥。建成线上委员工作室189家、线下委员工作室176家，委员们利用线上线下委员工作室平台，接待界别群众3000余人次，解决基层群众微问题微困难1200余个.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2、严实并用，提升政协机关管理效能。修订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完善机关管理制度、绩效考核方案，落实岗位责任制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干部作风持续优化；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完成办公大楼电梯更换、家属区住宿楼电梯加装，机关环境持续改善；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机关服务保障能力全面提升，获评省级文明标兵单位。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3、多措并举，扩大政协宣传影响。全年在《人民政协报》《湘声报》等媒体刊发综合报道和理论文章34篇，运用市多角度地宣传推介岳阳政协工作特色亮点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，市政协对外影响力持续提升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4、精心组织，圆满完成换届任务。2021年是八届市政协履职的最后一年，在市委的坚强领导下，对标省、市党代会要求，确保了市政协九届一次会议安全、圆满、顺利。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2954.14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167.95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2734.95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51.2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人员支出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2812.95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2193.21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1352.95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840.26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619.73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141.19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公务用车运维费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公务用车购置费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118.24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8.26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61.03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48.96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1656.46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1656.46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整体支出绩效定性目标及实施计划完成情况</w:t>
            </w:r>
          </w:p>
        </w:tc>
        <w:tc>
          <w:tcPr>
            <w:tcW w:w="377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774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政府的工作重点开展年度协商与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调研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计划，召开全体会议、专题协商会，开展界别协商、提案办理协商等多方式的协商，充分发挥政协政治协商、民主监督、参政议政的职能。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确保机关正常运转，保障人员工资福利正常发放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eastAsia="仿宋_GB2312"/>
                <w:kern w:val="0"/>
                <w:sz w:val="24"/>
                <w:highlight w:val="none"/>
              </w:rPr>
              <w:br w:type="textWrapping"/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年，在中共岳阳市委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坚强领导和省政协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精心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指导下，市政协坚持以习近平总书记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加强和改进人民政协工作重要思想为指引，带领各参加单位和全体政协委员，充分发挥专门协商机构作用，切实履行政治协商、民主监督、参政议政三大职能，全面提升“双向发力”质效，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为建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名副其实的省域副中心城市贡献政协智慧和力量。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保障了机关正常运转，人员经费正常发放，2021年还完成办公大楼电梯更换、家属区住宿楼电梯加装，机关环境持续改善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绩效定量目标及实施计划完成情况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旗帜鲜明讲政治、持之以恒抓党建、注重实效学党史、隆重庆祝建党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百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 w:eastAsia="zh-CN"/>
              </w:rPr>
              <w:t>年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全年开展两级党组理论学习中心组学习17场次。建成100家委员红色书屋。深入开展主题实践活动和“红心向党献热血”等主题党日活动。在“智慧政协”平台发布“讲述红色故事”视频专栏11期、“夜读党史”音频专栏18期、“党史回眸”文字专栏126篇。 “坚持四个四，学史实打实”经验做法得到省委巡回指导组高度肯定，并在《人民政协报》推介。在全市政协系统开展“知党史、感党恩、跟党走”党史知识竞赛，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“光荣在党50年”老党员座谈会，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“委员唱红歌 幸福颂党恩”专场红歌会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“红心向党 礼赞百年”书画诗歌摄影作品展。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精心组织，圆满完成换届任务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2021年是八届市政协履职的最后一年，在市委的坚强领导下，对标省、市党代会要求，确保了市政协九届一次会议安全、圆满、顺利。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做实课题调研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完成年度调研协商监督课题13个，开展协商21场次，组织视察监督40场次，形成调研监督报告13篇、建议案8件，提出建议123条，市领导批示47次。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促推成果转化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完善居家养老服务体系的17条建言成果被市政府“居家养老20条”文件吸收。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spacing w:line="63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拓展履职平台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全面开通省市县三级政协远程视频会议系统，建成机关无纸化会议系统，广泛运用“政协云”平台开展微协商、微监督，提交微建议，委员“云端”联合值班57期，线上微宣讲1800余人次。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3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spacing w:line="63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尽心助推发展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规划红色旅游精品线路、推动旅游场景创新工程等意见建议写入市第八次党代会报告。建设铁、公、水、空四大枢纽经济功能区、数字化智能化支撑赋能产业转型升级、推进物流业与制造业深度融合等建议写入市政府工作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spacing w:line="63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完善制度机制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出台《加强和促进人民政协凝聚共识工作规则》《政协委员联系服务界别群众实施办法》等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8个规范性制度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zh-CN" w:eastAsia="zh-CN"/>
              </w:rPr>
              <w:t>将原有的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zh-CN" w:eastAsia="zh-CN"/>
              </w:rPr>
              <w:t>个界别优化整并为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22个。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spacing w:line="63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严实并用，提升政协机关管理效能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完善机关管理制度、绩效考核方案，落实岗位责任制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干部作风持续优化；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完成办公大楼电梯更换、家属区住宿楼电梯加装，机关环境持续改善；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机关服务保障能力全面提升，获评省级文明标兵单位。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控制在预算内完成目标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控制在预算内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（预期实现的效益）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学导并行，强化委员主体作用发挥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建成线上委员工作室189家、线下委员工作室176家，委员们利用线上线下委员工作室平台，接待界别群众3000余人次，解决基层群众微问题微困难1200余个.。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优化提案办理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推行提案清单办理和全程网上办理，以点带面推动251件提案按时按质办理办结，提案办理满意率测评为98%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多措并举，扩大政协宣传影响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全年在《人民政协报》《湘声报》等媒体刊发综合报道和理论文章34篇，运用市多角度地宣传推介岳阳政协工作特色亮点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  <w:t>，市政协对外影响力持续提升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经济效益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指标1：围绕经济社会发展重点难点问题开展调研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或提案。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规划红色旅游精品线路、推动旅游场景创新工程等意见建议写入市第八次党代会报告。开展农村宅基地改革、历史文化街区保护和开发利用课题调研，为岳阳经济社会发展和民生福祉改善积极献智力。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9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汇聚共识合力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坚持建言资政与凝聚共识双向发力，充分发挥协商民主重要渠道作用。经常性联合党派团体开展调研视察、提案督办、座谈走访，密切与民族宗教界人士、党外知识分子、“三胞三属”、非公经济人士和新社会阶层人士的联络联谊，把市委、市政府正在干的事，变成人民群众支持的事，变成人民群众肯定、满意的事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绩效自评综合得分</w:t>
            </w:r>
          </w:p>
        </w:tc>
        <w:tc>
          <w:tcPr>
            <w:tcW w:w="81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评价等次</w:t>
            </w:r>
          </w:p>
        </w:tc>
        <w:tc>
          <w:tcPr>
            <w:tcW w:w="81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李冯波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秘书长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岳阳市政协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陈敏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财务科科长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岳阳市政协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李烨</w:t>
            </w: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财务科会计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岳阳市政协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51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（1）负责组织实施政协章程规定的任务和全国政协、湖南省政协所作的决议，履行政治协商、民主监督和参政议政的职能。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（2）负责市政协全体委员会议、常务委员会议、主席会议、专题议政性常委会议的会务工作。组织实施市政协全体委员会议、常务委员会议、主席会议的决议、决定。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（3）负责会同市委办、市政府办制订年度调研协商监督计划；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（4）整理、报送政协组织和委员履行职能形成的调研报告、视察报告、大会发言、建议案；收集反映社情民意，处理政协委员和人民群众的来信来访。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     （5）研究统一战线和人民政协的理论、政策，提出人民政协履行职能的工作建议，总结地方政协的工作经验；协调和组织市政协的对内对外宣传工作。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right="0" w:firstLine="560" w:firstLineChars="200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（6）负责委员视察、调查、评议、参观、学习、座谈、研讨等活动的具体组织和服务工作。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right="0" w:firstLine="560" w:firstLineChars="200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（7）密切与市委、市政府有关部门和县(市、区)政协的工作联系；负责联络各民主党派市委、市工商联、市知联会。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right="0" w:firstLine="560" w:firstLineChars="200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（8）负责市政协机关的机构编制、人事管理和机关事务管理工作。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right="0" w:firstLine="560" w:firstLineChars="200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（9）承办市政协全体委员会议、常务委员会议、主席会议交办的其它事项。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 w:firstLine="63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2、机构设置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根据编委核定，我机关由办公室、提案委员会、经济科技和外事委员会、委员学习联络委员会、社会法制和民族宗教委员会、人口资源环境委员会、文化教育卫生体育和文史委员会、农业和农村委员会、研究室9个正处级单位以及市纪委派驻市政协纪检组组成。办公室内设6个职能科室，分别为办公室秘书科、财务科、政工科、法制信访科、课题预研科、宣传信息科。研究室内设综合科，其他7个专门工作委员会各分别内设综合科。机关党委、机关纪委、机关工会、离退休人员管理服务科按有关章程和规定设置。机关下设办公室网络信息中心、机关事务中心为全额拨款事业单位。截止2021年底，机关共有人员在职人员70人，离休人员1人，退休人员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63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人。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（二）部门（单位）整体支出规模、使用方向和主要内容、涉及范围等</w:t>
            </w:r>
          </w:p>
          <w:p>
            <w:pPr>
              <w:ind w:firstLineChars="200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年度公共预算财政拨款收入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2734.98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万元，上年结转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167.95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万元；公共预算财政拨款支出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2761.75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万元。其中：工资福利支出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1097.16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万元、商品和服务支出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1101.2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万元、对个人和家庭的补助支出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255.8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万元、资本性支出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307.59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pStyle w:val="11"/>
              <w:spacing w:before="0" w:beforeAutospacing="0" w:after="0" w:afterAutospacing="0" w:line="312" w:lineRule="auto"/>
              <w:ind w:firstLine="630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年全年财政拨款支出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2761.75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，其中基本支出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2142.02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。主要是保障机构正常运转、完成日常工作任务而发生的各项支出，包括用于在职和离休人员基本工资、津贴补贴等人员经费以及办公费、印刷费、水电费、办公设备购置等日常公用经费。其中：工资福利支出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1097.16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万元、商品和服务支出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597.3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万元、对个人和家庭的补助支出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255.8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万元、资本性支出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191.76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万元。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（二）专项支出</w:t>
            </w:r>
          </w:p>
          <w:p>
            <w:pPr>
              <w:spacing w:line="560" w:lineRule="exact"/>
              <w:ind w:firstLineChars="200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年全年专项资金预算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619.73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（均为财政资金）,实际到位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619.73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，全年支出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619.73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，其中：一般行政事务管理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247.16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万元、政协会议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万元、委员视察支出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152.2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其他政协事务的支出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91.37万元、其他文化和旅游的支出5万元、其他城乡社区管理事务的支出5万元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主要用于政协会议、委员活动、考察调研等专项业务支出。</w:t>
            </w:r>
          </w:p>
          <w:p>
            <w:pPr>
              <w:pStyle w:val="11"/>
              <w:spacing w:before="0" w:beforeAutospacing="0" w:after="0" w:afterAutospacing="0" w:line="312" w:lineRule="auto"/>
              <w:ind w:firstLine="63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 xml:space="preserve"> “三公”经费支出情况。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“三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公”经费支出合计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118.24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万元。分项为：因公出国（境）费支出为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万元；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公务用车购置及运行维护费支出109.99万元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；公务接待费支出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8.25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万元。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按照绩效自评要求，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组织成立了绩效评价工作小组，组织学习国家法律法规，制定了建立绩效管理制度。核查了20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年市级财政预算批复执行及部门整体支出情况，着重核查了“三公”经费及资产管理、内控制度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（二）专项管理情况分析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把专项资金预算编制、预算执行、绩效管理相结合。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申请支出事项必须有预算指标，再履行预算支出审批手续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无预算指标或预算指标的事项应先履行预算追加调整程序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，这样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保证了项目资金的合理使用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，同时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定期采集绩效运行的信息，督促各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按时完成预算执行目标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四、部门（单位）整体支出绩效情况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年，在中共岳阳市委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坚强领导和省政协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精心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指导下，市政协坚持以习近平总书记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加强和改进人民政协工作重要思想为指引，带领各参加单位和全体政协委员，充分发挥专门协商机构作用，切实履行政治协商、民主监督、参政议政三大职能，全面提升“双向发力”质效，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为建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设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名副其实的省域副中心城市贡献政协智慧和力量。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(一)经济性评价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年预算配置控制较好，财政供养人员控制在预算编制以内，编制内在职人员控制率小于100%；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同时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机关深入贯彻落实中央有关“厉行节约”的精神，严控行政成本，制订完善财务管理制度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加强了三公经费管理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三公经费预算总额较上年有所减少，三公经费变动率小于0。在预算执行方面，全年支出总额控制在预算总额以内，制度执行总体较为有效。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)效率性评价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完善制度机制。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出台《加强和促进人民政协凝聚共识工作规则》等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8个规范性制度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zh-CN" w:eastAsia="zh-CN"/>
              </w:rPr>
              <w:t>将原有的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zh-CN" w:eastAsia="zh-CN"/>
              </w:rPr>
              <w:t>个界别优化整并为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22个，选优配强界别活动召集人，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全面提升凝聚共识、联系服务界别群众工作水平。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拓展履职平台。大力加强“智慧”建设，全面开通省市县三级政协远程视频会议系统，建成机关无纸化会议系统，全面使用市协同办公系统，广泛运用“政协云”平台开展微协商、微监督，提交微建议，委员“云端”联合值班57期，线上微宣讲1800余人次，在线建言、网络议政常态化开展，走好了网上群众路线。优化提案办理。推行提案清单办理和全程网上办理，督促承办单位对照提案“建议清单”，形成“办理清单”，建立“办理台账”，以点带面推动251件提案按时按质办理办结，提案办理满意率测评为98%。建成线上委员工作室189家、线下委员工作室176家，委员们利用线上线下委员工作室平台，接待界别群众3000余人次，解决基层群众微问题微困难1200余个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3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性评价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组织开展“献计出力‘三区一中心’建设”主题活动，克服疫情影响，创新采取扫码建言等方式，加大网络协商建言力度，完成年度调研协商监督课题13个，开展协商21场次，组织视察监督40场次，形成调研监督报告13篇、建议案8件，提出建议123条，市领导批示47次。市委书记、市长分别参加了“打造大美湖区优质农产品供应基地”和“大力发展枢纽经济”专题议政性常委会协商，并给予高度肯定。规划红色旅游精品线路、推动旅游场景创新工程等意见建议写入市第八次党代会报告。建设铁、公、水、空四大枢纽经济功能区、数字化智能化支撑赋能产业转型升级、推进物流业与制造业深度融合等建议写入市政府工作报告。完善居家养老服务体系的17条建言成果被市政府“居家养老20条”文件吸收。实施特色强农行动、加强农产品公共品牌建设等22条建议转化为市政府《打造大美湖区优质农产品基地实施方案(2021-2025)》文件。开展农村宅基地改革、历史文化街区保护和开发利用课题调研，为岳阳经济社会发展和民生福祉改善积极献智出力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五、存在的主要问题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（一）预算管理有待加强，存在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追加经费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现象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，预算编制的精确性有待进一步提高。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（二）绩效意识有待加强，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/>
              </w:rPr>
              <w:t>绩效管理重视程度有待提升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；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（一）加强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预算管理，提高预算执行率。严格按照预算编制的相关制度、结合上一年度预算执行情况及本年度的工作计划，科学分析预算项目，准确测算本年度所需资金，进行科学编制年度预算，增强预算的可操作性，减少和避免预算调整。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60" w:firstLineChars="200"/>
              <w:jc w:val="both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深化绩效理念，强化绩效意识。认真梳理年度工作任务。针对目标任务，细化量化、合理科学、相应匹配的原则，从多个维度确定资金绩效目标。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2C11"/>
    <w:rsid w:val="004454E9"/>
    <w:rsid w:val="00817767"/>
    <w:rsid w:val="00922A01"/>
    <w:rsid w:val="00A41208"/>
    <w:rsid w:val="00E7009F"/>
    <w:rsid w:val="00ED102B"/>
    <w:rsid w:val="010F6DB7"/>
    <w:rsid w:val="010F7648"/>
    <w:rsid w:val="01600318"/>
    <w:rsid w:val="01785688"/>
    <w:rsid w:val="018E72E7"/>
    <w:rsid w:val="01A37C47"/>
    <w:rsid w:val="01C40573"/>
    <w:rsid w:val="01CB2C1C"/>
    <w:rsid w:val="01FA6E35"/>
    <w:rsid w:val="02785D02"/>
    <w:rsid w:val="02D747D5"/>
    <w:rsid w:val="03287866"/>
    <w:rsid w:val="037C6215"/>
    <w:rsid w:val="037F4142"/>
    <w:rsid w:val="038E6715"/>
    <w:rsid w:val="039B16E1"/>
    <w:rsid w:val="03D40B0E"/>
    <w:rsid w:val="03FF341F"/>
    <w:rsid w:val="048E52D9"/>
    <w:rsid w:val="051C211E"/>
    <w:rsid w:val="05894ECD"/>
    <w:rsid w:val="05B86F42"/>
    <w:rsid w:val="066106EF"/>
    <w:rsid w:val="068576D0"/>
    <w:rsid w:val="06C74464"/>
    <w:rsid w:val="06E32287"/>
    <w:rsid w:val="06FA2F7E"/>
    <w:rsid w:val="07222F3A"/>
    <w:rsid w:val="073D37CA"/>
    <w:rsid w:val="07E953C2"/>
    <w:rsid w:val="08062500"/>
    <w:rsid w:val="080F465E"/>
    <w:rsid w:val="08160DF0"/>
    <w:rsid w:val="08A93422"/>
    <w:rsid w:val="08BA2E25"/>
    <w:rsid w:val="08D80093"/>
    <w:rsid w:val="0A87009D"/>
    <w:rsid w:val="0A8B5D7B"/>
    <w:rsid w:val="0AA213D7"/>
    <w:rsid w:val="0AAB4A19"/>
    <w:rsid w:val="0AFC274B"/>
    <w:rsid w:val="0B3A42B6"/>
    <w:rsid w:val="0B413331"/>
    <w:rsid w:val="0BD45A6C"/>
    <w:rsid w:val="0C01202B"/>
    <w:rsid w:val="0C1D166F"/>
    <w:rsid w:val="0C274489"/>
    <w:rsid w:val="0C7B039A"/>
    <w:rsid w:val="0CBE1A0D"/>
    <w:rsid w:val="0D1617A6"/>
    <w:rsid w:val="0D5546C5"/>
    <w:rsid w:val="0D6078B2"/>
    <w:rsid w:val="0E675E8D"/>
    <w:rsid w:val="0EEA0893"/>
    <w:rsid w:val="0EF93508"/>
    <w:rsid w:val="0F08754D"/>
    <w:rsid w:val="0F0D7E98"/>
    <w:rsid w:val="0F294935"/>
    <w:rsid w:val="0F7655FF"/>
    <w:rsid w:val="0FE25438"/>
    <w:rsid w:val="100476AB"/>
    <w:rsid w:val="103A4921"/>
    <w:rsid w:val="1086427B"/>
    <w:rsid w:val="10B76064"/>
    <w:rsid w:val="10F60380"/>
    <w:rsid w:val="1131351E"/>
    <w:rsid w:val="11347F8C"/>
    <w:rsid w:val="11917EE1"/>
    <w:rsid w:val="119E6D5F"/>
    <w:rsid w:val="11F8625F"/>
    <w:rsid w:val="127424EC"/>
    <w:rsid w:val="13AE00A0"/>
    <w:rsid w:val="14B37DC4"/>
    <w:rsid w:val="14D052D6"/>
    <w:rsid w:val="14D54962"/>
    <w:rsid w:val="15EC40AF"/>
    <w:rsid w:val="15F40AC3"/>
    <w:rsid w:val="163A3D1C"/>
    <w:rsid w:val="178C1698"/>
    <w:rsid w:val="17941F39"/>
    <w:rsid w:val="17D171C5"/>
    <w:rsid w:val="17D2131C"/>
    <w:rsid w:val="18227127"/>
    <w:rsid w:val="18367968"/>
    <w:rsid w:val="18D450F2"/>
    <w:rsid w:val="194A089A"/>
    <w:rsid w:val="1A8907FB"/>
    <w:rsid w:val="1AF25D26"/>
    <w:rsid w:val="1B12612B"/>
    <w:rsid w:val="1B7C2E5B"/>
    <w:rsid w:val="1BC047C1"/>
    <w:rsid w:val="1C1E0C79"/>
    <w:rsid w:val="1C484EA3"/>
    <w:rsid w:val="1C9440C9"/>
    <w:rsid w:val="1CBF2922"/>
    <w:rsid w:val="1E306941"/>
    <w:rsid w:val="1E440BFE"/>
    <w:rsid w:val="1EB27064"/>
    <w:rsid w:val="1EF75DAE"/>
    <w:rsid w:val="1FEA2D07"/>
    <w:rsid w:val="201C7DCD"/>
    <w:rsid w:val="209A06C6"/>
    <w:rsid w:val="2170771F"/>
    <w:rsid w:val="2255413E"/>
    <w:rsid w:val="228F73A5"/>
    <w:rsid w:val="23230E65"/>
    <w:rsid w:val="2328135D"/>
    <w:rsid w:val="23823A62"/>
    <w:rsid w:val="2393004E"/>
    <w:rsid w:val="239914C7"/>
    <w:rsid w:val="23D35499"/>
    <w:rsid w:val="23FD5F73"/>
    <w:rsid w:val="247C72DB"/>
    <w:rsid w:val="2488471A"/>
    <w:rsid w:val="25052414"/>
    <w:rsid w:val="258A755F"/>
    <w:rsid w:val="25D869FC"/>
    <w:rsid w:val="25F33844"/>
    <w:rsid w:val="25FB3F98"/>
    <w:rsid w:val="265753A1"/>
    <w:rsid w:val="2685327B"/>
    <w:rsid w:val="26896EEE"/>
    <w:rsid w:val="269E0C4C"/>
    <w:rsid w:val="26C90ED1"/>
    <w:rsid w:val="27104F1C"/>
    <w:rsid w:val="27230A96"/>
    <w:rsid w:val="27425D4C"/>
    <w:rsid w:val="27472621"/>
    <w:rsid w:val="27587F62"/>
    <w:rsid w:val="27640B92"/>
    <w:rsid w:val="283B1804"/>
    <w:rsid w:val="2858583E"/>
    <w:rsid w:val="28C056D8"/>
    <w:rsid w:val="28E94BA2"/>
    <w:rsid w:val="28EB5C4D"/>
    <w:rsid w:val="28EC29C5"/>
    <w:rsid w:val="28F04BC3"/>
    <w:rsid w:val="29400198"/>
    <w:rsid w:val="29840CF2"/>
    <w:rsid w:val="29A13573"/>
    <w:rsid w:val="29CA38D2"/>
    <w:rsid w:val="2AA42B3C"/>
    <w:rsid w:val="2B021218"/>
    <w:rsid w:val="2B067A76"/>
    <w:rsid w:val="2B567B6E"/>
    <w:rsid w:val="2C78057C"/>
    <w:rsid w:val="2CDA6883"/>
    <w:rsid w:val="2CEF60C1"/>
    <w:rsid w:val="2DA67035"/>
    <w:rsid w:val="2DB7376F"/>
    <w:rsid w:val="2DD05689"/>
    <w:rsid w:val="2EB9145A"/>
    <w:rsid w:val="30122D98"/>
    <w:rsid w:val="31E53A3B"/>
    <w:rsid w:val="32200634"/>
    <w:rsid w:val="33215A6D"/>
    <w:rsid w:val="334D4A12"/>
    <w:rsid w:val="33932063"/>
    <w:rsid w:val="33D66BF9"/>
    <w:rsid w:val="341F41B0"/>
    <w:rsid w:val="34224DB6"/>
    <w:rsid w:val="347A0CFC"/>
    <w:rsid w:val="349B32F2"/>
    <w:rsid w:val="35241CBC"/>
    <w:rsid w:val="35891787"/>
    <w:rsid w:val="35E0001E"/>
    <w:rsid w:val="36805E7E"/>
    <w:rsid w:val="36AE5126"/>
    <w:rsid w:val="36C52ED6"/>
    <w:rsid w:val="36E274DC"/>
    <w:rsid w:val="37731A0C"/>
    <w:rsid w:val="37CF0D09"/>
    <w:rsid w:val="37E51E78"/>
    <w:rsid w:val="385E4FE0"/>
    <w:rsid w:val="38793344"/>
    <w:rsid w:val="387E03DC"/>
    <w:rsid w:val="392B2759"/>
    <w:rsid w:val="39744E6B"/>
    <w:rsid w:val="3A540BF9"/>
    <w:rsid w:val="3AAC1FDA"/>
    <w:rsid w:val="3ADF6145"/>
    <w:rsid w:val="3B0E3CAF"/>
    <w:rsid w:val="3B4F66C4"/>
    <w:rsid w:val="3B8E3072"/>
    <w:rsid w:val="3C111683"/>
    <w:rsid w:val="3C324A0F"/>
    <w:rsid w:val="3D4D695D"/>
    <w:rsid w:val="3E277D43"/>
    <w:rsid w:val="3E823B5A"/>
    <w:rsid w:val="3EAD5BFC"/>
    <w:rsid w:val="3F054CC0"/>
    <w:rsid w:val="3F0F53B5"/>
    <w:rsid w:val="3F822A34"/>
    <w:rsid w:val="3F9216AA"/>
    <w:rsid w:val="3FB00B1D"/>
    <w:rsid w:val="3FFA6469"/>
    <w:rsid w:val="40881939"/>
    <w:rsid w:val="413E0834"/>
    <w:rsid w:val="415B4B85"/>
    <w:rsid w:val="41646C5F"/>
    <w:rsid w:val="416C39F8"/>
    <w:rsid w:val="418407B7"/>
    <w:rsid w:val="41AA5FA1"/>
    <w:rsid w:val="41E1343C"/>
    <w:rsid w:val="42D05A61"/>
    <w:rsid w:val="436F4477"/>
    <w:rsid w:val="43F236DA"/>
    <w:rsid w:val="440C3A81"/>
    <w:rsid w:val="443D2127"/>
    <w:rsid w:val="44482882"/>
    <w:rsid w:val="44666BC9"/>
    <w:rsid w:val="449E24AB"/>
    <w:rsid w:val="44AA3B64"/>
    <w:rsid w:val="45470F8D"/>
    <w:rsid w:val="45B9507B"/>
    <w:rsid w:val="46100065"/>
    <w:rsid w:val="46D651CC"/>
    <w:rsid w:val="47745B67"/>
    <w:rsid w:val="479477F1"/>
    <w:rsid w:val="479B2B56"/>
    <w:rsid w:val="492D2963"/>
    <w:rsid w:val="495C111B"/>
    <w:rsid w:val="49C44986"/>
    <w:rsid w:val="49C5585E"/>
    <w:rsid w:val="4A21569A"/>
    <w:rsid w:val="4A5F708C"/>
    <w:rsid w:val="4A7777D7"/>
    <w:rsid w:val="4A9656E8"/>
    <w:rsid w:val="4ADB6840"/>
    <w:rsid w:val="4AE1020E"/>
    <w:rsid w:val="4AF309F2"/>
    <w:rsid w:val="4AF902CA"/>
    <w:rsid w:val="4B956577"/>
    <w:rsid w:val="4BF17AC0"/>
    <w:rsid w:val="4CA22F49"/>
    <w:rsid w:val="4CCA5CF1"/>
    <w:rsid w:val="4CDD7EEB"/>
    <w:rsid w:val="4D342F1B"/>
    <w:rsid w:val="4E3F4745"/>
    <w:rsid w:val="4E6C3814"/>
    <w:rsid w:val="4ED137E2"/>
    <w:rsid w:val="4EF80128"/>
    <w:rsid w:val="4F415E7E"/>
    <w:rsid w:val="50446A92"/>
    <w:rsid w:val="504F6659"/>
    <w:rsid w:val="505C3E36"/>
    <w:rsid w:val="506F15A6"/>
    <w:rsid w:val="50BD5DFF"/>
    <w:rsid w:val="50DE0157"/>
    <w:rsid w:val="51042077"/>
    <w:rsid w:val="5113525E"/>
    <w:rsid w:val="512F422A"/>
    <w:rsid w:val="5156513D"/>
    <w:rsid w:val="515B3469"/>
    <w:rsid w:val="518D4C79"/>
    <w:rsid w:val="51D118FD"/>
    <w:rsid w:val="52861406"/>
    <w:rsid w:val="53562077"/>
    <w:rsid w:val="535F47DB"/>
    <w:rsid w:val="536976B5"/>
    <w:rsid w:val="53B06E73"/>
    <w:rsid w:val="53E0016B"/>
    <w:rsid w:val="53F66530"/>
    <w:rsid w:val="54031C25"/>
    <w:rsid w:val="5498472B"/>
    <w:rsid w:val="54BE0AC4"/>
    <w:rsid w:val="54E10E7C"/>
    <w:rsid w:val="55597E9F"/>
    <w:rsid w:val="55625226"/>
    <w:rsid w:val="55C10370"/>
    <w:rsid w:val="55DE43C7"/>
    <w:rsid w:val="56011758"/>
    <w:rsid w:val="5602044A"/>
    <w:rsid w:val="56F54EA2"/>
    <w:rsid w:val="56FE5132"/>
    <w:rsid w:val="57031E90"/>
    <w:rsid w:val="57320013"/>
    <w:rsid w:val="5803706C"/>
    <w:rsid w:val="58E80BF8"/>
    <w:rsid w:val="590033EC"/>
    <w:rsid w:val="594B2707"/>
    <w:rsid w:val="596B625E"/>
    <w:rsid w:val="59C4422D"/>
    <w:rsid w:val="5A1F18C4"/>
    <w:rsid w:val="5A233CAC"/>
    <w:rsid w:val="5A5D5336"/>
    <w:rsid w:val="5A7A27B8"/>
    <w:rsid w:val="5A7F0734"/>
    <w:rsid w:val="5A940FDE"/>
    <w:rsid w:val="5B827D44"/>
    <w:rsid w:val="5BC4778C"/>
    <w:rsid w:val="5C343723"/>
    <w:rsid w:val="5C344273"/>
    <w:rsid w:val="5D051661"/>
    <w:rsid w:val="5D234513"/>
    <w:rsid w:val="5D883195"/>
    <w:rsid w:val="5E3B2FF3"/>
    <w:rsid w:val="5E865E25"/>
    <w:rsid w:val="5E9D77C3"/>
    <w:rsid w:val="5F6B0D2A"/>
    <w:rsid w:val="5F9D7571"/>
    <w:rsid w:val="5FC56A89"/>
    <w:rsid w:val="60531969"/>
    <w:rsid w:val="606A5DAF"/>
    <w:rsid w:val="60845A27"/>
    <w:rsid w:val="609401E5"/>
    <w:rsid w:val="60B3551C"/>
    <w:rsid w:val="60DE11D0"/>
    <w:rsid w:val="60EC73D6"/>
    <w:rsid w:val="614E67C7"/>
    <w:rsid w:val="615C6AFE"/>
    <w:rsid w:val="617A76E1"/>
    <w:rsid w:val="61A85511"/>
    <w:rsid w:val="625E6950"/>
    <w:rsid w:val="62755B34"/>
    <w:rsid w:val="62AD4A99"/>
    <w:rsid w:val="631733DC"/>
    <w:rsid w:val="637C1F66"/>
    <w:rsid w:val="63923B95"/>
    <w:rsid w:val="6456659A"/>
    <w:rsid w:val="649753B4"/>
    <w:rsid w:val="64EA0F74"/>
    <w:rsid w:val="64FA18E0"/>
    <w:rsid w:val="658C44C8"/>
    <w:rsid w:val="66A96AB4"/>
    <w:rsid w:val="66DB79EF"/>
    <w:rsid w:val="66E530E5"/>
    <w:rsid w:val="671F3AAD"/>
    <w:rsid w:val="6730337E"/>
    <w:rsid w:val="677760E7"/>
    <w:rsid w:val="679D7834"/>
    <w:rsid w:val="68207F31"/>
    <w:rsid w:val="687B6DED"/>
    <w:rsid w:val="68A26258"/>
    <w:rsid w:val="68A6753F"/>
    <w:rsid w:val="69011677"/>
    <w:rsid w:val="69B91D22"/>
    <w:rsid w:val="69BF041A"/>
    <w:rsid w:val="69C62768"/>
    <w:rsid w:val="6A2E3862"/>
    <w:rsid w:val="6A8E3CCF"/>
    <w:rsid w:val="6B7E20A5"/>
    <w:rsid w:val="6C0E5AAF"/>
    <w:rsid w:val="6C865C42"/>
    <w:rsid w:val="6CAD0461"/>
    <w:rsid w:val="6CB258D8"/>
    <w:rsid w:val="6D0F7965"/>
    <w:rsid w:val="6E7B28F9"/>
    <w:rsid w:val="6EAC67E8"/>
    <w:rsid w:val="6EB16327"/>
    <w:rsid w:val="6F636A79"/>
    <w:rsid w:val="70291217"/>
    <w:rsid w:val="706328A8"/>
    <w:rsid w:val="7072595F"/>
    <w:rsid w:val="70845A51"/>
    <w:rsid w:val="708D1ECC"/>
    <w:rsid w:val="70C14560"/>
    <w:rsid w:val="716D44C6"/>
    <w:rsid w:val="716E4494"/>
    <w:rsid w:val="71845DBD"/>
    <w:rsid w:val="71C00810"/>
    <w:rsid w:val="71C111F1"/>
    <w:rsid w:val="71E43498"/>
    <w:rsid w:val="71F52E36"/>
    <w:rsid w:val="72066C67"/>
    <w:rsid w:val="722C53F3"/>
    <w:rsid w:val="73C3154E"/>
    <w:rsid w:val="73CA17C9"/>
    <w:rsid w:val="73D63247"/>
    <w:rsid w:val="74045D91"/>
    <w:rsid w:val="74AF0B44"/>
    <w:rsid w:val="74C12BAF"/>
    <w:rsid w:val="75017ABE"/>
    <w:rsid w:val="75022B6A"/>
    <w:rsid w:val="7556498F"/>
    <w:rsid w:val="755E22B6"/>
    <w:rsid w:val="75812290"/>
    <w:rsid w:val="75E82A23"/>
    <w:rsid w:val="76075398"/>
    <w:rsid w:val="762D4176"/>
    <w:rsid w:val="76576FD4"/>
    <w:rsid w:val="76D32C21"/>
    <w:rsid w:val="770943A3"/>
    <w:rsid w:val="77181A1F"/>
    <w:rsid w:val="776852BF"/>
    <w:rsid w:val="778925AC"/>
    <w:rsid w:val="77B23A13"/>
    <w:rsid w:val="77B577E7"/>
    <w:rsid w:val="77B86AFB"/>
    <w:rsid w:val="77F31592"/>
    <w:rsid w:val="77F55B2E"/>
    <w:rsid w:val="7835196E"/>
    <w:rsid w:val="7856056C"/>
    <w:rsid w:val="78933BE4"/>
    <w:rsid w:val="78CC1131"/>
    <w:rsid w:val="78DA4A86"/>
    <w:rsid w:val="79B90AD7"/>
    <w:rsid w:val="7A644F6D"/>
    <w:rsid w:val="7A6A41CC"/>
    <w:rsid w:val="7ADD5885"/>
    <w:rsid w:val="7B527B10"/>
    <w:rsid w:val="7BC07457"/>
    <w:rsid w:val="7BEA01D1"/>
    <w:rsid w:val="7C352142"/>
    <w:rsid w:val="7C371499"/>
    <w:rsid w:val="7C5763AC"/>
    <w:rsid w:val="7CCB1348"/>
    <w:rsid w:val="7D312AF5"/>
    <w:rsid w:val="7DBC4267"/>
    <w:rsid w:val="7DDE7680"/>
    <w:rsid w:val="7E155388"/>
    <w:rsid w:val="7E623316"/>
    <w:rsid w:val="7E9C0D2D"/>
    <w:rsid w:val="7FF806EA"/>
    <w:rsid w:val="7F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1"/>
    <w:basedOn w:val="1"/>
    <w:qFormat/>
    <w:uiPriority w:val="99"/>
    <w:rPr>
      <w:rFonts w:ascii="Times New Roman" w:hAnsi="Times New Roman"/>
    </w:rPr>
  </w:style>
  <w:style w:type="character" w:customStyle="1" w:styleId="10">
    <w:name w:val="NormalCharacter"/>
    <w:qFormat/>
    <w:uiPriority w:val="99"/>
    <w:rPr>
      <w:rFonts w:ascii="Calibri" w:hAnsi="Calibri" w:eastAsia="宋体fal"/>
      <w:kern w:val="2"/>
      <w:sz w:val="22"/>
      <w:lang w:val="en-US" w:eastAsia="zh-CN"/>
    </w:rPr>
  </w:style>
  <w:style w:type="paragraph" w:customStyle="1" w:styleId="11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笑魂魂</cp:lastModifiedBy>
  <dcterms:modified xsi:type="dcterms:W3CDTF">2022-06-20T06:34:06Z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