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组织部2021年度部门预算公开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auto"/>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5000" w:type="pct"/>
            <w:tcBorders>
              <w:top w:val="nil"/>
              <w:left w:val="nil"/>
              <w:bottom w:val="nil"/>
              <w:right w:val="nil"/>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2021年部门预算说明</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第二部分  部门预算公开表格</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一、收支总表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numPr>
                <w:ilvl w:val="0"/>
                <w:numId w:val="0"/>
              </w:numPr>
              <w:suppressLineNumbers w:val="0"/>
              <w:jc w:val="left"/>
              <w:textAlignment w:val="center"/>
              <w:rPr>
                <w:rFonts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二十</w:t>
            </w:r>
            <w:r>
              <w:rPr>
                <w:rFonts w:hint="eastAsia" w:ascii="仿宋_GB2312" w:hAnsi="宋体" w:cs="仿宋_GB2312"/>
                <w:i w:val="0"/>
                <w:iCs w:val="0"/>
                <w:color w:val="auto"/>
                <w:kern w:val="0"/>
                <w:sz w:val="28"/>
                <w:szCs w:val="28"/>
                <w:u w:val="none"/>
                <w:lang w:val="en-US" w:eastAsia="zh-CN" w:bidi="ar"/>
              </w:rPr>
              <w:t>四</w:t>
            </w:r>
            <w:r>
              <w:rPr>
                <w:rFonts w:hint="eastAsia" w:ascii="仿宋_GB2312" w:hAnsi="宋体" w:eastAsia="仿宋_GB2312" w:cs="仿宋_GB2312"/>
                <w:i w:val="0"/>
                <w:iCs w:val="0"/>
                <w:color w:val="auto"/>
                <w:kern w:val="0"/>
                <w:sz w:val="28"/>
                <w:szCs w:val="28"/>
                <w:u w:val="none"/>
                <w:lang w:val="en-US" w:eastAsia="zh-CN" w:bidi="ar"/>
              </w:rPr>
              <w:t>、</w:t>
            </w:r>
            <w:r>
              <w:rPr>
                <w:rFonts w:hint="eastAsia" w:ascii="仿宋_GB2312" w:hAnsi="宋体" w:cs="仿宋_GB2312"/>
                <w:i w:val="0"/>
                <w:iCs w:val="0"/>
                <w:color w:val="auto"/>
                <w:kern w:val="0"/>
                <w:sz w:val="28"/>
                <w:szCs w:val="28"/>
                <w:u w:val="none"/>
                <w:lang w:val="en-US" w:eastAsia="zh-CN" w:bidi="ar"/>
              </w:rPr>
              <w:t>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第一部分    2021年部门预算说明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一、部门基本概况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ind w:firstLine="0" w:firstLineChars="0"/>
              <w:rPr>
                <w:rFonts w:hint="eastAsia"/>
                <w:color w:val="auto"/>
                <w:lang w:eastAsia="zh-CN"/>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（1）贯彻执行党中央有关组织工作的路线、方针、政策以及省委、市委有关组织工作的政策法规、决策部署、决定和指示，并组织实施。</w:t>
            </w:r>
          </w:p>
          <w:p>
            <w:pPr>
              <w:ind w:firstLine="0" w:firstLineChars="0"/>
              <w:rPr>
                <w:rFonts w:hint="eastAsia"/>
                <w:color w:val="auto"/>
                <w:lang w:eastAsia="zh-CN"/>
              </w:rPr>
            </w:pPr>
            <w:r>
              <w:rPr>
                <w:rFonts w:hint="eastAsia"/>
                <w:color w:val="auto"/>
                <w:lang w:eastAsia="zh-CN"/>
              </w:rPr>
              <w:t>　　（2）研究和指导基层党组织建设，探索和指导基层以及各类经济组织、社会组织的党建工作；研究和提出党内生活制度建设的意见；协调、规划和指导党员教育工作，主管党员的管理和发展工作。</w:t>
            </w:r>
          </w:p>
          <w:p>
            <w:pPr>
              <w:ind w:firstLine="0" w:firstLineChars="0"/>
              <w:rPr>
                <w:rFonts w:hint="eastAsia"/>
                <w:color w:val="auto"/>
                <w:lang w:eastAsia="zh-CN"/>
              </w:rPr>
            </w:pPr>
            <w:r>
              <w:rPr>
                <w:rFonts w:hint="eastAsia"/>
                <w:color w:val="auto"/>
                <w:lang w:eastAsia="zh-CN"/>
              </w:rPr>
              <w:t>　　（3）考察各县市区和市直各单位以及其他列入市委管理的领导班子、领导干部，提出调整、配备的意见和建议；负责审核办理市委协助省委管理的干部以及市管干部的职务任免、工资、待遇、退（离）休的呈报、审批工作；指导领导班子的思想政治建设；承办相关干部的调配、交流、安置事宜。</w:t>
            </w:r>
          </w:p>
          <w:p>
            <w:pPr>
              <w:ind w:firstLine="0" w:firstLineChars="0"/>
              <w:rPr>
                <w:rFonts w:hint="eastAsia"/>
                <w:color w:val="auto"/>
                <w:lang w:eastAsia="zh-CN"/>
              </w:rPr>
            </w:pPr>
            <w:r>
              <w:rPr>
                <w:rFonts w:hint="eastAsia"/>
                <w:color w:val="auto"/>
                <w:lang w:eastAsia="zh-CN"/>
              </w:rPr>
              <w:t>　　（4）制订领导班子和干部队伍建设的规划、措施；综合管理培养选拔年轻干部、妇女干部、党外干部和后备干部工作。</w:t>
            </w:r>
          </w:p>
          <w:p>
            <w:pPr>
              <w:ind w:firstLine="0" w:firstLineChars="0"/>
              <w:rPr>
                <w:rFonts w:hint="eastAsia"/>
                <w:color w:val="auto"/>
                <w:lang w:eastAsia="zh-CN"/>
              </w:rPr>
            </w:pPr>
            <w:r>
              <w:rPr>
                <w:rFonts w:hint="eastAsia"/>
                <w:color w:val="auto"/>
                <w:lang w:eastAsia="zh-CN"/>
              </w:rPr>
              <w:t>　　（5）宏观指导党的组织制度和干部人事制度的改革，制订和参与制订组织、干部、人事工作的有关规定和制度，并组织实施。</w:t>
            </w:r>
          </w:p>
          <w:p>
            <w:pPr>
              <w:ind w:firstLine="0" w:firstLineChars="0"/>
              <w:rPr>
                <w:rFonts w:hint="eastAsia"/>
                <w:color w:val="auto"/>
                <w:lang w:eastAsia="zh-CN"/>
              </w:rPr>
            </w:pPr>
            <w:r>
              <w:rPr>
                <w:rFonts w:hint="eastAsia"/>
                <w:color w:val="auto"/>
                <w:lang w:eastAsia="zh-CN"/>
              </w:rPr>
              <w:t>　　（6）检查、督促组织和干部工作，向市委反映重要情况、提出建议；承担市委管理和双重管理单位的领导班子、领导干部的监督；指导、检查、监督各级党委（党组）及组织人事部门选拔任用干部工作。</w:t>
            </w:r>
          </w:p>
          <w:p>
            <w:pPr>
              <w:ind w:firstLine="0" w:firstLineChars="0"/>
              <w:rPr>
                <w:rFonts w:hint="eastAsia"/>
                <w:color w:val="auto"/>
                <w:lang w:eastAsia="zh-CN"/>
              </w:rPr>
            </w:pPr>
            <w:r>
              <w:rPr>
                <w:rFonts w:hint="eastAsia"/>
                <w:color w:val="auto"/>
                <w:lang w:eastAsia="zh-CN"/>
              </w:rPr>
              <w:t>　　（7）制订干部教育工作的规划、措施，组织市管干部和一定层次干部的培训，协调、指导、检查各县市区和市直单位的干部教育培训工作。</w:t>
            </w:r>
          </w:p>
          <w:p>
            <w:pPr>
              <w:ind w:firstLine="0" w:firstLineChars="0"/>
              <w:rPr>
                <w:rFonts w:hint="eastAsia"/>
                <w:color w:val="auto"/>
                <w:lang w:eastAsia="zh-CN"/>
              </w:rPr>
            </w:pPr>
            <w:r>
              <w:rPr>
                <w:rFonts w:hint="eastAsia"/>
                <w:color w:val="auto"/>
                <w:lang w:eastAsia="zh-CN"/>
              </w:rPr>
              <w:t>　　（8）宏观管理退（离）休干部工作；检查、督促、协调退（离）休干部工作政策的落实。</w:t>
            </w:r>
          </w:p>
          <w:p>
            <w:pPr>
              <w:ind w:firstLine="0" w:firstLineChars="0"/>
              <w:rPr>
                <w:rFonts w:hint="eastAsia"/>
                <w:color w:val="auto"/>
                <w:lang w:eastAsia="zh-CN"/>
              </w:rPr>
            </w:pPr>
            <w:r>
              <w:rPr>
                <w:rFonts w:hint="eastAsia"/>
                <w:color w:val="auto"/>
                <w:lang w:eastAsia="zh-CN"/>
              </w:rPr>
              <w:t>　　（9）负责全市公务员队伍建设的规划、协调和宏观指导；负责综合管理、组织指导全市各级机关实施公务员法和公务员日常管理工作；负责组织指导并实施全市公务员职位分类管理和职务与职级并行工作。</w:t>
            </w:r>
          </w:p>
          <w:p>
            <w:pPr>
              <w:ind w:firstLine="0" w:firstLineChars="0"/>
              <w:rPr>
                <w:rFonts w:hint="eastAsia" w:ascii="仿宋_GB2312" w:hAnsi="宋体" w:eastAsia="仿宋_GB2312" w:cs="仿宋_GB2312"/>
                <w:i w:val="0"/>
                <w:iCs w:val="0"/>
                <w:color w:val="auto"/>
                <w:sz w:val="28"/>
                <w:szCs w:val="28"/>
                <w:u w:val="none"/>
              </w:rPr>
            </w:pPr>
            <w:r>
              <w:rPr>
                <w:rFonts w:hint="eastAsia"/>
                <w:color w:val="auto"/>
                <w:lang w:eastAsia="zh-CN"/>
              </w:rPr>
              <w:t>　　（10）承办市委和上级有关部门交办的其他事项。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ind w:firstLine="0" w:firstLineChars="0"/>
              <w:rPr>
                <w:rFonts w:hint="eastAsia"/>
                <w:color w:val="auto"/>
                <w:lang w:eastAsia="zh-CN"/>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 xml:space="preserve">根据市委编办核定，我部设置16个内设机构和1个二级机构，全部纳入2021年部门预算编制范围。 </w:t>
            </w:r>
          </w:p>
          <w:p>
            <w:pPr>
              <w:ind w:firstLine="0" w:firstLineChars="0"/>
              <w:rPr>
                <w:rFonts w:hint="eastAsia"/>
                <w:color w:val="auto"/>
                <w:lang w:eastAsia="zh-CN"/>
              </w:rPr>
            </w:pPr>
            <w:r>
              <w:rPr>
                <w:rFonts w:hint="eastAsia"/>
                <w:color w:val="auto"/>
                <w:lang w:eastAsia="zh-CN"/>
              </w:rPr>
              <w:t>　　内设机构分别是办公室（新闻宣传办公室）、研究室（政策法规科）、干部一科、干部二科、干部三科、干部队伍建设规划办公室、公务员一科、公务员二科、干部信息管理科、干部教育科、干部监督科（举报中心）、人才工作办公室、组织科、党代表联络办、政工科、市委非公有制经济组织和社会组织工作委员会办公室。</w:t>
            </w:r>
          </w:p>
          <w:p>
            <w:pPr>
              <w:ind w:firstLine="0" w:firstLineChars="0"/>
              <w:rPr>
                <w:rFonts w:hint="eastAsia"/>
                <w:color w:val="auto"/>
                <w:lang w:eastAsia="zh-CN"/>
              </w:rPr>
            </w:pPr>
            <w:r>
              <w:rPr>
                <w:rFonts w:hint="eastAsia"/>
                <w:color w:val="auto"/>
                <w:lang w:eastAsia="zh-CN"/>
              </w:rPr>
              <w:t>　　二级机构是党员教育中心。</w:t>
            </w:r>
          </w:p>
          <w:p>
            <w:pPr>
              <w:ind w:firstLine="0" w:firstLineChars="0"/>
              <w:rPr>
                <w:rFonts w:hint="eastAsia"/>
                <w:color w:val="auto"/>
                <w:lang w:eastAsia="zh-CN"/>
              </w:rPr>
            </w:pPr>
            <w:r>
              <w:rPr>
                <w:rFonts w:hint="eastAsia"/>
                <w:color w:val="auto"/>
                <w:lang w:eastAsia="zh-CN"/>
              </w:rPr>
              <w:t>　　市委基层党建工作领导小组办公室与组织科合署办公，举报中心与干部监督科合署办公。</w:t>
            </w:r>
          </w:p>
          <w:p>
            <w:pPr>
              <w:ind w:firstLine="0" w:firstLineChars="0"/>
              <w:rPr>
                <w:rFonts w:hint="eastAsia" w:ascii="仿宋_GB2312" w:hAnsi="宋体" w:eastAsia="仿宋_GB2312" w:cs="仿宋_GB2312"/>
                <w:i w:val="0"/>
                <w:iCs w:val="0"/>
                <w:color w:val="auto"/>
                <w:sz w:val="28"/>
                <w:szCs w:val="28"/>
                <w:u w:val="none"/>
              </w:rPr>
            </w:pPr>
            <w:r>
              <w:rPr>
                <w:rFonts w:hint="eastAsia"/>
                <w:color w:val="auto"/>
                <w:lang w:eastAsia="zh-CN"/>
              </w:rPr>
              <w:t>　　机关党委、机关纪委按章程设置，机关工会按相关规定设置。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二、部门预算单位构成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本部门无独立核算的二级预算单位，因此，纳入2021年部门预算编制范围的为本部门（单位）自己。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三、部门（单位）收支总体情况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2021年部门预算包括本级预算和所含预算单位在内的汇总情况。收入包括经费拨款，也包括行政事业性收费收入和国有资源有偿使用收入；支出包括保障单位基本运行的经费，也包括项目经费。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（一）收入预算</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包括一般公共预算、政府性基金、国有资本经营预算等财政拨款收入，以及经营收入、事业收入等单位资金。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收入预算1,040.49万元，其中，一般公共预算拨款1,040.49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上年结转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 xml:space="preserve">    收入较去年减少13.79万元，降幅-1.3%，原因是</w:t>
            </w:r>
            <w:r>
              <w:rPr>
                <w:rFonts w:hint="eastAsia" w:ascii="仿宋_GB2312" w:hAnsi="宋体" w:cs="仿宋_GB2312"/>
                <w:i w:val="0"/>
                <w:iCs w:val="0"/>
                <w:color w:val="auto"/>
                <w:kern w:val="0"/>
                <w:sz w:val="28"/>
                <w:szCs w:val="2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支出预算1,040.49万元，其中，一般公共服务支出886.54万元，社会保障和就业支出62.51万元，卫生健康支出44.56万元，住房保障支出46.88万元。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支出较去年减少13.79万元，其中基本支出较去年减少23.79万元，原因是人员调整和厉行节约；项目支出较去年增加10万元，原因是援藏工作经费</w:t>
            </w:r>
            <w:r>
              <w:rPr>
                <w:rFonts w:hint="eastAsia" w:ascii="仿宋_GB2312" w:hAnsi="宋体" w:cs="仿宋_GB2312"/>
                <w:i w:val="0"/>
                <w:iCs w:val="0"/>
                <w:color w:val="auto"/>
                <w:kern w:val="0"/>
                <w:sz w:val="28"/>
                <w:szCs w:val="28"/>
                <w:u w:val="none"/>
                <w:lang w:val="en-US" w:eastAsia="zh-CN" w:bidi="ar"/>
              </w:rPr>
              <w:t>增加</w:t>
            </w:r>
            <w:r>
              <w:rPr>
                <w:rFonts w:hint="eastAsia" w:ascii="仿宋_GB2312" w:hAnsi="宋体" w:eastAsia="仿宋_GB2312"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1,040.49万元，其中，一般公共服务支出886.54万元，占85.2%，社会保障和就业支出62.51万元，占6.0%，卫生健康支出44.56万元，占4.3%，住房保障支出46.88万元，占4.5%。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基本支出：2021年基本支出年初预算数为677.19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项目支出：2021年项目支出年初预算数为363.30万元，是指单位为完成特定行政工作任务或事业发展目标而发生的支出，包括有关业务工作经费、运行维护经费等。其中包括市党代表活动经费57.00万元、公务员招录面试专项经费61.00万元、援藏工作经费57.50万元、“两新”工委工作经费54.00万元、干部工作项目经费79.80万元、党建工作项目经费27.00万元、党内关怀帮扶资金27.00万元费，用于市党代表活动、公务员招录面试、援藏工作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2021年机关运行经费当年一般公共预算拨款126.56万元。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较去年增加0.05万元，增幅0.0%，</w:t>
            </w:r>
            <w:r>
              <w:rPr>
                <w:rFonts w:hint="eastAsia" w:ascii="仿宋_GB2312" w:hAnsi="宋体" w:cs="仿宋_GB2312"/>
                <w:i w:val="0"/>
                <w:iCs w:val="0"/>
                <w:color w:val="auto"/>
                <w:kern w:val="0"/>
                <w:sz w:val="28"/>
                <w:szCs w:val="28"/>
                <w:u w:val="none"/>
                <w:lang w:val="en-US" w:eastAsia="zh-CN" w:bidi="ar"/>
              </w:rPr>
              <w:t>基本持平。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2021年“三公”经费预算数112.00万元，其中公务接待费80.00万元，因公出国（境）费4.50万元，公务用车购置及运行费</w:t>
            </w:r>
            <w:bookmarkStart w:id="0" w:name="_GoBack"/>
            <w:bookmarkEnd w:id="0"/>
            <w:r>
              <w:rPr>
                <w:rFonts w:hint="eastAsia" w:ascii="仿宋_GB2312" w:hAnsi="宋体" w:eastAsia="仿宋_GB2312" w:cs="仿宋_GB2312"/>
                <w:i w:val="0"/>
                <w:iCs w:val="0"/>
                <w:color w:val="auto"/>
                <w:kern w:val="0"/>
                <w:sz w:val="28"/>
                <w:szCs w:val="28"/>
                <w:u w:val="none"/>
                <w:lang w:val="en-US" w:eastAsia="zh-CN" w:bidi="ar"/>
              </w:rPr>
              <w:t>27.50万元（其中公务用车购置费0.00万元，公务用车运行费27.50万元）。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比上一年</w:t>
            </w:r>
            <w:r>
              <w:rPr>
                <w:rFonts w:hint="eastAsia" w:ascii="仿宋_GB2312" w:hAnsi="宋体" w:cs="仿宋_GB2312"/>
                <w:i w:val="0"/>
                <w:iCs w:val="0"/>
                <w:color w:val="auto"/>
                <w:kern w:val="0"/>
                <w:sz w:val="28"/>
                <w:szCs w:val="28"/>
                <w:u w:val="none"/>
                <w:lang w:val="en-US" w:eastAsia="zh-CN" w:bidi="ar"/>
              </w:rPr>
              <w:t>下降</w:t>
            </w:r>
            <w:r>
              <w:rPr>
                <w:rFonts w:hint="eastAsia"/>
                <w:color w:val="auto"/>
                <w:lang w:eastAsia="zh-CN"/>
              </w:rPr>
              <w:t>0.5万元，降低0.44%，</w:t>
            </w:r>
            <w:r>
              <w:rPr>
                <w:rFonts w:hint="eastAsia" w:ascii="仿宋_GB2312" w:hAnsi="宋体" w:eastAsia="仿宋_GB2312" w:cs="仿宋_GB2312"/>
                <w:i w:val="0"/>
                <w:iCs w:val="0"/>
                <w:color w:val="auto"/>
                <w:kern w:val="0"/>
                <w:sz w:val="28"/>
                <w:szCs w:val="28"/>
                <w:u w:val="none"/>
                <w:lang w:val="en-US" w:eastAsia="zh-CN" w:bidi="ar"/>
              </w:rPr>
              <w:t>主要原因是</w:t>
            </w:r>
            <w:r>
              <w:rPr>
                <w:rFonts w:hint="eastAsia" w:ascii="仿宋_GB2312" w:hAnsi="宋体" w:cs="仿宋_GB2312"/>
                <w:i w:val="0"/>
                <w:iCs w:val="0"/>
                <w:color w:val="auto"/>
                <w:kern w:val="0"/>
                <w:sz w:val="28"/>
                <w:szCs w:val="28"/>
                <w:u w:val="none"/>
                <w:lang w:val="en-US" w:eastAsia="zh-CN" w:bidi="ar"/>
              </w:rPr>
              <w:t>厉行节约。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2021年会议费预算8.00万元，拟召开</w:t>
            </w:r>
            <w:r>
              <w:rPr>
                <w:rFonts w:hint="eastAsia"/>
                <w:color w:val="auto"/>
                <w:lang w:eastAsia="zh-CN"/>
              </w:rPr>
              <w:t>3次会议，人数约600人，内容为全市组织部长会议等</w:t>
            </w:r>
            <w:r>
              <w:rPr>
                <w:rFonts w:hint="eastAsia" w:ascii="仿宋_GB2312" w:hAnsi="宋体" w:eastAsia="仿宋_GB2312" w:cs="仿宋_GB2312"/>
                <w:i w:val="0"/>
                <w:iCs w:val="0"/>
                <w:color w:val="auto"/>
                <w:kern w:val="0"/>
                <w:sz w:val="28"/>
                <w:szCs w:val="28"/>
                <w:u w:val="none"/>
                <w:lang w:val="en-US" w:eastAsia="zh-CN" w:bidi="ar"/>
              </w:rPr>
              <w:t>；培训费预算6.00万元，拟开展</w:t>
            </w:r>
            <w:r>
              <w:rPr>
                <w:rFonts w:hint="eastAsia"/>
                <w:color w:val="auto"/>
                <w:lang w:eastAsia="zh-CN"/>
              </w:rPr>
              <w:t>1次培训，人数约450人，内容为党员教育培训等。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2021年度本部门（单位）未计划举办节庆、晚会、论坛、赛事活动。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2021年度本部门（单位）未安排政府采购预算。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截至上一年12月底，本部门（单位）共有车辆</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辆，其中领导干部用车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辆，一般公务用车</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辆，其他用车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辆。单位价值50万元以上通用设备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台，单位价值100万元以上专用设备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2</w:t>
            </w:r>
            <w:r>
              <w:rPr>
                <w:rFonts w:hint="eastAsia" w:ascii="仿宋_GB2312" w:hAnsi="宋体" w:eastAsia="仿宋_GB2312" w:cs="仿宋_GB2312"/>
                <w:i w:val="0"/>
                <w:iCs w:val="0"/>
                <w:color w:val="auto"/>
                <w:kern w:val="0"/>
                <w:sz w:val="28"/>
                <w:szCs w:val="28"/>
                <w:u w:val="none"/>
                <w:lang w:val="en-US" w:eastAsia="zh-CN" w:bidi="ar"/>
              </w:rPr>
              <w:t>021年度本部门（单位）未计划处置或新增车辆、设备等。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所有支出实行绩效目标管理。纳入2021年单位整体支出绩效目标的金额为1,040.49万元，其中，基本支出677.19万元，项目支出363.30万元，绩效目标详见文尾附表中预算公开表格的表22-23。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第二部分  部门预算公开表格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000" w:type="pct"/>
            <w:tcBorders>
              <w:top w:val="nil"/>
              <w:left w:val="nil"/>
              <w:bottom w:val="nil"/>
              <w:right w:val="nil"/>
            </w:tcBorders>
            <w:shd w:val="clear" w:color="auto" w:fill="auto"/>
            <w:vAlign w:val="center"/>
          </w:tcPr>
          <w:p>
            <w:pPr>
              <w:keepNext w:val="0"/>
              <w:keepLines w:val="0"/>
              <w:widowControl/>
              <w:numPr>
                <w:ilvl w:val="0"/>
                <w:numId w:val="2"/>
              </w:numPr>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二十</w:t>
            </w:r>
            <w:r>
              <w:rPr>
                <w:rFonts w:hint="eastAsia" w:ascii="仿宋_GB2312" w:hAnsi="宋体" w:cs="仿宋_GB2312"/>
                <w:i w:val="0"/>
                <w:iCs w:val="0"/>
                <w:color w:val="auto"/>
                <w:kern w:val="0"/>
                <w:sz w:val="28"/>
                <w:szCs w:val="28"/>
                <w:u w:val="none"/>
                <w:lang w:val="en-US" w:eastAsia="zh-CN" w:bidi="ar"/>
              </w:rPr>
              <w:t>四</w:t>
            </w:r>
            <w:r>
              <w:rPr>
                <w:rFonts w:hint="eastAsia" w:ascii="仿宋_GB2312" w:hAnsi="宋体" w:eastAsia="仿宋_GB2312" w:cs="仿宋_GB2312"/>
                <w:i w:val="0"/>
                <w:iCs w:val="0"/>
                <w:color w:val="auto"/>
                <w:kern w:val="0"/>
                <w:sz w:val="28"/>
                <w:szCs w:val="28"/>
                <w:u w:val="none"/>
                <w:lang w:val="en-US" w:eastAsia="zh-CN" w:bidi="ar"/>
              </w:rPr>
              <w:t>、</w:t>
            </w:r>
            <w:r>
              <w:rPr>
                <w:rFonts w:hint="eastAsia" w:ascii="仿宋_GB2312" w:hAnsi="宋体" w:cs="仿宋_GB2312"/>
                <w:i w:val="0"/>
                <w:iCs w:val="0"/>
                <w:color w:val="auto"/>
                <w:kern w:val="0"/>
                <w:sz w:val="28"/>
                <w:szCs w:val="28"/>
                <w:u w:val="none"/>
                <w:lang w:val="en-US" w:eastAsia="zh-CN" w:bidi="ar"/>
              </w:rPr>
              <w:t>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DC39E"/>
    <w:multiLevelType w:val="singleLevel"/>
    <w:tmpl w:val="8E0DC39E"/>
    <w:lvl w:ilvl="0" w:tentative="0">
      <w:start w:val="1"/>
      <w:numFmt w:val="chineseCounting"/>
      <w:suff w:val="nothing"/>
      <w:lvlText w:val="%1、"/>
      <w:lvlJc w:val="left"/>
      <w:rPr>
        <w:rFonts w:hint="eastAsia"/>
      </w:rPr>
    </w:lvl>
  </w:abstractNum>
  <w:abstractNum w:abstractNumId="1">
    <w:nsid w:val="F93BA5F7"/>
    <w:multiLevelType w:val="singleLevel"/>
    <w:tmpl w:val="F93BA5F7"/>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GFmMTJjZDc5MTY3YTY1N2I2YTE3ZGU3YTY2NDUifQ=="/>
  </w:docVars>
  <w:rsids>
    <w:rsidRoot w:val="48885009"/>
    <w:rsid w:val="00300A03"/>
    <w:rsid w:val="039F1B46"/>
    <w:rsid w:val="060F4036"/>
    <w:rsid w:val="065E55AA"/>
    <w:rsid w:val="095011D4"/>
    <w:rsid w:val="0A2170A6"/>
    <w:rsid w:val="0A3A07BE"/>
    <w:rsid w:val="0B9F01C5"/>
    <w:rsid w:val="14AF1479"/>
    <w:rsid w:val="192733ED"/>
    <w:rsid w:val="1E4D585F"/>
    <w:rsid w:val="20A774A8"/>
    <w:rsid w:val="20F21DF6"/>
    <w:rsid w:val="258B383C"/>
    <w:rsid w:val="30A6239C"/>
    <w:rsid w:val="30FA6C7D"/>
    <w:rsid w:val="312E36D8"/>
    <w:rsid w:val="3B51265F"/>
    <w:rsid w:val="40C24A24"/>
    <w:rsid w:val="45D20C54"/>
    <w:rsid w:val="48885009"/>
    <w:rsid w:val="4E542F0D"/>
    <w:rsid w:val="501174D1"/>
    <w:rsid w:val="54584543"/>
    <w:rsid w:val="563034C0"/>
    <w:rsid w:val="578467E3"/>
    <w:rsid w:val="59670936"/>
    <w:rsid w:val="5C3E0F60"/>
    <w:rsid w:val="61563A1F"/>
    <w:rsid w:val="6556677A"/>
    <w:rsid w:val="67E728E0"/>
    <w:rsid w:val="68B91843"/>
    <w:rsid w:val="6F3F1765"/>
    <w:rsid w:val="707F6E1E"/>
    <w:rsid w:val="78D241A1"/>
    <w:rsid w:val="79E2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3972</Words>
  <Characters>4290</Characters>
  <Lines>0</Lines>
  <Paragraphs>0</Paragraphs>
  <TotalTime>5</TotalTime>
  <ScaleCrop>false</ScaleCrop>
  <LinksUpToDate>false</LinksUpToDate>
  <CharactersWithSpaces>4494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2022-06-06T11:01:00Z</dcterms:created>
  <dc:creator>German Phillip</dc:creator>
  <cp:lastModifiedBy>German Phillip</cp:lastModifiedBy>
  <dcterms:modified xsi:type="dcterms:W3CDTF">2022-10-17T04:16:13Z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5442F7E5B7DC42B0A6B52DB0BE0927A3</vt:lpwstr>
  </property>
</Properties>
</file>