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附件2-1</w:t>
      </w:r>
    </w:p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岳阳市202</w:t>
      </w:r>
      <w:r>
        <w:rPr>
          <w:rFonts w:hint="eastAsia" w:eastAsia="方正小标宋简体"/>
          <w:bCs/>
          <w:sz w:val="46"/>
          <w:szCs w:val="46"/>
          <w:lang w:val="en-US" w:eastAsia="zh-CN"/>
        </w:rPr>
        <w:t>1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岳阳市退役军人事务局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pacing w:val="20"/>
          <w:sz w:val="32"/>
          <w:szCs w:val="32"/>
          <w:u w:val="single"/>
          <w:lang w:val="en-US" w:eastAsia="zh-CN"/>
        </w:rPr>
        <w:t xml:space="preserve">    405001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   年   月   日</w:t>
      </w:r>
    </w:p>
    <w:p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588" w:bottom="1247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8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54"/>
        <w:gridCol w:w="46"/>
        <w:gridCol w:w="94"/>
        <w:gridCol w:w="1062"/>
        <w:gridCol w:w="1088"/>
        <w:gridCol w:w="1384"/>
        <w:gridCol w:w="1335"/>
        <w:gridCol w:w="257"/>
        <w:gridCol w:w="943"/>
        <w:gridCol w:w="306"/>
        <w:gridCol w:w="551"/>
        <w:gridCol w:w="139"/>
        <w:gridCol w:w="39"/>
        <w:gridCol w:w="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杨莉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0730-8878139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68</w:t>
            </w:r>
            <w:bookmarkStart w:id="0" w:name="_GoBack"/>
            <w:bookmarkEnd w:id="0"/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贯彻执行党和国家、省委和省政府关于退役军人思想政治、管理保障和安置优抚等工作政策法规，组织实施退役军人事务发展规划和政策，褒扬彰显退役军人为党、国家和人民牺牲奉献的精神风范和价值导向。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负责全市退役军队转业干部、离休退休干部、退役士兵和无军籍退休退职职工的移交安置工作和自主择业、就业退役军人服务管理工作。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组织指导全市退役军人教育培训工作，协调扶持退役军人和随军随调家属就业创业。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贯彻落实国家、省关于退役军人的特殊保障政策，会同有关部门制定相关政策，并组织实施。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组织协调落实全市移交地方的离休退休军人、符合条件的其他退役军人和无军籍退休退职职工的住房保障工作，以及退役军人医疗保障工作，社会保险等待遇保障工作。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组织指导全市伤病残退役军人服务管理工作和抚恤工作，贯彻落实退役军人医疗、疗养、养老机构的规划政策并指导实施。承担全市不适宜继续服役的伤病残军人相关工作。组织指导全市军供服务保障工作。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组织和指导全市拥军优属工作。负责全市现役军人、退役军人、军队文职人员和军属优待、抚恤等工作；贯彻执行国家关于国民党抗战老兵等有关人员优待政策并指导实施。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全市烈士及退役军人荣誉奖励、军人公墓管理维护、纪念活动等工作，依法承担英雄烈士保护相关工作，审核拟列入全市重点保护单位的烈士纪念建筑物名录，总结和宣扬退役军人、退役军人工作单位和个人先进典型事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指导并监督检查关于退役军人相关法律和政策实施的落实，开展全市退役军人权益维护和有关人员的帮扶援助工作。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完成市委、市政府交办的其他事项。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任务1：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以习近平新时代中国特色社会主义思想为指导，全面贯彻党的十九大和十九届二中、三中、四中全会精神，认真落实市和省部有关会议和文件精神。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任务2：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坚持稳中求进工作总基调，以职业使命感、工作紧迫感为驱动，以“四个聚焦”为重点，坚持落实政策与创新方法齐抓，健全机构与发挥作用并重，破解难题与防控风险结合。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任务3：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着力建立健全“三个体系”，深入开展“思想政治工作年”“基层基础基本建设年”“信访攻坚年”活动，融合聚力、综合施策，真抓实干、久久为功，不断提升治理水平，推动全市退役军人工作迈上新台阶。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服务保障体系建设稳步推进，服务保障能力大幅提升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思想政治引导逐步加强，荣誉激励作用有效发挥；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权益维护精准发力，涉军群体基本稳控；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4.移交安置规范有序，退役军人获得感不断增强；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5.就业创业工作守正创新，扶持效果初步显现；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6.拥军优抚有序开展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政策待遇依规落实。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5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694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3168.27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838.98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2355.61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2058.03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150.23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1417.57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490.23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军队离休退休干部休养所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942.27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491.41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439.83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军用供应站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324.19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260.71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退役军人服务中心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451.93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140.34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237.5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74.09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5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0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937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10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2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3612.64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1968.11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1574.8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393.31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1372.01</w:t>
            </w: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-55.11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1900.79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691.67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510.49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181.18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1209.12</w:t>
            </w: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157.24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军队离休退休干部休养所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725.54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725.54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623.27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102.27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-274.68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753.68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军用供应站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324.19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268.59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207.65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60.94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53.89</w:t>
            </w: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1.71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退役军人服务中心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391.31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282.31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233.39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48.92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109</w:t>
            </w:r>
          </w:p>
        </w:tc>
        <w:tc>
          <w:tcPr>
            <w:tcW w:w="10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60.62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5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94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3.06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2.94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军队离休退休干部休养所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4.76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4.76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军用供应站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70"/>
              </w:tabs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退役军人服务中心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0.64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0.64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5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0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53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645.07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645.07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40.21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40.21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军队离休退休干部休养所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259.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87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259.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87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军用供应站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281.03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281.03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退役军人服务中心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63.96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63.96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346"/>
                <w:tab w:val="center" w:pos="4945"/>
              </w:tabs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整体支出绩效定性目标及实施计划完成情况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5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推进服务保障体系建设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逐步加强思想政治引导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权益维护精准发力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移交安置规范有序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就业创业工作守正创新  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6：拥军优抚有序开展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1.服务保障体系建设稳步推进，服务保障能力大幅提升;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2.思想政治引导逐步加强，荣誉激励作用有效发挥;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3.权益维护精准发力，涉军群体基本稳控;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4.移交安置规范有序，退役军人获得感不断增强;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5.就业创业工作守正创新，扶持效果初步显现;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6.拥军优抚有序开展，政策待遇依规落实。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794" w:type="dxa"/>
            <w:gridSpan w:val="3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绩效定量目标及实施计划完成情况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138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指标1：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促进就业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有力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守正创新开展就业创业。建立就业创业动态台账，加大教育培训力度，全面推进就业招聘。共举办招聘会35场，累计参会企业1700余家，700余名退役军人达成就业意向；高标准举办创业创新大赛，3个项目入围省复赛。组建了我市19人的退役军人就业创业导师团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指标2：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移交安置到位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正规有序推进移交安置。阳光安置退役士兵251人，军队转业干部39人。为跨军地改革集体转制的408名退役军人及其随迁配偶子女办理落户手续。务实推进社保接续。全市累计受理申请资料16396件，养老保险个人完成缴费6898人，个人和单位补缴金额3674万元。人已缴费6525人，缴费率90.8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30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拥军优属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暖心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严格落实优抚政策。走访慰问重点优抚对象570人，召开座谈会12次，慰问驻岳官兵1040人，发放39万元慰问物资。慰问海军岳阳舰，赠送16万元慰问物资；为96名六级以上军残优抚对象落实了医保缴费和定额资金；为2678名伤残军人更换了新版的伤残证件。稳慎开展“两参”人员内部核查。截止目前，两参人员总数为11553人，其中仍应享受待遇的有9419人，占已享受待遇人员的81.5%。积极推进双拥工作。出台我市《关于进一步做好新时代拥军优属工作的意见》，积极推进“六个一”的双拥工作亮点。推荐安置军人家属就业15人，移防部队家属7名。86名军人子女享受教育优待。举办欢送新兵入伍和迎接退役军人回乡活动26场次，为327名立功军人家庭送喜报，在《岳阳日报》开设立功军人光荣榜专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5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权益维护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有效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加大信访问题督办力度。持续开展“信访积案化解年”活动，截止目前，市局共接待来访人员500多批次，1100多人。妥善处置公安要情65起、信息预警9起，处理信访件96件、来电270人次，回复12345热线和市长信箱问题25件。高位高效推动矛盾问题“百日攻坚”。咬住“北京不去、省内不聚、跨省不串、网上不吵”的目标，市县两级退役军人事务局领导带头深入一线解决疑难信访案件，带动各级人员进村入户开展大走访，化解一批信访积案、解决一批遗留问题。目前，已完成包案人员走访，事务部挂账督办13件已有8件签订息访息诉协议。抓实帮扶解困。对34名家庭困难的退役军人和烈士遗属，20名康养慰藉、助学助医对象进行分类帮扶。发放春节慰问金122万余元、市直单位在职企业军转干部工资补差295万余元，住院（死亡）补助104万余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5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服务体系建设稳步推进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开展“基层基础建设完善年”活动，推进退役军人服务站建设。加强组织领导。3月份召开全市退役军人服务中心主任会议，明确全年目标、提出具体创建标准；5月份召开服务保障体系建设推进会，查找不足推动工作。7月份市人大对全市服务保障体系建设进行评议调研，巩固深化“五有”、“全覆盖”成果。创建示范站点。12个县（区）级服务中心、138个乡镇级服务站已达到示范型标准。8家服务站被评为“湖南省百家红色退役军人服务站”。发挥退役军人作用。积极发挥退役军人志愿队伍在文明城市创建、农村人居环境整治、防汛抗旱、脱贫攻坚中的作用。全市共成立退役军人志愿服务组织368个，实名志愿者总人数5237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各项资金管理规范，无违规使用资金现象。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指标2：“三公”经费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支出合理，管理精细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年度“三公”经费支出规范、厉行节约效果明显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90" w:hRule="atLeast"/>
          <w:jc w:val="center"/>
        </w:trPr>
        <w:tc>
          <w:tcPr>
            <w:tcW w:w="1794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社会公众或服务对象满意度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平安创建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信访维稳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移交安置</w:t>
            </w:r>
          </w:p>
        </w:tc>
        <w:tc>
          <w:tcPr>
            <w:tcW w:w="44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2021年我局各项建设更上一层楼；赴省进京信访总量排全省前列；我市服务保障体系建设、走访慰问、“双带双促”等工作，也获得退役军人事务厅重点推介，得到省、部调研组充分肯定；军转干部安置满意度高，符合政府安排工作条件的退役士兵安置质量明显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2856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944" w:type="dxa"/>
            <w:gridSpan w:val="1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2" w:hRule="atLeast"/>
          <w:jc w:val="center"/>
        </w:trPr>
        <w:tc>
          <w:tcPr>
            <w:tcW w:w="2856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944" w:type="dxa"/>
            <w:gridSpan w:val="1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0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邹望春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退役军人事务局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刘淑平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规财科科长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退役军人事务局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杨莉</w:t>
            </w:r>
          </w:p>
        </w:tc>
        <w:tc>
          <w:tcPr>
            <w:tcW w:w="367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规财科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退役军人事务局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39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2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94" w:hRule="atLeast"/>
          <w:jc w:val="center"/>
        </w:trPr>
        <w:tc>
          <w:tcPr>
            <w:tcW w:w="9800" w:type="dxa"/>
            <w:gridSpan w:val="14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杨莉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8878139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岳阳市退役军人事务局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2021年整体支出绩效自评报告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一、部门基本情况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  <w:t>（一）部门职能职责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岳阳市退役军人事务局为市政府工作部门，成立于2018年12月，主要职能职责为：贯彻执行党和国家关于退役军人思想政治、管理保障和安置优抚等工作政策法规，组织实施退役军人事务发展规划和政策；褒扬彰显退役军人为党、国家和人民牺牲奉献的精神风范和价值导向，负责军队转业干部、复员干部、离休退休干部、退役士兵和无军籍退休退职职工的移交安置工作和自主择业、就业退役军人服务管理工作，组织指导退役军人教育培训、优抚抚恤等，组织指导全市拥军优属工作，组织实施烈士及退役军人荣誉奖励、纪念活动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  <w:t>（二）部门机构设置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我局机关核定编制数20个，现有工作人员20人，机关内设8个科室：办公室、规划财务科、政策法规科（权益维护科）、移交安置科、就业创业科、军休服务管理科、拥军优抚科、双拥工作科。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机关党委、机关纪委按章程设置，机关党委加挂人事教育科牌子。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下辖局属二级单位四个，分别是市军队干部离休退休干部休养所、市军队离休退休干部管理服务中心 、市军用供应站、市退役军人服务中心。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二、2020年整体支出管理及使用情况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我局2021年收入为3168.27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万元，其中上年结转838.98万元，财政拨款收入2355.61万元，其他收入581.83万元。本年支出3612.64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万元（含基本支出和项目支出）。基本支出为1968.11万元，其中人员支出为1574.8万元，公用支出为393.31万元，项目支出为1372.01万元。年末结转和结余-55.11万元。事业费分类为抚恤、退役安置、退役军人事务管理共支出1138.21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  <w:t>（一）抚恤经费。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2021年我局抚恤专项资金支出144.83万元，其中局机关优抚对象慰问经费90.94万元，军供站单位经费53.89万元。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  <w:t>退役安置经费。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2021年我局退役安置专项资金支出746.87万元，其中退役士兵安置费88.10万元，离退休人员安置费507.26万元，其他151.51万元。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highlight w:val="none"/>
                <w:lang w:val="en-US" w:eastAsia="zh-CN"/>
              </w:rPr>
              <w:t>退役军人管理事务经费。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2021年我局退役军人管理事务专项资金支出246.51万元，其中行政管理事务费223.51万元，其他事务费23万元。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三、整体支出绩效自评结论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2021年，我局围绕“三个主题年”活动（基层基础建设完善年、法律政策落实年、信访积案化解年）推进各项工作，在维护退役军人合法权益，保持涉军群体稳定方面做出了贡献，得到了全市各界的一致好评，取得了较好的社会效益，根据绩效目标评价标准，我局2021年整体支出绩效自评为优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四、存在的问题及工作计划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  <w:t>（一）存在的问题。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一是思想政治引领还需强化。退役军人思想政治工作实体化意识还不强、品牌化还不够，不善于抢抓重要节点、巧借热点事件，针对性地策划开展活动。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二是涉军问题还需持续关注。部分退役军人或群体对解决历史遗留问题、政策问题有很高的期望值，易因配套措施出台滞后、期望与现实落差较大，造成上访情况。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三是服务体系建设亟待完善。县市区退役军人体系建设发展不平衡。乡镇（街道）、村（社区）服务站“五有”落实不到位，建设标准不高、功能作用发挥不明显。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四是融入国防和现代化建设还需加强。退役军人工作服务于国防和军队现代化建设，向备战打仗聚焦不够，围绕后路、后院、后代发力还显不足，在编制保障、随军家属就业、军人子女教育优待等方面还需加强。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lang w:val="en-US" w:eastAsia="zh-CN"/>
              </w:rPr>
              <w:t>（二）2022年工作思路。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一是在强化思想引领上下功夫。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常态化做好我市退役军人思想政治工作，推动退役军人增强“四个意识”，坚定“四个”自信，做到“两个维护”。大力宣传退役军人先进典型、模范事迹，进一步拓展“尊崇”内容、丰富“尊崇”形式浓厚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二是在矛盾风险防范上下功夫。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压紧压实涉军维稳工作属地责任，织紧织密防范化解重大风险安全防护网。以退役军人矛盾问题“百日攻坚”活动为抓手，加大重复访、规模访、越级访化解力度。完善舆情信息联动机制，加强舆情监测研判，对苗头性倾向性问题早发现、早预警、早处置，保持社会大局和谐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三是在夯实基层基础上下功夫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。积极争取退役军人事务部、省退役军人事务厅以及市财政对我市退役军人工作的支持力度，以乡镇（街道）、村（社区）为主阵地实施示范创建。推进“退役军人服务+互联网”建设，完善退役军人综合信息数据库，推动退役军人事务领域治理能力现代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四是在不断优化服务上下功夫。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健全“阳光安置”工作机制，高标准完成退役军人安置任务。研究制定促进退役军人就业创业工作措施，拓宽就业创业渠道。积极创建“双拥”模范城，着力解决“三后”（后路、后院、后代）问题，妥善解决火箭军移防部队实际困难。积极落实军休干部“两项”待遇，不断提高军休服务管理水平。大力实施“优抚对象关怀计划”，持续做好退役军人困难帮扶援助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五是在推动队伍建设上下功夫。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开展好政策业务培训，培养更多退役军人工作“行家里手”。增强应急处突能力，努力把问题解决在基层、把矛盾消除在萌芽状态。着力强化宗旨意识，多到矛盾集中、问题复杂的地方去了解实情、化解难题。</w:t>
            </w:r>
            <w:r>
              <w:rPr>
                <w:rFonts w:hint="eastAsia" w:ascii="仿宋_GB2312" w:hAnsi="仿宋_GB2312" w:eastAsia="仿宋_GB2312" w:cs="Times New Roman"/>
                <w:sz w:val="32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岳阳市退役军人事务局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00" w:firstLineChars="1800"/>
              <w:textAlignment w:val="auto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2022年8月22日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adjustRightInd w:val="0"/>
        <w:snapToGrid w:val="0"/>
        <w:spacing w:beforeLines="50"/>
        <w:contextualSpacing/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9</w:t>
    </w:r>
    <w:r>
      <w:rPr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53F2CB2E"/>
    <w:multiLevelType w:val="singleLevel"/>
    <w:tmpl w:val="53F2CB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VjZDc5YjMxMWU0ZTk5NDM5YjMxZTY4N2E3MDU0MjE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5689D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6456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393A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47EFA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0D69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4425FE9"/>
    <w:rsid w:val="04C331C3"/>
    <w:rsid w:val="05FF6281"/>
    <w:rsid w:val="06E17D3B"/>
    <w:rsid w:val="0B163B2B"/>
    <w:rsid w:val="0B4507BC"/>
    <w:rsid w:val="0B580592"/>
    <w:rsid w:val="0C5672A5"/>
    <w:rsid w:val="0CEE6048"/>
    <w:rsid w:val="0F803E6A"/>
    <w:rsid w:val="11751FF3"/>
    <w:rsid w:val="15AF4DD5"/>
    <w:rsid w:val="1604125D"/>
    <w:rsid w:val="178F1A2B"/>
    <w:rsid w:val="17D34280"/>
    <w:rsid w:val="1AD475A4"/>
    <w:rsid w:val="1B6948E9"/>
    <w:rsid w:val="1CB533A4"/>
    <w:rsid w:val="1D12485B"/>
    <w:rsid w:val="1FDE2C12"/>
    <w:rsid w:val="212200A6"/>
    <w:rsid w:val="21383517"/>
    <w:rsid w:val="26510A01"/>
    <w:rsid w:val="27005F66"/>
    <w:rsid w:val="27D7337A"/>
    <w:rsid w:val="28FC776E"/>
    <w:rsid w:val="2AF23E85"/>
    <w:rsid w:val="2CC9190C"/>
    <w:rsid w:val="308549EA"/>
    <w:rsid w:val="364E2F94"/>
    <w:rsid w:val="37202641"/>
    <w:rsid w:val="39ED5374"/>
    <w:rsid w:val="3C157E3D"/>
    <w:rsid w:val="3D52139E"/>
    <w:rsid w:val="3D7043B0"/>
    <w:rsid w:val="3E9C3F6D"/>
    <w:rsid w:val="40EE5649"/>
    <w:rsid w:val="4678383F"/>
    <w:rsid w:val="4B3412CF"/>
    <w:rsid w:val="4BD57F1D"/>
    <w:rsid w:val="5130585B"/>
    <w:rsid w:val="529E6357"/>
    <w:rsid w:val="52D5693E"/>
    <w:rsid w:val="582A300A"/>
    <w:rsid w:val="5A1218AC"/>
    <w:rsid w:val="631637CD"/>
    <w:rsid w:val="637757B2"/>
    <w:rsid w:val="63E36C5E"/>
    <w:rsid w:val="64172CDF"/>
    <w:rsid w:val="65DD2C05"/>
    <w:rsid w:val="6A594EE4"/>
    <w:rsid w:val="70AE4870"/>
    <w:rsid w:val="76535E72"/>
    <w:rsid w:val="7BCF19FE"/>
    <w:rsid w:val="7C7176A0"/>
    <w:rsid w:val="7E9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  <w:bCs/>
      <w:szCs w:val="21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 2"/>
    <w:basedOn w:val="1"/>
    <w:link w:val="15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5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5">
    <w:name w:val="正文文本缩进 2 Char"/>
    <w:basedOn w:val="9"/>
    <w:link w:val="4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6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7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8">
    <w:name w:val="批注框文本 Char"/>
    <w:basedOn w:val="9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5506</Words>
  <Characters>6110</Characters>
  <Lines>78</Lines>
  <Paragraphs>21</Paragraphs>
  <TotalTime>7</TotalTime>
  <ScaleCrop>false</ScaleCrop>
  <LinksUpToDate>false</LinksUpToDate>
  <CharactersWithSpaces>6524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2021-06-02T01:03:00Z</dcterms:created>
  <dc:creator>User</dc:creator>
  <cp:lastModifiedBy>不过一刀的疤15276949392</cp:lastModifiedBy>
  <cp:lastPrinted>2023-04-12T08:49:00Z</cp:lastPrinted>
  <dcterms:modified xsi:type="dcterms:W3CDTF">2023-05-05T07:43:42Z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1FB8B3420081464B984CC5558BC300DF</vt:lpwstr>
  </property>
</Properties>
</file>