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r>
        <w:rPr>
          <w:rFonts w:hint="eastAsia"/>
        </w:rPr>
        <w:t>附件2-1</w:t>
      </w:r>
    </w:p>
    <w:p>
      <w:pPr>
        <w:spacing w:line="348" w:lineRule="auto"/>
        <w:jc w:val="center"/>
        <w:rPr>
          <w:rFonts w:eastAsia="方正小标宋简体"/>
          <w:bCs/>
          <w:sz w:val="28"/>
          <w:szCs w:val="28"/>
        </w:rPr>
      </w:pPr>
    </w:p>
    <w:p>
      <w:pPr>
        <w:spacing w:line="800" w:lineRule="exact"/>
        <w:jc w:val="center"/>
        <w:rPr>
          <w:rFonts w:eastAsia="方正小标宋简体"/>
          <w:bCs/>
          <w:sz w:val="28"/>
          <w:szCs w:val="28"/>
        </w:rPr>
      </w:pPr>
      <w:r>
        <w:rPr>
          <w:rFonts w:hint="eastAsia" w:eastAsia="方正小标宋简体"/>
          <w:bCs/>
          <w:sz w:val="28"/>
          <w:szCs w:val="28"/>
        </w:rPr>
        <w:t>岳阳市202</w:t>
      </w:r>
      <w:r>
        <w:rPr>
          <w:rFonts w:hint="eastAsia" w:eastAsia="方正小标宋简体"/>
          <w:bCs/>
          <w:sz w:val="28"/>
          <w:szCs w:val="28"/>
          <w:lang w:val="en-US" w:eastAsia="zh-CN"/>
        </w:rPr>
        <w:t>1</w:t>
      </w:r>
      <w:r>
        <w:rPr>
          <w:rFonts w:hint="eastAsia" w:eastAsia="方正小标宋简体"/>
          <w:bCs/>
          <w:sz w:val="28"/>
          <w:szCs w:val="28"/>
        </w:rPr>
        <w:t>年度部门整体支出</w:t>
      </w:r>
    </w:p>
    <w:p>
      <w:pPr>
        <w:spacing w:line="800" w:lineRule="exact"/>
        <w:jc w:val="center"/>
        <w:rPr>
          <w:rFonts w:eastAsia="方正小标宋简体"/>
          <w:bCs/>
          <w:sz w:val="28"/>
          <w:szCs w:val="28"/>
        </w:rPr>
      </w:pPr>
      <w:r>
        <w:rPr>
          <w:rFonts w:hint="eastAsia" w:eastAsia="方正小标宋简体"/>
          <w:bCs/>
          <w:sz w:val="28"/>
          <w:szCs w:val="28"/>
        </w:rPr>
        <w:t>绩效评价自评报告</w:t>
      </w:r>
    </w:p>
    <w:p>
      <w:pPr>
        <w:rPr>
          <w:rFonts w:eastAsia="仿宋_GB2312"/>
          <w:b/>
          <w:sz w:val="28"/>
          <w:szCs w:val="28"/>
        </w:rPr>
      </w:pPr>
    </w:p>
    <w:p>
      <w:pPr>
        <w:rPr>
          <w:rFonts w:eastAsia="仿宋_GB2312"/>
          <w:b/>
          <w:sz w:val="28"/>
          <w:szCs w:val="28"/>
        </w:rPr>
      </w:pPr>
    </w:p>
    <w:p>
      <w:pPr>
        <w:rPr>
          <w:rFonts w:eastAsia="仿宋_GB2312"/>
          <w:b/>
          <w:sz w:val="28"/>
          <w:szCs w:val="28"/>
        </w:rPr>
      </w:pPr>
    </w:p>
    <w:p>
      <w:pPr>
        <w:spacing w:beforeLines="50" w:line="348" w:lineRule="auto"/>
        <w:ind w:firstLine="416" w:firstLineChars="150"/>
        <w:rPr>
          <w:rFonts w:eastAsia="仿宋_GB2312"/>
          <w:sz w:val="28"/>
          <w:szCs w:val="28"/>
          <w:u w:val="single"/>
        </w:rPr>
      </w:pPr>
      <w:r>
        <w:rPr>
          <w:rFonts w:hint="eastAsia" w:eastAsia="仿宋_GB2312"/>
          <w:sz w:val="28"/>
          <w:szCs w:val="28"/>
        </w:rPr>
        <w:t>部门(单位)名称：</w:t>
      </w:r>
      <w:r>
        <w:rPr>
          <w:rFonts w:hint="eastAsia" w:eastAsia="仿宋_GB2312"/>
          <w:sz w:val="28"/>
          <w:szCs w:val="28"/>
          <w:u w:val="single"/>
        </w:rPr>
        <w:t xml:space="preserve">   </w:t>
      </w:r>
      <w:r>
        <w:rPr>
          <w:rFonts w:hint="eastAsia" w:eastAsia="仿宋_GB2312"/>
          <w:sz w:val="28"/>
          <w:szCs w:val="28"/>
          <w:u w:val="single"/>
          <w:lang w:eastAsia="zh-CN"/>
        </w:rPr>
        <w:t>中共岳阳市委老干部局</w:t>
      </w:r>
      <w:r>
        <w:rPr>
          <w:rFonts w:hint="eastAsia" w:eastAsia="仿宋_GB2312"/>
          <w:sz w:val="28"/>
          <w:szCs w:val="28"/>
          <w:u w:val="single"/>
        </w:rPr>
        <w:t xml:space="preserve">                            </w:t>
      </w:r>
    </w:p>
    <w:p>
      <w:pPr>
        <w:spacing w:beforeLines="50" w:line="348" w:lineRule="auto"/>
        <w:ind w:firstLine="416" w:firstLineChars="150"/>
        <w:rPr>
          <w:rFonts w:eastAsia="仿宋_GB2312"/>
          <w:spacing w:val="20"/>
          <w:sz w:val="28"/>
          <w:szCs w:val="28"/>
        </w:rPr>
      </w:pPr>
      <w:r>
        <w:rPr>
          <w:rFonts w:hint="eastAsia" w:eastAsia="仿宋_GB2312"/>
          <w:sz w:val="28"/>
          <w:szCs w:val="28"/>
        </w:rPr>
        <w:t>预</w:t>
      </w:r>
      <w:r>
        <w:rPr>
          <w:rFonts w:hint="eastAsia" w:eastAsia="仿宋_GB2312"/>
          <w:spacing w:val="30"/>
          <w:sz w:val="28"/>
          <w:szCs w:val="28"/>
        </w:rPr>
        <w:t xml:space="preserve"> 算 编 码：</w:t>
      </w:r>
      <w:r>
        <w:rPr>
          <w:rFonts w:hint="eastAsia" w:eastAsia="仿宋_GB2312"/>
          <w:spacing w:val="20"/>
          <w:sz w:val="28"/>
          <w:szCs w:val="28"/>
          <w:u w:val="single"/>
        </w:rPr>
        <w:t xml:space="preserve">     </w:t>
      </w:r>
      <w:r>
        <w:rPr>
          <w:rFonts w:hint="eastAsia" w:eastAsia="仿宋_GB2312"/>
          <w:spacing w:val="20"/>
          <w:sz w:val="28"/>
          <w:szCs w:val="28"/>
          <w:u w:val="single"/>
          <w:lang w:val="en-US" w:eastAsia="zh-CN"/>
        </w:rPr>
        <w:t>024001</w:t>
      </w:r>
      <w:r>
        <w:rPr>
          <w:rFonts w:hint="eastAsia" w:eastAsia="仿宋_GB2312"/>
          <w:spacing w:val="20"/>
          <w:sz w:val="28"/>
          <w:szCs w:val="28"/>
          <w:u w:val="single"/>
        </w:rPr>
        <w:t xml:space="preserve">                       </w:t>
      </w:r>
    </w:p>
    <w:p>
      <w:pPr>
        <w:spacing w:beforeLines="50" w:line="348" w:lineRule="auto"/>
        <w:ind w:firstLine="416" w:firstLineChars="150"/>
        <w:rPr>
          <w:rFonts w:eastAsia="仿宋_GB2312"/>
          <w:sz w:val="28"/>
          <w:szCs w:val="28"/>
        </w:rPr>
      </w:pPr>
      <w:r>
        <w:rPr>
          <w:rFonts w:hint="eastAsia" w:eastAsia="仿宋_GB2312"/>
          <w:sz w:val="28"/>
          <w:szCs w:val="28"/>
        </w:rPr>
        <w:t>评价方式：部门（单位）绩效自评</w:t>
      </w:r>
    </w:p>
    <w:p>
      <w:pPr>
        <w:spacing w:beforeLines="50" w:line="348" w:lineRule="auto"/>
        <w:ind w:firstLine="416" w:firstLineChars="150"/>
        <w:rPr>
          <w:rFonts w:eastAsia="仿宋_GB2312"/>
          <w:sz w:val="28"/>
          <w:szCs w:val="28"/>
        </w:rPr>
      </w:pPr>
      <w:r>
        <w:rPr>
          <w:rFonts w:hint="eastAsia" w:eastAsia="仿宋_GB2312"/>
          <w:sz w:val="28"/>
          <w:szCs w:val="28"/>
        </w:rPr>
        <w:t xml:space="preserve">评价机构：部门（单位）评价组   </w:t>
      </w:r>
    </w:p>
    <w:p>
      <w:pPr>
        <w:spacing w:line="720" w:lineRule="exact"/>
        <w:ind w:firstLine="1912" w:firstLineChars="690"/>
        <w:rPr>
          <w:rFonts w:eastAsia="仿宋_GB2312"/>
          <w:sz w:val="28"/>
          <w:szCs w:val="28"/>
        </w:rPr>
      </w:pPr>
    </w:p>
    <w:p>
      <w:pPr>
        <w:spacing w:line="720" w:lineRule="exact"/>
        <w:ind w:firstLine="1912" w:firstLineChars="690"/>
        <w:rPr>
          <w:rFonts w:eastAsia="仿宋_GB2312"/>
          <w:sz w:val="28"/>
          <w:szCs w:val="28"/>
        </w:rPr>
      </w:pPr>
    </w:p>
    <w:p>
      <w:pPr>
        <w:spacing w:line="720" w:lineRule="exact"/>
        <w:ind w:firstLine="1912" w:firstLineChars="690"/>
        <w:rPr>
          <w:rFonts w:eastAsia="仿宋_GB2312"/>
          <w:sz w:val="28"/>
          <w:szCs w:val="28"/>
        </w:rPr>
      </w:pPr>
    </w:p>
    <w:p>
      <w:pPr>
        <w:spacing w:line="348" w:lineRule="auto"/>
        <w:jc w:val="center"/>
        <w:rPr>
          <w:rFonts w:eastAsia="仿宋_GB2312"/>
          <w:sz w:val="28"/>
          <w:szCs w:val="28"/>
        </w:rPr>
      </w:pPr>
      <w:r>
        <w:rPr>
          <w:rFonts w:hint="eastAsia" w:eastAsia="仿宋_GB2312"/>
          <w:sz w:val="28"/>
          <w:szCs w:val="28"/>
        </w:rPr>
        <w:t xml:space="preserve">报告日期： </w:t>
      </w:r>
      <w:r>
        <w:rPr>
          <w:rFonts w:hint="eastAsia" w:eastAsia="仿宋_GB2312"/>
          <w:sz w:val="28"/>
          <w:szCs w:val="28"/>
          <w:lang w:val="en-US" w:eastAsia="zh-CN"/>
        </w:rPr>
        <w:t>2022</w:t>
      </w:r>
      <w:r>
        <w:rPr>
          <w:rFonts w:hint="eastAsia" w:eastAsia="仿宋_GB2312"/>
          <w:sz w:val="28"/>
          <w:szCs w:val="28"/>
        </w:rPr>
        <w:t xml:space="preserve">年 </w:t>
      </w:r>
      <w:r>
        <w:rPr>
          <w:rFonts w:hint="eastAsia" w:eastAsia="仿宋_GB2312"/>
          <w:sz w:val="28"/>
          <w:szCs w:val="28"/>
          <w:lang w:val="en-US" w:eastAsia="zh-CN"/>
        </w:rPr>
        <w:t>6</w:t>
      </w:r>
      <w:r>
        <w:rPr>
          <w:rFonts w:hint="eastAsia" w:eastAsia="仿宋_GB2312"/>
          <w:sz w:val="28"/>
          <w:szCs w:val="28"/>
        </w:rPr>
        <w:t>月</w:t>
      </w:r>
      <w:r>
        <w:rPr>
          <w:rFonts w:hint="eastAsia" w:eastAsia="仿宋_GB2312"/>
          <w:sz w:val="28"/>
          <w:szCs w:val="28"/>
          <w:lang w:val="en-US" w:eastAsia="zh-CN"/>
        </w:rPr>
        <w:t>14</w:t>
      </w:r>
      <w:r>
        <w:rPr>
          <w:rFonts w:hint="eastAsia" w:eastAsia="仿宋_GB2312"/>
          <w:sz w:val="28"/>
          <w:szCs w:val="28"/>
        </w:rPr>
        <w:t>日</w:t>
      </w:r>
    </w:p>
    <w:p>
      <w:pPr>
        <w:autoSpaceDN w:val="0"/>
        <w:jc w:val="center"/>
        <w:textAlignment w:val="center"/>
        <w:rPr>
          <w:rFonts w:eastAsia="仿宋_GB2312"/>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28"/>
          <w:szCs w:val="28"/>
        </w:rPr>
        <w:t>岳阳市财政局（制）</w:t>
      </w:r>
    </w:p>
    <w:tbl>
      <w:tblPr>
        <w:tblStyle w:val="7"/>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455"/>
        <w:gridCol w:w="930"/>
        <w:gridCol w:w="415"/>
        <w:gridCol w:w="215"/>
        <w:gridCol w:w="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魏彩娥</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联络电话</w:t>
            </w: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8880455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48</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实有人数</w:t>
            </w:r>
          </w:p>
        </w:tc>
        <w:tc>
          <w:tcPr>
            <w:tcW w:w="3106"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44</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职能职责概述</w:t>
            </w:r>
          </w:p>
        </w:tc>
        <w:tc>
          <w:tcPr>
            <w:tcW w:w="8146" w:type="dxa"/>
            <w:gridSpan w:val="13"/>
            <w:vAlign w:val="center"/>
          </w:tcPr>
          <w:p>
            <w:pPr>
              <w:pStyle w:val="6"/>
              <w:shd w:val="clear" w:color="auto" w:fill="FFFFFF"/>
              <w:spacing w:before="0" w:beforeAutospacing="0" w:after="0" w:afterAutospacing="0" w:line="36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1.贯彻执行党和政府关于离退休工作的方针、政策和法规，做好离休干部和副市级以上退休干部的服务管理工作；</w:t>
            </w:r>
            <w:r>
              <w:rPr>
                <w:rFonts w:hint="eastAsia" w:ascii="仿宋_GB2312" w:hAnsi="仿宋_GB2312" w:eastAsia="仿宋_GB2312" w:cs="仿宋_GB2312"/>
                <w:color w:val="000000"/>
                <w:sz w:val="24"/>
                <w:szCs w:val="24"/>
                <w:shd w:val="clear" w:color="auto" w:fill="FFFFFF"/>
              </w:rPr>
              <w:t>开展调查研究，</w:t>
            </w:r>
            <w:r>
              <w:rPr>
                <w:rFonts w:hint="eastAsia" w:ascii="仿宋_GB2312" w:hAnsi="仿宋_GB2312" w:eastAsia="仿宋_GB2312" w:cs="仿宋_GB2312"/>
                <w:color w:val="000000"/>
                <w:sz w:val="24"/>
                <w:szCs w:val="24"/>
              </w:rPr>
              <w:t>针对全市离退休干部工作中出现的新情况、新问题，及时提出建设性意见，为市委、市政府</w:t>
            </w:r>
            <w:r>
              <w:rPr>
                <w:rFonts w:hint="eastAsia" w:ascii="仿宋_GB2312" w:hAnsi="仿宋_GB2312" w:eastAsia="仿宋_GB2312" w:cs="仿宋_GB2312"/>
                <w:color w:val="000000"/>
                <w:sz w:val="24"/>
                <w:szCs w:val="24"/>
                <w:shd w:val="clear" w:color="auto" w:fill="FFFFFF"/>
              </w:rPr>
              <w:t>制订有关</w:t>
            </w:r>
            <w:r>
              <w:rPr>
                <w:rFonts w:hint="eastAsia" w:ascii="仿宋_GB2312" w:hAnsi="仿宋_GB2312" w:eastAsia="仿宋_GB2312" w:cs="仿宋_GB2312"/>
                <w:color w:val="000000"/>
                <w:sz w:val="24"/>
                <w:szCs w:val="24"/>
              </w:rPr>
              <w:t>离退休干部</w:t>
            </w:r>
            <w:r>
              <w:rPr>
                <w:rFonts w:hint="eastAsia" w:ascii="仿宋_GB2312" w:hAnsi="仿宋_GB2312" w:eastAsia="仿宋_GB2312" w:cs="仿宋_GB2312"/>
                <w:color w:val="000000"/>
                <w:sz w:val="24"/>
                <w:szCs w:val="24"/>
                <w:shd w:val="clear" w:color="auto" w:fill="FFFFFF"/>
              </w:rPr>
              <w:t>工作政策规定提供情况和依据，</w:t>
            </w:r>
            <w:r>
              <w:rPr>
                <w:rFonts w:hint="eastAsia" w:ascii="仿宋_GB2312" w:hAnsi="仿宋_GB2312" w:eastAsia="仿宋_GB2312" w:cs="仿宋_GB2312"/>
                <w:color w:val="000000"/>
                <w:sz w:val="24"/>
                <w:szCs w:val="24"/>
              </w:rPr>
              <w:t>当好参谋和助手。</w:t>
            </w:r>
          </w:p>
          <w:p>
            <w:pPr>
              <w:pStyle w:val="6"/>
              <w:shd w:val="clear" w:color="auto" w:fill="FFFFFF"/>
              <w:spacing w:before="0" w:beforeAutospacing="0" w:after="0" w:afterAutospacing="0" w:line="36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shd w:val="clear" w:color="auto" w:fill="FFFFFF"/>
              </w:rPr>
              <w:t>负责对全市</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干部工作的督查、指导和协调，</w:t>
            </w:r>
            <w:r>
              <w:rPr>
                <w:rFonts w:hint="eastAsia" w:ascii="仿宋_GB2312" w:hAnsi="仿宋_GB2312" w:eastAsia="仿宋_GB2312" w:cs="仿宋_GB2312"/>
                <w:color w:val="000000"/>
                <w:sz w:val="24"/>
                <w:szCs w:val="24"/>
              </w:rPr>
              <w:t>会同有关部门完善离退休干部离休费、医药费保障机制和财政支持机制，对全市离退休干部的“政治待遇和生活待遇”落实情况进行宏观指导和检查督促。</w:t>
            </w:r>
          </w:p>
          <w:p>
            <w:pPr>
              <w:pStyle w:val="6"/>
              <w:shd w:val="clear" w:color="auto" w:fill="FFFFFF"/>
              <w:spacing w:before="0" w:beforeAutospacing="0" w:after="0" w:afterAutospacing="0"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3.承担市委离退休干部工作委员会办公室的日常工作，加强和指导全市离退休干部党组织建设，组织和指导全市离退休干部开展活动、发挥作用，并适时总结交流经验；</w:t>
            </w:r>
            <w:r>
              <w:rPr>
                <w:rFonts w:hint="eastAsia" w:ascii="仿宋_GB2312" w:hAnsi="仿宋_GB2312" w:eastAsia="仿宋_GB2312" w:cs="仿宋_GB2312"/>
                <w:color w:val="000000"/>
                <w:sz w:val="24"/>
                <w:szCs w:val="24"/>
                <w:shd w:val="clear" w:color="auto" w:fill="FFFFFF"/>
              </w:rPr>
              <w:t>负责</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干部和</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干部工作的宣传，开展尊老、敬老、爱老活动，依法维护</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干部的合法权益。</w:t>
            </w:r>
          </w:p>
          <w:p>
            <w:pPr>
              <w:pStyle w:val="6"/>
              <w:shd w:val="clear" w:color="auto" w:fill="FFFFFF"/>
              <w:spacing w:before="0" w:beforeAutospacing="0" w:after="0" w:afterAutospacing="0"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4.承担市老干部工作领导小组办公室和市关心下一代工作委员会办公室的日常工作。</w:t>
            </w:r>
          </w:p>
          <w:p>
            <w:pPr>
              <w:pStyle w:val="6"/>
              <w:shd w:val="clear" w:color="auto" w:fill="FFFFFF"/>
              <w:spacing w:before="0" w:beforeAutospacing="0" w:after="0" w:afterAutospacing="0"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5.做好老干部活动中心服务管理工作。</w:t>
            </w:r>
          </w:p>
          <w:p>
            <w:pPr>
              <w:pStyle w:val="6"/>
              <w:shd w:val="clear" w:color="auto" w:fill="FFFFFF"/>
              <w:spacing w:before="0" w:beforeAutospacing="0" w:after="0" w:afterAutospacing="0"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6.</w:t>
            </w:r>
            <w:r>
              <w:rPr>
                <w:rFonts w:hint="eastAsia" w:ascii="仿宋_GB2312" w:hAnsi="仿宋_GB2312" w:eastAsia="仿宋_GB2312" w:cs="仿宋_GB2312"/>
                <w:color w:val="000000"/>
                <w:sz w:val="24"/>
                <w:szCs w:val="24"/>
                <w:shd w:val="clear" w:color="auto" w:fill="FFFFFF"/>
              </w:rPr>
              <w:t>加强老干部的学习教育，</w:t>
            </w:r>
            <w:r>
              <w:rPr>
                <w:rFonts w:hint="eastAsia" w:ascii="仿宋_GB2312" w:hAnsi="仿宋_GB2312" w:eastAsia="仿宋_GB2312" w:cs="仿宋_GB2312"/>
                <w:color w:val="000000"/>
                <w:sz w:val="24"/>
                <w:szCs w:val="24"/>
              </w:rPr>
              <w:t>办好老年（老干部）大学。</w:t>
            </w:r>
          </w:p>
          <w:p>
            <w:pPr>
              <w:pStyle w:val="6"/>
              <w:shd w:val="clear" w:color="auto" w:fill="FFFFFF"/>
              <w:spacing w:before="0" w:beforeAutospacing="0" w:after="0" w:afterAutospacing="0"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7.负责处理老干部的来信来访，做好外省市老干工作部门来岳参观、考察的接待服务工作。</w:t>
            </w:r>
          </w:p>
          <w:p>
            <w:pPr>
              <w:pStyle w:val="6"/>
              <w:shd w:val="clear" w:color="auto" w:fill="FFFFFF"/>
              <w:spacing w:before="0" w:beforeAutospacing="0" w:after="0" w:afterAutospacing="0"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8.</w:t>
            </w:r>
            <w:r>
              <w:rPr>
                <w:rFonts w:hint="eastAsia" w:ascii="仿宋_GB2312" w:hAnsi="仿宋_GB2312" w:eastAsia="仿宋_GB2312" w:cs="仿宋_GB2312"/>
                <w:color w:val="000000"/>
                <w:sz w:val="24"/>
                <w:szCs w:val="24"/>
                <w:shd w:val="clear" w:color="auto" w:fill="FFFFFF"/>
              </w:rPr>
              <w:t>负责对所属事业单位的国有资产和财务进行管理和监督</w:t>
            </w:r>
            <w:r>
              <w:rPr>
                <w:rFonts w:hint="eastAsia" w:ascii="仿宋_GB2312" w:hAnsi="仿宋_GB2312" w:eastAsia="仿宋_GB2312" w:cs="仿宋_GB2312"/>
                <w:color w:val="000000"/>
                <w:sz w:val="24"/>
                <w:szCs w:val="24"/>
              </w:rPr>
              <w:t>，改善办公和老干部活动条件，充分发挥</w:t>
            </w:r>
            <w:r>
              <w:rPr>
                <w:rFonts w:hint="eastAsia" w:ascii="仿宋_GB2312" w:hAnsi="仿宋_GB2312" w:eastAsia="仿宋_GB2312" w:cs="仿宋_GB2312"/>
                <w:color w:val="000000"/>
                <w:sz w:val="24"/>
                <w:szCs w:val="24"/>
                <w:shd w:val="clear" w:color="auto" w:fill="FFFFFF"/>
              </w:rPr>
              <w:t>各种场地和设施的作用，发展老干部事业。</w:t>
            </w:r>
          </w:p>
          <w:p>
            <w:pPr>
              <w:pStyle w:val="6"/>
              <w:shd w:val="clear" w:color="auto" w:fill="FFFFFF"/>
              <w:spacing w:before="0" w:beforeAutospacing="0" w:after="0" w:afterAutospacing="0"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9.承办市委、市政府和市组织部交办的其他事项。</w:t>
            </w:r>
          </w:p>
          <w:p>
            <w:pPr>
              <w:autoSpaceDN w:val="0"/>
              <w:spacing w:line="320" w:lineRule="exact"/>
              <w:jc w:val="left"/>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年度主要</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工作内容</w:t>
            </w:r>
          </w:p>
        </w:tc>
        <w:tc>
          <w:tcPr>
            <w:tcW w:w="8146" w:type="dxa"/>
            <w:gridSpan w:val="13"/>
            <w:vAlign w:val="center"/>
          </w:tcPr>
          <w:p>
            <w:pPr>
              <w:autoSpaceDN w:val="0"/>
              <w:spacing w:before="100" w:beforeAutospacing="1" w:line="32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1.落实离退休干部生活待遇，开展走访看望、慰问、吊唁活动。</w:t>
            </w:r>
          </w:p>
          <w:p>
            <w:pPr>
              <w:autoSpaceDN w:val="0"/>
              <w:spacing w:line="32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2.帮扶市本级特困离退休干部及困难遗孀。</w:t>
            </w:r>
          </w:p>
          <w:p>
            <w:pPr>
              <w:autoSpaceDN w:val="0"/>
              <w:spacing w:line="32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3.办好老年大学。</w:t>
            </w:r>
          </w:p>
          <w:p>
            <w:pPr>
              <w:autoSpaceDN w:val="0"/>
              <w:spacing w:line="32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4.指导县市区利用社区资源为离休干部服务。</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5.做好老干部活动中心服务管理工作。</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协调组织市关工委、市老年协会组织开展活动，落实离退休干部政治待遇，举办离退休干部党支部书记、党组织负责人、网宣员培训班等。组织离退休干部开展参观考察和门球、书画展、钓鱼、文艺汇演等文体活动。</w:t>
            </w:r>
          </w:p>
          <w:p>
            <w:pPr>
              <w:autoSpaceDN w:val="0"/>
              <w:spacing w:line="320" w:lineRule="exact"/>
              <w:jc w:val="left"/>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年度部门（单位）总体运行情况及取得的成绩</w:t>
            </w:r>
          </w:p>
        </w:tc>
        <w:tc>
          <w:tcPr>
            <w:tcW w:w="8146" w:type="dxa"/>
            <w:gridSpan w:val="13"/>
            <w:vAlign w:val="center"/>
          </w:tcPr>
          <w:p>
            <w:pPr>
              <w:numPr>
                <w:ilvl w:val="0"/>
                <w:numId w:val="2"/>
              </w:num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全面加强离退休干部党建工作；</w:t>
            </w:r>
          </w:p>
          <w:p>
            <w:pPr>
              <w:numPr>
                <w:ilvl w:val="0"/>
                <w:numId w:val="2"/>
              </w:num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做好待遇落实工作，用心用情做好服务管理及信访工作；</w:t>
            </w:r>
          </w:p>
          <w:p>
            <w:pPr>
              <w:numPr>
                <w:ilvl w:val="0"/>
                <w:numId w:val="2"/>
              </w:num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抓好“双先”表彰工作，推动“美在金秋”老党员之家建设；</w:t>
            </w:r>
          </w:p>
          <w:p>
            <w:pPr>
              <w:numPr>
                <w:ilvl w:val="0"/>
                <w:numId w:val="2"/>
              </w:num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2021年老干部局荣获全市综合绩效先进单位和平安建设合格单位；</w:t>
            </w:r>
          </w:p>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5.2021年市关工委荣获全国关心下一代工作先进单位；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收入合计</w:t>
            </w:r>
          </w:p>
        </w:tc>
        <w:tc>
          <w:tcPr>
            <w:tcW w:w="7020" w:type="dxa"/>
            <w:gridSpan w:val="11"/>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上年结转</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公共财</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政拨款</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政府基金拨款</w:t>
            </w:r>
          </w:p>
        </w:tc>
        <w:tc>
          <w:tcPr>
            <w:tcW w:w="18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纳入专户管理的非税收入拨款</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1541.85</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289.95</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1203.22</w:t>
            </w: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1800" w:type="dxa"/>
            <w:gridSpan w:val="3"/>
            <w:vAlign w:val="center"/>
          </w:tcPr>
          <w:p>
            <w:pPr>
              <w:autoSpaceDN w:val="0"/>
              <w:spacing w:line="320" w:lineRule="exact"/>
              <w:jc w:val="both"/>
              <w:textAlignment w:val="center"/>
              <w:rPr>
                <w:rFonts w:hint="default" w:ascii="仿宋_GB2312" w:hAnsi="仿宋_GB2312" w:eastAsia="仿宋_GB2312" w:cs="仿宋_GB2312"/>
                <w:color w:val="000000"/>
                <w:sz w:val="24"/>
                <w:szCs w:val="24"/>
                <w:lang w:val="en-US" w:eastAsia="zh-CN"/>
              </w:rPr>
            </w:pP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48.67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2" w:hRule="atLeast"/>
          <w:jc w:val="center"/>
        </w:trPr>
        <w:tc>
          <w:tcPr>
            <w:tcW w:w="1700" w:type="dxa"/>
            <w:gridSpan w:val="3"/>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局机关</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1095.69</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267.98</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819.09</w:t>
            </w: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1800" w:type="dxa"/>
            <w:gridSpan w:val="3"/>
            <w:vAlign w:val="center"/>
          </w:tcPr>
          <w:p>
            <w:pPr>
              <w:autoSpaceDN w:val="0"/>
              <w:spacing w:line="320" w:lineRule="exact"/>
              <w:jc w:val="both"/>
              <w:textAlignment w:val="center"/>
              <w:rPr>
                <w:rFonts w:hint="default" w:ascii="仿宋_GB2312" w:hAnsi="仿宋_GB2312" w:eastAsia="仿宋_GB2312" w:cs="仿宋_GB2312"/>
                <w:color w:val="000000"/>
                <w:sz w:val="24"/>
                <w:szCs w:val="24"/>
                <w:lang w:val="en-US" w:eastAsia="zh-CN"/>
              </w:rPr>
            </w:pP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42" w:hRule="atLeast"/>
          <w:jc w:val="center"/>
        </w:trPr>
        <w:tc>
          <w:tcPr>
            <w:tcW w:w="1700" w:type="dxa"/>
            <w:gridSpan w:val="3"/>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2.老干部活动服务中心</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446.16</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21.97</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384.13</w:t>
            </w: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1800" w:type="dxa"/>
            <w:gridSpan w:val="3"/>
            <w:vAlign w:val="center"/>
          </w:tcPr>
          <w:p>
            <w:pPr>
              <w:autoSpaceDN w:val="0"/>
              <w:spacing w:line="320" w:lineRule="exact"/>
              <w:jc w:val="both"/>
              <w:textAlignment w:val="center"/>
              <w:rPr>
                <w:rFonts w:hint="eastAsia" w:ascii="仿宋_GB2312" w:hAnsi="仿宋_GB2312" w:eastAsia="仿宋_GB2312" w:cs="仿宋_GB2312"/>
                <w:color w:val="000000"/>
                <w:sz w:val="24"/>
                <w:szCs w:val="24"/>
                <w:lang w:val="en-US" w:eastAsia="zh-CN"/>
              </w:rPr>
            </w:pP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支出合计</w:t>
            </w:r>
          </w:p>
        </w:tc>
        <w:tc>
          <w:tcPr>
            <w:tcW w:w="5525"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c>
          <w:tcPr>
            <w:tcW w:w="1495" w:type="dxa"/>
            <w:gridSpan w:val="3"/>
            <w:tcBorders>
              <w:left w:val="single" w:color="auto" w:sz="4" w:space="0"/>
              <w:bottom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基本支出</w:t>
            </w:r>
          </w:p>
        </w:tc>
        <w:tc>
          <w:tcPr>
            <w:tcW w:w="3240" w:type="dxa"/>
            <w:gridSpan w:val="5"/>
            <w:tcBorders>
              <w:top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c>
          <w:tcPr>
            <w:tcW w:w="930" w:type="dxa"/>
            <w:vMerge w:val="restart"/>
            <w:tcBorders>
              <w:top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项目支出</w:t>
            </w:r>
          </w:p>
        </w:tc>
        <w:tc>
          <w:tcPr>
            <w:tcW w:w="630" w:type="dxa"/>
            <w:gridSpan w:val="2"/>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当年结余</w:t>
            </w:r>
          </w:p>
        </w:tc>
        <w:tc>
          <w:tcPr>
            <w:tcW w:w="865"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人员支出</w:t>
            </w:r>
          </w:p>
        </w:tc>
        <w:tc>
          <w:tcPr>
            <w:tcW w:w="216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公用支出</w:t>
            </w:r>
          </w:p>
        </w:tc>
        <w:tc>
          <w:tcPr>
            <w:tcW w:w="93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630" w:type="dxa"/>
            <w:gridSpan w:val="2"/>
            <w:vMerge w:val="continue"/>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865" w:type="dxa"/>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1541.85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1042.19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640.63</w:t>
            </w:r>
          </w:p>
        </w:tc>
        <w:tc>
          <w:tcPr>
            <w:tcW w:w="216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310.93</w:t>
            </w:r>
          </w:p>
        </w:tc>
        <w:tc>
          <w:tcPr>
            <w:tcW w:w="930" w:type="dxa"/>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499.66</w:t>
            </w:r>
          </w:p>
        </w:tc>
        <w:tc>
          <w:tcPr>
            <w:tcW w:w="630"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86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1095.69</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681.24</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374.24</w:t>
            </w:r>
          </w:p>
        </w:tc>
        <w:tc>
          <w:tcPr>
            <w:tcW w:w="216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216.37</w:t>
            </w:r>
          </w:p>
        </w:tc>
        <w:tc>
          <w:tcPr>
            <w:tcW w:w="930" w:type="dxa"/>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414.45</w:t>
            </w:r>
          </w:p>
        </w:tc>
        <w:tc>
          <w:tcPr>
            <w:tcW w:w="630"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86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2.老干部活动服务中心</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446.16</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360.95</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266.39</w:t>
            </w:r>
          </w:p>
        </w:tc>
        <w:tc>
          <w:tcPr>
            <w:tcW w:w="216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94.56</w:t>
            </w:r>
          </w:p>
        </w:tc>
        <w:tc>
          <w:tcPr>
            <w:tcW w:w="930" w:type="dxa"/>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85.21</w:t>
            </w:r>
          </w:p>
        </w:tc>
        <w:tc>
          <w:tcPr>
            <w:tcW w:w="630"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86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三公经费</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7020" w:type="dxa"/>
            <w:gridSpan w:val="11"/>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公务接待费</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公务用车运维费</w:t>
            </w:r>
          </w:p>
        </w:tc>
        <w:tc>
          <w:tcPr>
            <w:tcW w:w="216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公务用车购置费</w:t>
            </w:r>
          </w:p>
        </w:tc>
        <w:tc>
          <w:tcPr>
            <w:tcW w:w="2425"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5.14</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1.88</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3.26</w:t>
            </w:r>
          </w:p>
        </w:tc>
        <w:tc>
          <w:tcPr>
            <w:tcW w:w="216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2425"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0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5.14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1.88</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3.26</w:t>
            </w:r>
          </w:p>
        </w:tc>
        <w:tc>
          <w:tcPr>
            <w:tcW w:w="216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2425"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04" w:hRule="atLeast"/>
          <w:jc w:val="center"/>
        </w:trPr>
        <w:tc>
          <w:tcPr>
            <w:tcW w:w="1700" w:type="dxa"/>
            <w:gridSpan w:val="3"/>
            <w:vAlign w:val="center"/>
          </w:tcPr>
          <w:p>
            <w:pPr>
              <w:spacing w:line="32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2.老干部活动服务中心</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216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242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固定资产</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5525" w:type="dxa"/>
            <w:gridSpan w:val="8"/>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w:t>
            </w:r>
          </w:p>
        </w:tc>
        <w:tc>
          <w:tcPr>
            <w:tcW w:w="1495" w:type="dxa"/>
            <w:gridSpan w:val="3"/>
            <w:vMerge w:val="restart"/>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5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在用固定资产</w:t>
            </w:r>
          </w:p>
        </w:tc>
        <w:tc>
          <w:tcPr>
            <w:tcW w:w="3090" w:type="dxa"/>
            <w:gridSpan w:val="4"/>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出租固定资产</w:t>
            </w:r>
          </w:p>
        </w:tc>
        <w:tc>
          <w:tcPr>
            <w:tcW w:w="1495" w:type="dxa"/>
            <w:gridSpan w:val="3"/>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05"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2407.16</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2407.16</w:t>
            </w:r>
          </w:p>
        </w:tc>
        <w:tc>
          <w:tcPr>
            <w:tcW w:w="309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59"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2291.39</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2291.39</w:t>
            </w:r>
          </w:p>
        </w:tc>
        <w:tc>
          <w:tcPr>
            <w:tcW w:w="309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59"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2.老干部活动服务中心</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115.77</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115.77</w:t>
            </w:r>
          </w:p>
        </w:tc>
        <w:tc>
          <w:tcPr>
            <w:tcW w:w="309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整体支出绩效定性目标及实施计划完成情况</w:t>
            </w:r>
          </w:p>
        </w:tc>
        <w:tc>
          <w:tcPr>
            <w:tcW w:w="377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预期目标</w:t>
            </w:r>
          </w:p>
        </w:tc>
        <w:tc>
          <w:tcPr>
            <w:tcW w:w="4585"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095"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目标1：落实离退休干部生活待遇，开展走访看望、慰问、吊唁活动。</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目标2：</w:t>
            </w:r>
            <w:r>
              <w:rPr>
                <w:rFonts w:hint="eastAsia" w:ascii="仿宋_GB2312" w:hAnsi="仿宋_GB2312" w:eastAsia="仿宋_GB2312" w:cs="仿宋_GB2312"/>
                <w:color w:val="000000"/>
                <w:sz w:val="24"/>
                <w:szCs w:val="24"/>
                <w:lang w:eastAsia="zh-CN"/>
              </w:rPr>
              <w:t>坚持正确的舆论引导。与电视台合作打造《金秋正能量》栏目。</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目标3：帮扶市本级特困离退休干部及困难遗孀。</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目标4：办好老年大学，</w:t>
            </w:r>
            <w:r>
              <w:rPr>
                <w:rFonts w:hint="eastAsia" w:ascii="仿宋_GB2312" w:hAnsi="仿宋_GB2312" w:eastAsia="仿宋_GB2312" w:cs="仿宋_GB2312"/>
                <w:sz w:val="24"/>
                <w:szCs w:val="24"/>
              </w:rPr>
              <w:t>继续推动我市各级老年大学创建湖南省老年大学示范校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组织老年教育工作业务培训与观摩学习，提高教育教学质量和水平</w:t>
            </w:r>
            <w:r>
              <w:rPr>
                <w:rFonts w:hint="eastAsia" w:ascii="仿宋_GB2312" w:hAnsi="仿宋_GB2312" w:eastAsia="仿宋_GB2312" w:cs="仿宋_GB2312"/>
                <w:color w:val="000000"/>
                <w:sz w:val="24"/>
                <w:szCs w:val="24"/>
              </w:rPr>
              <w:t>。</w:t>
            </w:r>
          </w:p>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目标5：加强离退休干部党组织建设</w:t>
            </w:r>
            <w:r>
              <w:rPr>
                <w:rFonts w:hint="eastAsia" w:ascii="仿宋_GB2312" w:hAnsi="仿宋_GB2312" w:eastAsia="仿宋_GB2312" w:cs="仿宋_GB2312"/>
                <w:color w:val="000000"/>
                <w:sz w:val="24"/>
                <w:szCs w:val="24"/>
                <w:lang w:eastAsia="zh-CN"/>
              </w:rPr>
              <w:t>，全面推动“美在金秋”老党员之家建设。</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目标6：协</w:t>
            </w:r>
            <w:r>
              <w:rPr>
                <w:rFonts w:hint="eastAsia" w:ascii="仿宋_GB2312" w:hAnsi="仿宋_GB2312" w:eastAsia="仿宋_GB2312" w:cs="仿宋_GB2312"/>
                <w:color w:val="000000"/>
                <w:sz w:val="24"/>
                <w:szCs w:val="24"/>
                <w:lang w:eastAsia="zh-CN"/>
              </w:rPr>
              <w:t>助</w:t>
            </w:r>
            <w:r>
              <w:rPr>
                <w:rFonts w:hint="eastAsia" w:ascii="仿宋_GB2312" w:hAnsi="仿宋_GB2312" w:eastAsia="仿宋_GB2312" w:cs="仿宋_GB2312"/>
                <w:color w:val="000000"/>
                <w:sz w:val="24"/>
                <w:szCs w:val="24"/>
              </w:rPr>
              <w:t>市关工委</w:t>
            </w:r>
            <w:r>
              <w:rPr>
                <w:rFonts w:hint="eastAsia" w:ascii="仿宋_GB2312" w:hAnsi="仿宋_GB2312" w:eastAsia="仿宋_GB2312" w:cs="仿宋_GB2312"/>
                <w:color w:val="000000"/>
                <w:sz w:val="24"/>
                <w:szCs w:val="24"/>
                <w:lang w:eastAsia="zh-CN"/>
              </w:rPr>
              <w:t>开展“少年若要圆梦想，莫让手机误成长”主题教育活动等。</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目标7：组织离退休干部参观考察和开展门球、书画展、钓鱼、文艺汇演等文体活动。</w:t>
            </w:r>
          </w:p>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目标</w:t>
            </w:r>
            <w:r>
              <w:rPr>
                <w:rFonts w:hint="eastAsia" w:ascii="仿宋_GB2312" w:hAnsi="仿宋_GB2312" w:eastAsia="仿宋_GB2312" w:cs="仿宋_GB2312"/>
                <w:color w:val="000000"/>
                <w:sz w:val="24"/>
                <w:szCs w:val="24"/>
                <w:lang w:val="en-US" w:eastAsia="zh-CN"/>
              </w:rPr>
              <w:t>8：协调</w:t>
            </w:r>
            <w:r>
              <w:rPr>
                <w:rFonts w:hint="eastAsia" w:ascii="仿宋_GB2312" w:hAnsi="仿宋_GB2312" w:eastAsia="仿宋_GB2312" w:cs="仿宋_GB2312"/>
                <w:color w:val="000000"/>
                <w:sz w:val="24"/>
                <w:szCs w:val="24"/>
              </w:rPr>
              <w:t>市老年协会组织开展活动。</w:t>
            </w:r>
          </w:p>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4585" w:type="dxa"/>
            <w:gridSpan w:val="7"/>
            <w:vAlign w:val="center"/>
          </w:tcPr>
          <w:p>
            <w:pPr>
              <w:numPr>
                <w:ilvl w:val="0"/>
                <w:numId w:val="3"/>
              </w:numPr>
              <w:autoSpaceDN w:val="0"/>
              <w:spacing w:line="320" w:lineRule="exact"/>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部门整体控制支出在预算内；</w:t>
            </w:r>
          </w:p>
          <w:p>
            <w:pPr>
              <w:numPr>
                <w:ilvl w:val="0"/>
                <w:numId w:val="3"/>
              </w:numPr>
              <w:autoSpaceDN w:val="0"/>
              <w:spacing w:line="320" w:lineRule="exact"/>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部门年度整体绩效目标完成；</w:t>
            </w:r>
          </w:p>
          <w:p>
            <w:pPr>
              <w:numPr>
                <w:ilvl w:val="0"/>
                <w:numId w:val="3"/>
              </w:numPr>
              <w:autoSpaceDN w:val="0"/>
              <w:spacing w:line="320" w:lineRule="exact"/>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社会效益影响较好；</w:t>
            </w:r>
          </w:p>
          <w:p>
            <w:pPr>
              <w:numPr>
                <w:ilvl w:val="0"/>
                <w:numId w:val="3"/>
              </w:numPr>
              <w:autoSpaceDN w:val="0"/>
              <w:spacing w:line="320" w:lineRule="exact"/>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服务对象满意度达到90%。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整体支出</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绩效定量目标及实施计划完成情况</w:t>
            </w:r>
          </w:p>
        </w:tc>
        <w:tc>
          <w:tcPr>
            <w:tcW w:w="296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评价内容</w:t>
            </w:r>
          </w:p>
        </w:tc>
        <w:tc>
          <w:tcPr>
            <w:tcW w:w="3898"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绩效目标</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产出目标</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（部门工作实绩，包含上级部门和市委市政府布置的重点工作、实事任务等，根据部门实际进行调整细化）</w:t>
            </w: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质量指标</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指标1：社会反映较好</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275"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数量指标</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指标1：金秋正能量全年共播出2</w:t>
            </w:r>
            <w:r>
              <w:rPr>
                <w:rFonts w:hint="eastAsia" w:ascii="仿宋_GB2312" w:hAnsi="仿宋_GB2312" w:eastAsia="仿宋_GB2312" w:cs="仿宋_GB2312"/>
                <w:color w:val="000000"/>
                <w:sz w:val="24"/>
                <w:szCs w:val="24"/>
                <w:lang w:val="en-US" w:eastAsia="zh-CN"/>
              </w:rPr>
              <w:t>0</w:t>
            </w:r>
            <w:r>
              <w:rPr>
                <w:rFonts w:hint="eastAsia" w:ascii="仿宋_GB2312" w:hAnsi="仿宋_GB2312" w:eastAsia="仿宋_GB2312" w:cs="仿宋_GB2312"/>
                <w:color w:val="000000"/>
                <w:sz w:val="24"/>
                <w:szCs w:val="24"/>
              </w:rPr>
              <w:t>期，</w:t>
            </w:r>
            <w:r>
              <w:rPr>
                <w:rFonts w:hint="eastAsia" w:ascii="仿宋_GB2312" w:hAnsi="仿宋_GB2312" w:eastAsia="仿宋_GB2312" w:cs="仿宋_GB2312"/>
                <w:color w:val="000000"/>
                <w:sz w:val="24"/>
                <w:szCs w:val="24"/>
                <w:lang w:eastAsia="zh-CN"/>
              </w:rPr>
              <w:t>先后播出了疫情防控、老党员之家、示范支部创建、扶贫攻坚、公众号推广、移风易俗、关心下一代等专题节目</w:t>
            </w:r>
            <w:r>
              <w:rPr>
                <w:rFonts w:hint="eastAsia" w:ascii="仿宋_GB2312" w:hAnsi="仿宋_GB2312" w:eastAsia="仿宋_GB2312" w:cs="仿宋_GB2312"/>
                <w:color w:val="000000"/>
                <w:sz w:val="24"/>
                <w:szCs w:val="24"/>
              </w:rPr>
              <w:t>。</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szCs w:val="24"/>
              </w:rPr>
            </w:pP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指标2：对老干部住院慰问153人次、吊唁28人、生日祝寿20人。</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25"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szCs w:val="24"/>
              </w:rPr>
            </w:pP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：对老红军、离退休干部及遗孀，春节和半年度走访慰问4</w:t>
            </w:r>
            <w:r>
              <w:rPr>
                <w:rFonts w:hint="eastAsia" w:ascii="仿宋_GB2312" w:hAnsi="仿宋_GB2312" w:eastAsia="仿宋_GB2312" w:cs="仿宋_GB2312"/>
                <w:color w:val="000000"/>
                <w:sz w:val="24"/>
                <w:szCs w:val="24"/>
                <w:lang w:val="en-US" w:eastAsia="zh-CN"/>
              </w:rPr>
              <w:t>30</w:t>
            </w:r>
            <w:r>
              <w:rPr>
                <w:rFonts w:hint="eastAsia" w:ascii="仿宋_GB2312" w:hAnsi="仿宋_GB2312" w:eastAsia="仿宋_GB2312" w:cs="仿宋_GB2312"/>
                <w:color w:val="000000"/>
                <w:sz w:val="24"/>
                <w:szCs w:val="24"/>
              </w:rPr>
              <w:t>人，特困帮扶</w:t>
            </w:r>
            <w:r>
              <w:rPr>
                <w:rFonts w:hint="eastAsia" w:ascii="仿宋_GB2312" w:hAnsi="仿宋_GB2312" w:eastAsia="仿宋_GB2312" w:cs="仿宋_GB2312"/>
                <w:color w:val="000000"/>
                <w:sz w:val="24"/>
                <w:szCs w:val="24"/>
                <w:lang w:val="en-US" w:eastAsia="zh-CN"/>
              </w:rPr>
              <w:t>126</w:t>
            </w:r>
            <w:r>
              <w:rPr>
                <w:rFonts w:hint="eastAsia" w:ascii="仿宋_GB2312" w:hAnsi="仿宋_GB2312" w:eastAsia="仿宋_GB2312" w:cs="仿宋_GB2312"/>
                <w:color w:val="000000"/>
                <w:sz w:val="24"/>
                <w:szCs w:val="24"/>
              </w:rPr>
              <w:t>人次，住院看望</w:t>
            </w:r>
            <w:r>
              <w:rPr>
                <w:rFonts w:hint="eastAsia" w:ascii="仿宋_GB2312" w:hAnsi="仿宋_GB2312" w:eastAsia="仿宋_GB2312" w:cs="仿宋_GB2312"/>
                <w:color w:val="000000"/>
                <w:sz w:val="24"/>
                <w:szCs w:val="24"/>
                <w:lang w:val="en-US" w:eastAsia="zh-CN"/>
              </w:rPr>
              <w:t>60</w:t>
            </w:r>
            <w:r>
              <w:rPr>
                <w:rFonts w:hint="eastAsia" w:ascii="仿宋_GB2312" w:hAnsi="仿宋_GB2312" w:eastAsia="仿宋_GB2312" w:cs="仿宋_GB2312"/>
                <w:color w:val="000000"/>
                <w:sz w:val="24"/>
                <w:szCs w:val="24"/>
              </w:rPr>
              <w:t>人次。</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szCs w:val="24"/>
              </w:rPr>
            </w:pP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指标4：市老年大学聘用教师50名。</w:t>
            </w:r>
            <w:r>
              <w:rPr>
                <w:rFonts w:hint="eastAsia" w:ascii="仿宋_GB2312" w:hAnsi="仿宋_GB2312" w:eastAsia="仿宋_GB2312" w:cs="仿宋_GB2312"/>
                <w:color w:val="000000"/>
                <w:spacing w:val="-20"/>
                <w:sz w:val="24"/>
                <w:szCs w:val="24"/>
              </w:rPr>
              <w:t>老年大学每学期学员</w:t>
            </w:r>
            <w:r>
              <w:rPr>
                <w:rFonts w:hint="eastAsia" w:ascii="仿宋_GB2312" w:hAnsi="仿宋_GB2312" w:eastAsia="仿宋_GB2312" w:cs="仿宋_GB2312"/>
                <w:color w:val="000000"/>
                <w:spacing w:val="-20"/>
                <w:sz w:val="24"/>
                <w:szCs w:val="24"/>
                <w:lang w:val="en-US" w:eastAsia="zh-CN"/>
              </w:rPr>
              <w:t>7</w:t>
            </w:r>
            <w:r>
              <w:rPr>
                <w:rFonts w:hint="eastAsia" w:ascii="仿宋_GB2312" w:hAnsi="仿宋_GB2312" w:eastAsia="仿宋_GB2312" w:cs="仿宋_GB2312"/>
                <w:color w:val="000000"/>
                <w:spacing w:val="-20"/>
                <w:sz w:val="24"/>
                <w:szCs w:val="24"/>
              </w:rPr>
              <w:t>000多人次。</w:t>
            </w:r>
            <w:r>
              <w:rPr>
                <w:rFonts w:hint="eastAsia" w:ascii="仿宋_GB2312" w:hAnsi="仿宋_GB2312" w:eastAsia="仿宋_GB2312" w:cs="仿宋_GB2312"/>
                <w:color w:val="000000"/>
                <w:sz w:val="24"/>
                <w:szCs w:val="24"/>
              </w:rPr>
              <w:t>协助6家老年协会组织开展活动。</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老年大学教学未完成因新冠疫情影响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时效指标</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指标1：按规定时间内完成</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成本指标</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指标1：整体支出控制在预算内</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效益目标</w:t>
            </w:r>
          </w:p>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（预期实现的效益）</w:t>
            </w: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社会效益</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指标1：进一步丰富了老干部的精神文化生活，老有所乐；</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指标2：进一步传播了老干部的社会正能量，老有所为。</w:t>
            </w:r>
          </w:p>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经济效益</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指标1：</w:t>
            </w:r>
            <w:r>
              <w:rPr>
                <w:rFonts w:hint="eastAsia" w:ascii="仿宋_GB2312" w:hAnsi="仿宋_GB2312" w:eastAsia="仿宋_GB2312" w:cs="仿宋_GB2312"/>
                <w:color w:val="000000"/>
                <w:sz w:val="24"/>
                <w:szCs w:val="24"/>
                <w:lang w:eastAsia="zh-CN"/>
              </w:rPr>
              <w:t>无</w:t>
            </w:r>
          </w:p>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生态效益</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指标1：</w:t>
            </w:r>
            <w:r>
              <w:rPr>
                <w:rFonts w:hint="eastAsia" w:ascii="仿宋_GB2312" w:hAnsi="仿宋_GB2312" w:eastAsia="仿宋_GB2312" w:cs="仿宋_GB2312"/>
                <w:color w:val="000000"/>
                <w:sz w:val="24"/>
                <w:szCs w:val="24"/>
                <w:lang w:eastAsia="zh-CN"/>
              </w:rPr>
              <w:t>无</w:t>
            </w:r>
          </w:p>
          <w:p>
            <w:pPr>
              <w:autoSpaceDN w:val="0"/>
              <w:spacing w:line="320" w:lineRule="exact"/>
              <w:jc w:val="left"/>
              <w:textAlignment w:val="center"/>
              <w:rPr>
                <w:rFonts w:hint="eastAsia" w:ascii="仿宋_GB2312" w:hAnsi="仿宋_GB2312" w:eastAsia="仿宋_GB2312" w:cs="仿宋_GB2312"/>
                <w:color w:val="000000"/>
                <w:sz w:val="24"/>
                <w:szCs w:val="24"/>
              </w:rPr>
            </w:pP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480" w:hRule="atLeast"/>
          <w:jc w:val="center"/>
        </w:trPr>
        <w:tc>
          <w:tcPr>
            <w:tcW w:w="1441" w:type="dxa"/>
            <w:vMerge w:val="continue"/>
            <w:vAlign w:val="center"/>
          </w:tcPr>
          <w:p>
            <w:pPr>
              <w:spacing w:line="320" w:lineRule="exact"/>
              <w:rPr>
                <w:rFonts w:hint="eastAsia" w:ascii="仿宋_GB2312" w:hAnsi="仿宋_GB2312" w:eastAsia="仿宋_GB2312" w:cs="仿宋_GB2312"/>
                <w:sz w:val="24"/>
                <w:szCs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szCs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社会公众或服务对象满意度</w:t>
            </w:r>
          </w:p>
        </w:tc>
        <w:tc>
          <w:tcPr>
            <w:tcW w:w="3898"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指标1：老干部非常满意还有些老同志写感谢信，送锦旗等方式来表达他们的心意。</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指标2：社会公众对老干部活动中心、老年大学非常满意。</w:t>
            </w:r>
          </w:p>
        </w:tc>
        <w:tc>
          <w:tcPr>
            <w:tcW w:w="1495" w:type="dxa"/>
            <w:gridSpan w:val="3"/>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val="0"/>
                <w:bCs/>
                <w:color w:val="000000"/>
                <w:sz w:val="24"/>
                <w:szCs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97"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绩效自评综合得分</w:t>
            </w:r>
          </w:p>
        </w:tc>
        <w:tc>
          <w:tcPr>
            <w:tcW w:w="6810"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77"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评价等次</w:t>
            </w:r>
          </w:p>
        </w:tc>
        <w:tc>
          <w:tcPr>
            <w:tcW w:w="6810"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5"/>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  名</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职务/职称</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  位</w:t>
            </w: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张中霏</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副部长、</w:t>
            </w:r>
            <w:r>
              <w:rPr>
                <w:rFonts w:hint="eastAsia" w:ascii="仿宋_GB2312" w:hAnsi="仿宋_GB2312" w:eastAsia="仿宋_GB2312" w:cs="仿宋_GB2312"/>
                <w:color w:val="000000"/>
                <w:sz w:val="24"/>
                <w:szCs w:val="24"/>
                <w:lang w:eastAsia="zh-CN"/>
              </w:rPr>
              <w:t>老干部局</w:t>
            </w:r>
            <w:r>
              <w:rPr>
                <w:rFonts w:hint="eastAsia" w:ascii="仿宋_GB2312" w:hAnsi="仿宋_GB2312" w:eastAsia="仿宋_GB2312" w:cs="仿宋_GB2312"/>
                <w:color w:val="000000"/>
                <w:sz w:val="24"/>
                <w:szCs w:val="24"/>
              </w:rPr>
              <w:t>局长、书记</w:t>
            </w:r>
          </w:p>
        </w:tc>
        <w:tc>
          <w:tcPr>
            <w:tcW w:w="1479" w:type="dxa"/>
            <w:vAlign w:val="center"/>
          </w:tcPr>
          <w:p>
            <w:pPr>
              <w:autoSpaceDN w:val="0"/>
              <w:spacing w:line="28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市委组织部</w:t>
            </w:r>
          </w:p>
          <w:p>
            <w:pPr>
              <w:autoSpaceDN w:val="0"/>
              <w:spacing w:line="28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市委老干部局</w:t>
            </w:r>
          </w:p>
          <w:p>
            <w:pPr>
              <w:autoSpaceDN w:val="0"/>
              <w:spacing w:line="280" w:lineRule="exact"/>
              <w:textAlignment w:val="center"/>
              <w:rPr>
                <w:rFonts w:hint="eastAsia" w:ascii="仿宋_GB2312" w:hAnsi="仿宋_GB2312" w:eastAsia="仿宋_GB2312" w:cs="仿宋_GB2312"/>
                <w:color w:val="000000"/>
                <w:kern w:val="2"/>
                <w:sz w:val="24"/>
                <w:szCs w:val="24"/>
                <w:lang w:val="en-US" w:eastAsia="zh-CN" w:bidi="ar-SA"/>
              </w:rPr>
            </w:pP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周</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兰</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老干部局副局长、机关党委书记</w:t>
            </w:r>
          </w:p>
        </w:tc>
        <w:tc>
          <w:tcPr>
            <w:tcW w:w="1479" w:type="dxa"/>
            <w:vAlign w:val="center"/>
          </w:tcPr>
          <w:p>
            <w:pPr>
              <w:autoSpaceDN w:val="0"/>
              <w:spacing w:line="28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市</w:t>
            </w:r>
            <w:r>
              <w:rPr>
                <w:rFonts w:hint="eastAsia" w:ascii="仿宋_GB2312" w:hAnsi="仿宋_GB2312" w:eastAsia="仿宋_GB2312" w:cs="仿宋_GB2312"/>
                <w:color w:val="000000"/>
                <w:sz w:val="24"/>
                <w:szCs w:val="24"/>
              </w:rPr>
              <w:t>委老干部局</w:t>
            </w:r>
          </w:p>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余长庚</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老干部局副</w:t>
            </w:r>
            <w:r>
              <w:rPr>
                <w:rFonts w:hint="eastAsia" w:ascii="仿宋_GB2312" w:hAnsi="仿宋_GB2312" w:eastAsia="仿宋_GB2312" w:cs="仿宋_GB2312"/>
                <w:color w:val="000000"/>
                <w:sz w:val="24"/>
                <w:szCs w:val="24"/>
              </w:rPr>
              <w:t>局长</w:t>
            </w:r>
          </w:p>
        </w:tc>
        <w:tc>
          <w:tcPr>
            <w:tcW w:w="1479" w:type="dxa"/>
            <w:vAlign w:val="center"/>
          </w:tcPr>
          <w:p>
            <w:pPr>
              <w:autoSpaceDN w:val="0"/>
              <w:spacing w:line="28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市</w:t>
            </w:r>
            <w:r>
              <w:rPr>
                <w:rFonts w:hint="eastAsia" w:ascii="仿宋_GB2312" w:hAnsi="仿宋_GB2312" w:eastAsia="仿宋_GB2312" w:cs="仿宋_GB2312"/>
                <w:color w:val="000000"/>
                <w:sz w:val="24"/>
                <w:szCs w:val="24"/>
              </w:rPr>
              <w:t>委老干部局</w:t>
            </w:r>
          </w:p>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龙国旺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办公室主任</w:t>
            </w:r>
          </w:p>
        </w:tc>
        <w:tc>
          <w:tcPr>
            <w:tcW w:w="1479" w:type="dxa"/>
            <w:vAlign w:val="center"/>
          </w:tcPr>
          <w:p>
            <w:pPr>
              <w:autoSpaceDN w:val="0"/>
              <w:spacing w:line="280" w:lineRule="exac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市</w:t>
            </w:r>
            <w:r>
              <w:rPr>
                <w:rFonts w:hint="eastAsia" w:ascii="仿宋_GB2312" w:hAnsi="仿宋_GB2312" w:eastAsia="仿宋_GB2312" w:cs="仿宋_GB2312"/>
                <w:color w:val="000000"/>
                <w:sz w:val="24"/>
                <w:szCs w:val="24"/>
              </w:rPr>
              <w:t>委老干部局</w:t>
            </w:r>
          </w:p>
          <w:p>
            <w:pPr>
              <w:autoSpaceDN w:val="0"/>
              <w:spacing w:line="320" w:lineRule="exact"/>
              <w:jc w:val="center"/>
              <w:textAlignment w:val="center"/>
              <w:rPr>
                <w:rFonts w:hint="eastAsia" w:ascii="仿宋_GB2312" w:hAnsi="仿宋_GB2312" w:eastAsia="仿宋_GB2312" w:cs="仿宋_GB2312"/>
                <w:color w:val="000000"/>
                <w:sz w:val="24"/>
                <w:szCs w:val="24"/>
              </w:rPr>
            </w:pP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魏彩娥</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会计</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市</w:t>
            </w:r>
            <w:r>
              <w:rPr>
                <w:rFonts w:hint="eastAsia" w:ascii="仿宋_GB2312" w:hAnsi="仿宋_GB2312" w:eastAsia="仿宋_GB2312" w:cs="仿宋_GB2312"/>
                <w:color w:val="000000"/>
                <w:sz w:val="24"/>
                <w:szCs w:val="24"/>
              </w:rPr>
              <w:t>委老干部局</w:t>
            </w:r>
          </w:p>
        </w:tc>
        <w:tc>
          <w:tcPr>
            <w:tcW w:w="31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部门（单位）意见：</w:t>
            </w: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5"/>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财政部门归口业务科室意见：</w:t>
            </w: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 xml:space="preserve">                                                                 年    月   日</w:t>
            </w:r>
          </w:p>
        </w:tc>
      </w:tr>
    </w:tbl>
    <w:p>
      <w:pPr>
        <w:rPr>
          <w:rFonts w:eastAsia="仿宋_GB2312" w:cs="仿宋_GB2312"/>
          <w:bCs/>
          <w:sz w:val="28"/>
          <w:szCs w:val="28"/>
        </w:rPr>
      </w:pPr>
      <w:r>
        <w:rPr>
          <w:rFonts w:hint="eastAsia" w:ascii="仿宋_GB2312" w:hAnsi="仿宋_GB2312" w:eastAsia="仿宋_GB2312" w:cs="仿宋_GB2312"/>
          <w:bCs/>
          <w:sz w:val="24"/>
          <w:szCs w:val="24"/>
        </w:rPr>
        <w:t>填报人（签名）：                          联系电话：</w:t>
      </w:r>
    </w:p>
    <w:tbl>
      <w:tblPr>
        <w:tblStyle w:val="7"/>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五、评价报告综述（文字部分）</w:t>
            </w:r>
          </w:p>
          <w:p>
            <w:pPr>
              <w:spacing w:line="440" w:lineRule="exact"/>
              <w:ind w:firstLine="480" w:firstLineChars="200"/>
              <w:rPr>
                <w:rFonts w:hint="eastAsia" w:ascii="仿宋_GB2312" w:hAnsi="仿宋_GB2312" w:eastAsia="仿宋_GB2312" w:cs="仿宋_GB2312"/>
                <w:sz w:val="24"/>
                <w:szCs w:val="24"/>
              </w:rPr>
            </w:pPr>
          </w:p>
          <w:p>
            <w:pPr>
              <w:spacing w:line="56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一、部门（单位）概况</w:t>
            </w:r>
          </w:p>
          <w:p>
            <w:pPr>
              <w:pStyle w:val="6"/>
              <w:shd w:val="clear" w:color="auto" w:fill="FFFFFF"/>
              <w:spacing w:before="0" w:beforeAutospacing="0" w:after="0" w:afterAutospacing="0" w:line="6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（一）</w:t>
            </w:r>
            <w:r>
              <w:rPr>
                <w:rFonts w:hint="eastAsia" w:ascii="仿宋_GB2312" w:hAnsi="仿宋_GB2312" w:eastAsia="仿宋_GB2312" w:cs="仿宋_GB2312"/>
                <w:color w:val="000000"/>
                <w:sz w:val="24"/>
                <w:szCs w:val="24"/>
              </w:rPr>
              <w:t>职能职责 </w:t>
            </w:r>
          </w:p>
          <w:p>
            <w:pPr>
              <w:pStyle w:val="6"/>
              <w:shd w:val="clear" w:color="auto" w:fill="FFFFFF"/>
              <w:spacing w:before="0" w:beforeAutospacing="0" w:after="0" w:afterAutospacing="0" w:line="6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（1）贯彻执行党和政府关于离退休工作的方针、政策和法规，做好离休干部和副市级以上退休干部的服务管理工作；</w:t>
            </w:r>
            <w:r>
              <w:rPr>
                <w:rFonts w:hint="eastAsia" w:ascii="仿宋_GB2312" w:hAnsi="仿宋_GB2312" w:eastAsia="仿宋_GB2312" w:cs="仿宋_GB2312"/>
                <w:color w:val="000000"/>
                <w:sz w:val="24"/>
                <w:szCs w:val="24"/>
                <w:shd w:val="clear" w:color="auto" w:fill="FFFFFF"/>
              </w:rPr>
              <w:t>开展调查研究，</w:t>
            </w:r>
            <w:r>
              <w:rPr>
                <w:rFonts w:hint="eastAsia" w:ascii="仿宋_GB2312" w:hAnsi="仿宋_GB2312" w:eastAsia="仿宋_GB2312" w:cs="仿宋_GB2312"/>
                <w:color w:val="000000"/>
                <w:sz w:val="24"/>
                <w:szCs w:val="24"/>
              </w:rPr>
              <w:t>针对全市离退休干部工作中出现的新情况、新问题，及时提出建</w:t>
            </w:r>
            <w:r>
              <w:rPr>
                <w:rFonts w:hint="eastAsia" w:ascii="仿宋_GB2312" w:hAnsi="仿宋_GB2312" w:eastAsia="仿宋_GB2312" w:cs="仿宋_GB2312"/>
                <w:color w:val="000000"/>
                <w:sz w:val="24"/>
                <w:szCs w:val="24"/>
                <w:lang w:eastAsia="zh-CN"/>
              </w:rPr>
              <w:t>议</w:t>
            </w:r>
            <w:r>
              <w:rPr>
                <w:rFonts w:hint="eastAsia" w:ascii="仿宋_GB2312" w:hAnsi="仿宋_GB2312" w:eastAsia="仿宋_GB2312" w:cs="仿宋_GB2312"/>
                <w:color w:val="000000"/>
                <w:sz w:val="24"/>
                <w:szCs w:val="24"/>
              </w:rPr>
              <w:t>性意见，为市委、市政府</w:t>
            </w:r>
            <w:r>
              <w:rPr>
                <w:rFonts w:hint="eastAsia" w:ascii="仿宋_GB2312" w:hAnsi="仿宋_GB2312" w:eastAsia="仿宋_GB2312" w:cs="仿宋_GB2312"/>
                <w:color w:val="000000"/>
                <w:sz w:val="24"/>
                <w:szCs w:val="24"/>
                <w:shd w:val="clear" w:color="auto" w:fill="FFFFFF"/>
              </w:rPr>
              <w:t>制订有关</w:t>
            </w:r>
            <w:r>
              <w:rPr>
                <w:rFonts w:hint="eastAsia" w:ascii="仿宋_GB2312" w:hAnsi="仿宋_GB2312" w:eastAsia="仿宋_GB2312" w:cs="仿宋_GB2312"/>
                <w:color w:val="000000"/>
                <w:sz w:val="24"/>
                <w:szCs w:val="24"/>
              </w:rPr>
              <w:t>离退休干部</w:t>
            </w:r>
            <w:r>
              <w:rPr>
                <w:rFonts w:hint="eastAsia" w:ascii="仿宋_GB2312" w:hAnsi="仿宋_GB2312" w:eastAsia="仿宋_GB2312" w:cs="仿宋_GB2312"/>
                <w:color w:val="000000"/>
                <w:sz w:val="24"/>
                <w:szCs w:val="24"/>
                <w:shd w:val="clear" w:color="auto" w:fill="FFFFFF"/>
              </w:rPr>
              <w:t>工作政策规定提供情况和依据，</w:t>
            </w:r>
            <w:r>
              <w:rPr>
                <w:rFonts w:hint="eastAsia" w:ascii="仿宋_GB2312" w:hAnsi="仿宋_GB2312" w:eastAsia="仿宋_GB2312" w:cs="仿宋_GB2312"/>
                <w:color w:val="000000"/>
                <w:sz w:val="24"/>
                <w:szCs w:val="24"/>
              </w:rPr>
              <w:t>当好参谋和助手。</w:t>
            </w:r>
          </w:p>
          <w:p>
            <w:pPr>
              <w:pStyle w:val="6"/>
              <w:shd w:val="clear" w:color="auto" w:fill="FFFFFF"/>
              <w:spacing w:before="0" w:beforeAutospacing="0" w:after="0" w:afterAutospacing="0" w:line="6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shd w:val="clear" w:color="auto" w:fill="FFFFFF"/>
              </w:rPr>
              <w:t>负责对全市</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干部工作的督查、指导和协调，</w:t>
            </w:r>
            <w:r>
              <w:rPr>
                <w:rFonts w:hint="eastAsia" w:ascii="仿宋_GB2312" w:hAnsi="仿宋_GB2312" w:eastAsia="仿宋_GB2312" w:cs="仿宋_GB2312"/>
                <w:color w:val="000000"/>
                <w:sz w:val="24"/>
                <w:szCs w:val="24"/>
              </w:rPr>
              <w:t>会同有关部门完善离退休干部离休费、医药费保障机制和财政支持机制，对全市离退休干部的“政治待遇和生活待遇”落实情况进行宏观指导和检查督促。</w:t>
            </w:r>
          </w:p>
          <w:p>
            <w:pPr>
              <w:pStyle w:val="6"/>
              <w:shd w:val="clear" w:color="auto" w:fill="FFFFFF"/>
              <w:spacing w:before="0" w:beforeAutospacing="0" w:after="0" w:afterAutospacing="0" w:line="640" w:lineRule="exact"/>
              <w:ind w:firstLine="64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(3)承担市委离退休干部工作委员会办公室的日常工作，加强和指导全市离退休干部党组织建设，组织和指导全市离退休干部开展活动、发挥作用，并适时总结交流经验；</w:t>
            </w:r>
            <w:r>
              <w:rPr>
                <w:rFonts w:hint="eastAsia" w:ascii="仿宋_GB2312" w:hAnsi="仿宋_GB2312" w:eastAsia="仿宋_GB2312" w:cs="仿宋_GB2312"/>
                <w:color w:val="000000"/>
                <w:sz w:val="24"/>
                <w:szCs w:val="24"/>
                <w:shd w:val="clear" w:color="auto" w:fill="FFFFFF"/>
              </w:rPr>
              <w:t>负责</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干部和</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干部工作的宣传，开展尊老、敬老、爱老活动，依法维护</w:t>
            </w:r>
            <w:r>
              <w:rPr>
                <w:rFonts w:hint="eastAsia" w:ascii="仿宋_GB2312" w:hAnsi="仿宋_GB2312" w:eastAsia="仿宋_GB2312" w:cs="仿宋_GB2312"/>
                <w:color w:val="000000"/>
                <w:sz w:val="24"/>
                <w:szCs w:val="24"/>
              </w:rPr>
              <w:t>离退休</w:t>
            </w:r>
            <w:r>
              <w:rPr>
                <w:rFonts w:hint="eastAsia" w:ascii="仿宋_GB2312" w:hAnsi="仿宋_GB2312" w:eastAsia="仿宋_GB2312" w:cs="仿宋_GB2312"/>
                <w:color w:val="000000"/>
                <w:sz w:val="24"/>
                <w:szCs w:val="24"/>
                <w:shd w:val="clear" w:color="auto" w:fill="FFFFFF"/>
              </w:rPr>
              <w:t>干部的合法权益。</w:t>
            </w:r>
          </w:p>
          <w:p>
            <w:pPr>
              <w:pStyle w:val="6"/>
              <w:shd w:val="clear" w:color="auto" w:fill="FFFFFF"/>
              <w:spacing w:before="0" w:beforeAutospacing="0" w:after="0" w:afterAutospacing="0" w:line="6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(4)承担市老干部工作领导小组办公室和市关心下一代工作委员会办公室的日常工作。</w:t>
            </w:r>
          </w:p>
          <w:p>
            <w:pPr>
              <w:pStyle w:val="6"/>
              <w:shd w:val="clear" w:color="auto" w:fill="FFFFFF"/>
              <w:spacing w:before="0" w:beforeAutospacing="0" w:after="0" w:afterAutospacing="0" w:line="6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(5) </w:t>
            </w:r>
            <w:r>
              <w:rPr>
                <w:rFonts w:hint="eastAsia" w:ascii="仿宋_GB2312" w:hAnsi="仿宋_GB2312" w:eastAsia="仿宋_GB2312" w:cs="仿宋_GB2312"/>
                <w:color w:val="000000"/>
                <w:sz w:val="24"/>
                <w:szCs w:val="24"/>
                <w:shd w:val="clear" w:color="auto" w:fill="FFFFFF"/>
              </w:rPr>
              <w:t>加强老干部的学习教育，</w:t>
            </w:r>
            <w:r>
              <w:rPr>
                <w:rFonts w:hint="eastAsia" w:ascii="仿宋_GB2312" w:hAnsi="仿宋_GB2312" w:eastAsia="仿宋_GB2312" w:cs="仿宋_GB2312"/>
                <w:color w:val="000000"/>
                <w:sz w:val="24"/>
                <w:szCs w:val="24"/>
              </w:rPr>
              <w:t>办好老年（老干部）大学。</w:t>
            </w:r>
          </w:p>
          <w:p>
            <w:pPr>
              <w:pStyle w:val="6"/>
              <w:shd w:val="clear" w:color="auto" w:fill="FFFFFF"/>
              <w:spacing w:before="0" w:beforeAutospacing="0" w:after="0" w:afterAutospacing="0" w:line="6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(6)负责处理老干部的来信来访，做好外省市老干工作部门来岳参观、考察的接待服务工作。</w:t>
            </w:r>
          </w:p>
          <w:p>
            <w:pPr>
              <w:pStyle w:val="6"/>
              <w:shd w:val="clear" w:color="auto" w:fill="FFFFFF"/>
              <w:spacing w:before="0" w:beforeAutospacing="0" w:after="0" w:afterAutospacing="0" w:line="640" w:lineRule="exact"/>
              <w:ind w:firstLine="64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r>
              <w:rPr>
                <w:rFonts w:hint="eastAsia" w:ascii="仿宋_GB2312" w:hAnsi="仿宋_GB2312" w:eastAsia="仿宋_GB2312" w:cs="仿宋_GB2312"/>
                <w:color w:val="000000"/>
                <w:sz w:val="24"/>
                <w:szCs w:val="24"/>
                <w:shd w:val="clear" w:color="auto" w:fill="FFFFFF"/>
              </w:rPr>
              <w:t>负责对所属事业单位的国有资产和财务进行管理和监督</w:t>
            </w:r>
            <w:r>
              <w:rPr>
                <w:rFonts w:hint="eastAsia" w:ascii="仿宋_GB2312" w:hAnsi="仿宋_GB2312" w:eastAsia="仿宋_GB2312" w:cs="仿宋_GB2312"/>
                <w:color w:val="000000"/>
                <w:sz w:val="24"/>
                <w:szCs w:val="24"/>
              </w:rPr>
              <w:t>，改善办公和老干部活动条件，充分发挥</w:t>
            </w:r>
            <w:r>
              <w:rPr>
                <w:rFonts w:hint="eastAsia" w:ascii="仿宋_GB2312" w:hAnsi="仿宋_GB2312" w:eastAsia="仿宋_GB2312" w:cs="仿宋_GB2312"/>
                <w:color w:val="000000"/>
                <w:sz w:val="24"/>
                <w:szCs w:val="24"/>
                <w:shd w:val="clear" w:color="auto" w:fill="FFFFFF"/>
              </w:rPr>
              <w:t>各种场地和设施的作用，发展老干部事业。</w:t>
            </w:r>
          </w:p>
          <w:p>
            <w:pPr>
              <w:pStyle w:val="6"/>
              <w:shd w:val="clear" w:color="auto" w:fill="FFFFFF"/>
              <w:spacing w:before="0" w:beforeAutospacing="0" w:after="0" w:afterAutospacing="0" w:line="6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（8）承办市委、市政府和市组织部交办的其他事项。</w:t>
            </w:r>
          </w:p>
          <w:p>
            <w:pPr>
              <w:pStyle w:val="6"/>
              <w:shd w:val="clear" w:color="auto" w:fill="FFFFFF"/>
              <w:spacing w:before="0" w:beforeAutospacing="0" w:after="0" w:afterAutospacing="0" w:line="640" w:lineRule="exact"/>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（二）</w:t>
            </w:r>
            <w:r>
              <w:rPr>
                <w:rFonts w:hint="eastAsia" w:ascii="仿宋_GB2312" w:hAnsi="仿宋_GB2312" w:eastAsia="仿宋_GB2312" w:cs="仿宋_GB2312"/>
                <w:color w:val="000000"/>
                <w:sz w:val="24"/>
                <w:szCs w:val="24"/>
              </w:rPr>
              <w:t>机构设置</w:t>
            </w:r>
          </w:p>
          <w:p>
            <w:pPr>
              <w:pStyle w:val="6"/>
              <w:shd w:val="clear" w:color="auto" w:fill="FFFFFF"/>
              <w:spacing w:before="0" w:beforeAutospacing="0" w:after="0" w:afterAutospacing="0" w:line="640" w:lineRule="exact"/>
              <w:ind w:firstLine="64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根据市委编办《关于重新明确市委老干部局机构编制事项的通知》（岳编办通〔2018〕51号）核定，我局内设机构6个：办公室、待遇</w:t>
            </w:r>
            <w:r>
              <w:rPr>
                <w:rFonts w:hint="eastAsia" w:ascii="仿宋_GB2312" w:hAnsi="仿宋_GB2312" w:eastAsia="仿宋_GB2312" w:cs="仿宋_GB2312"/>
                <w:color w:val="000000"/>
                <w:sz w:val="24"/>
                <w:szCs w:val="24"/>
                <w:lang w:eastAsia="zh-CN"/>
              </w:rPr>
              <w:t>保障</w:t>
            </w:r>
            <w:r>
              <w:rPr>
                <w:rFonts w:hint="eastAsia" w:ascii="仿宋_GB2312" w:hAnsi="仿宋_GB2312" w:eastAsia="仿宋_GB2312" w:cs="仿宋_GB2312"/>
                <w:color w:val="000000"/>
                <w:sz w:val="24"/>
                <w:szCs w:val="24"/>
              </w:rPr>
              <w:t>科</w:t>
            </w:r>
            <w:r>
              <w:rPr>
                <w:rFonts w:hint="eastAsia" w:ascii="仿宋_GB2312" w:hAnsi="仿宋_GB2312" w:eastAsia="仿宋_GB2312" w:cs="仿宋_GB2312"/>
                <w:color w:val="000000"/>
                <w:sz w:val="24"/>
                <w:szCs w:val="24"/>
                <w:lang w:eastAsia="zh-CN"/>
              </w:rPr>
              <w:t>、政工科、</w:t>
            </w:r>
            <w:r>
              <w:rPr>
                <w:rFonts w:hint="eastAsia" w:ascii="仿宋_GB2312" w:hAnsi="仿宋_GB2312" w:eastAsia="仿宋_GB2312" w:cs="仿宋_GB2312"/>
                <w:color w:val="000000"/>
                <w:sz w:val="24"/>
                <w:szCs w:val="24"/>
              </w:rPr>
              <w:t>市离退休干部工委办公室、机关党委</w:t>
            </w:r>
            <w:r>
              <w:rPr>
                <w:rFonts w:hint="eastAsia" w:ascii="仿宋_GB2312" w:hAnsi="仿宋_GB2312" w:eastAsia="仿宋_GB2312" w:cs="仿宋_GB2312"/>
                <w:color w:val="000000"/>
                <w:sz w:val="24"/>
                <w:szCs w:val="24"/>
                <w:lang w:eastAsia="zh-CN"/>
              </w:rPr>
              <w:t>（机关纪委）</w:t>
            </w:r>
            <w:r>
              <w:rPr>
                <w:rFonts w:hint="eastAsia" w:ascii="仿宋_GB2312" w:hAnsi="仿宋_GB2312" w:eastAsia="仿宋_GB2312" w:cs="仿宋_GB2312"/>
                <w:color w:val="000000"/>
                <w:sz w:val="24"/>
                <w:szCs w:val="24"/>
              </w:rPr>
              <w:t>、市关工委办公室。</w:t>
            </w:r>
          </w:p>
          <w:p>
            <w:pPr>
              <w:spacing w:line="5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（三）部门（单位）整体支出规模、使用方向和主要内容、涉及范围等</w:t>
            </w:r>
          </w:p>
          <w:p>
            <w:pPr>
              <w:autoSpaceDN w:val="0"/>
              <w:spacing w:before="100" w:beforeAutospacing="1"/>
              <w:ind w:firstLine="480" w:firstLineChars="20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1.落实离退休干部生活待遇，开展走访看望、慰问、吊唁活动。</w:t>
            </w:r>
          </w:p>
          <w:p>
            <w:pPr>
              <w:autoSpaceDN w:val="0"/>
              <w:ind w:firstLine="480" w:firstLineChars="20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2.帮扶市本级特困离退休干部及困难遗孀。3.办好老年大学。</w:t>
            </w:r>
          </w:p>
          <w:p>
            <w:pPr>
              <w:autoSpaceDN w:val="0"/>
              <w:ind w:firstLine="480" w:firstLineChars="20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4.指导县市区利用社区资源为离休干部服务。</w:t>
            </w:r>
          </w:p>
          <w:p>
            <w:pPr>
              <w:spacing w:line="56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color w:val="000000"/>
                <w:sz w:val="24"/>
                <w:szCs w:val="24"/>
              </w:rPr>
              <w:t>5.协调组织市关工委、市老年协会组织开展活动，落实离退休干部政治待遇，举办离退休干部党支部书记、网宣员培训班等。组织离退休干部开展参观考察和门球、书画展、钓鱼、文艺汇演等文体活动。</w:t>
            </w:r>
          </w:p>
          <w:p>
            <w:pPr>
              <w:spacing w:line="56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二、部门（单位）整体支出管理及使用情况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1、年初总收支预算情况</w:t>
            </w:r>
          </w:p>
          <w:p>
            <w:pPr>
              <w:spacing w:line="56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555555"/>
                <w:kern w:val="0"/>
                <w:sz w:val="24"/>
                <w:szCs w:val="24"/>
              </w:rPr>
              <w:t>根据财政部门预算批复，我局的年度部门收支预算情况如下：</w:t>
            </w:r>
          </w:p>
          <w:p>
            <w:pPr>
              <w:spacing w:line="560" w:lineRule="exact"/>
              <w:ind w:firstLine="480" w:firstLineChars="200"/>
              <w:rPr>
                <w:rFonts w:hint="eastAsia" w:ascii="仿宋_GB2312" w:hAnsi="仿宋_GB2312" w:eastAsia="仿宋_GB2312" w:cs="仿宋_GB2312"/>
                <w:bCs/>
                <w:sz w:val="24"/>
                <w:szCs w:val="24"/>
              </w:rPr>
            </w:pPr>
          </w:p>
          <w:tbl>
            <w:tblPr>
              <w:tblStyle w:val="7"/>
              <w:tblW w:w="10400" w:type="dxa"/>
              <w:tblInd w:w="113" w:type="dxa"/>
              <w:tblLayout w:type="fixed"/>
              <w:tblCellMar>
                <w:top w:w="15" w:type="dxa"/>
                <w:left w:w="15" w:type="dxa"/>
                <w:bottom w:w="15" w:type="dxa"/>
                <w:right w:w="15" w:type="dxa"/>
              </w:tblCellMar>
            </w:tblPr>
            <w:tblGrid>
              <w:gridCol w:w="4016"/>
              <w:gridCol w:w="2850"/>
              <w:gridCol w:w="3534"/>
            </w:tblGrid>
            <w:tr>
              <w:tblPrEx>
                <w:tblLayout w:type="fixed"/>
                <w:tblCellMar>
                  <w:top w:w="15" w:type="dxa"/>
                  <w:left w:w="15" w:type="dxa"/>
                  <w:bottom w:w="15" w:type="dxa"/>
                  <w:right w:w="15" w:type="dxa"/>
                </w:tblCellMar>
              </w:tblPrEx>
              <w:trPr>
                <w:trHeight w:val="390" w:hRule="atLeast"/>
              </w:trPr>
              <w:tc>
                <w:tcPr>
                  <w:tcW w:w="4016" w:type="dxa"/>
                  <w:tcBorders>
                    <w:top w:val="single" w:color="000000" w:sz="8" w:space="0"/>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shd w:val="clear" w:color="auto" w:fill="C0C0C0"/>
                    </w:rPr>
                    <w:t>预算项目</w:t>
                  </w:r>
                </w:p>
              </w:tc>
              <w:tc>
                <w:tcPr>
                  <w:tcW w:w="2850" w:type="dxa"/>
                  <w:tcBorders>
                    <w:top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shd w:val="clear" w:color="auto" w:fill="C0C0C0"/>
                    </w:rPr>
                    <w:t> 合计</w:t>
                  </w:r>
                </w:p>
              </w:tc>
              <w:tc>
                <w:tcPr>
                  <w:tcW w:w="3534" w:type="dxa"/>
                  <w:tcBorders>
                    <w:top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shd w:val="clear" w:color="auto" w:fill="C0C0C0"/>
                    </w:rPr>
                    <w:t> 老干部局</w:t>
                  </w:r>
                </w:p>
              </w:tc>
            </w:tr>
            <w:tr>
              <w:tblPrEx>
                <w:tblLayout w:type="fixed"/>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财政拨款</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rPr>
                    <w:t>583.10</w:t>
                  </w:r>
                </w:p>
              </w:tc>
            </w:tr>
            <w:tr>
              <w:tblPrEx>
                <w:tblLayout w:type="fixed"/>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其中：财政经费拨款</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508.60</w:t>
                  </w:r>
                </w:p>
              </w:tc>
            </w:tr>
            <w:tr>
              <w:tblPrEx>
                <w:tblLayout w:type="fixed"/>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纳入一般公共预算管理的非税收入拨款</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74.50</w:t>
                  </w:r>
                </w:p>
              </w:tc>
            </w:tr>
            <w:tr>
              <w:tblPrEx>
                <w:tblLayout w:type="fixed"/>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shd w:val="clear" w:color="auto" w:fill="C0C0C0"/>
                    </w:rPr>
                    <w:t>收入预算合计</w:t>
                  </w:r>
                </w:p>
              </w:tc>
              <w:tc>
                <w:tcPr>
                  <w:tcW w:w="2850" w:type="dxa"/>
                  <w:tcBorders>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p>
              </w:tc>
              <w:tc>
                <w:tcPr>
                  <w:tcW w:w="3534" w:type="dxa"/>
                  <w:tcBorders>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583.10</w:t>
                  </w:r>
                </w:p>
              </w:tc>
            </w:tr>
            <w:tr>
              <w:tblPrEx>
                <w:tblLayout w:type="fixed"/>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基本支出</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296.60</w:t>
                  </w: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296.60</w:t>
                  </w:r>
                </w:p>
              </w:tc>
            </w:tr>
            <w:tr>
              <w:tblPrEx>
                <w:tblLayout w:type="fixed"/>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其中：财政拨款支出</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296.60</w:t>
                  </w: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296.60</w:t>
                  </w:r>
                </w:p>
              </w:tc>
            </w:tr>
            <w:tr>
              <w:tblPrEx>
                <w:tblLayout w:type="fixed"/>
                <w:tblCellMar>
                  <w:top w:w="15" w:type="dxa"/>
                  <w:left w:w="15" w:type="dxa"/>
                  <w:bottom w:w="15" w:type="dxa"/>
                  <w:right w:w="15" w:type="dxa"/>
                </w:tblCellMar>
              </w:tblPrEx>
              <w:trPr>
                <w:trHeight w:val="55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项目支出</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286.50</w:t>
                  </w: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286.50</w:t>
                  </w:r>
                </w:p>
              </w:tc>
            </w:tr>
            <w:tr>
              <w:tblPrEx>
                <w:tblLayout w:type="fixed"/>
                <w:tblCellMar>
                  <w:top w:w="15" w:type="dxa"/>
                  <w:left w:w="15" w:type="dxa"/>
                  <w:bottom w:w="15" w:type="dxa"/>
                  <w:right w:w="15" w:type="dxa"/>
                </w:tblCellMar>
              </w:tblPrEx>
              <w:trPr>
                <w:trHeight w:val="390" w:hRule="atLeast"/>
              </w:trPr>
              <w:tc>
                <w:tcPr>
                  <w:tcW w:w="4016" w:type="dxa"/>
                  <w:tcBorders>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其中：财政拨款支出</w:t>
                  </w:r>
                </w:p>
              </w:tc>
              <w:tc>
                <w:tcPr>
                  <w:tcW w:w="2850"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286.50</w:t>
                  </w:r>
                </w:p>
              </w:tc>
              <w:tc>
                <w:tcPr>
                  <w:tcW w:w="3534" w:type="dxa"/>
                  <w:tcBorders>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286.50</w:t>
                  </w:r>
                </w:p>
              </w:tc>
            </w:tr>
          </w:tbl>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从年初预算批复情况来看：</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我局部门收入预算</w:t>
            </w:r>
            <w:r>
              <w:rPr>
                <w:rFonts w:hint="eastAsia" w:ascii="仿宋_GB2312" w:hAnsi="仿宋_GB2312" w:eastAsia="仿宋_GB2312" w:cs="仿宋_GB2312"/>
                <w:color w:val="555555"/>
                <w:kern w:val="0"/>
                <w:sz w:val="24"/>
                <w:szCs w:val="24"/>
                <w:lang w:val="en-US" w:eastAsia="zh-CN"/>
              </w:rPr>
              <w:t>583.10</w:t>
            </w:r>
            <w:r>
              <w:rPr>
                <w:rFonts w:hint="eastAsia" w:ascii="仿宋_GB2312" w:hAnsi="仿宋_GB2312" w:eastAsia="仿宋_GB2312" w:cs="仿宋_GB2312"/>
                <w:color w:val="555555"/>
                <w:kern w:val="0"/>
                <w:sz w:val="24"/>
                <w:szCs w:val="24"/>
              </w:rPr>
              <w:t>万元（全部为财政拨款）。</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支出预算中基本支出</w:t>
            </w:r>
            <w:r>
              <w:rPr>
                <w:rFonts w:hint="eastAsia" w:ascii="仿宋_GB2312" w:hAnsi="仿宋_GB2312" w:eastAsia="仿宋_GB2312" w:cs="仿宋_GB2312"/>
                <w:color w:val="555555"/>
                <w:kern w:val="0"/>
                <w:sz w:val="24"/>
                <w:szCs w:val="24"/>
                <w:lang w:val="en-US" w:eastAsia="zh-CN"/>
              </w:rPr>
              <w:t>296.60</w:t>
            </w:r>
            <w:r>
              <w:rPr>
                <w:rFonts w:hint="eastAsia" w:ascii="仿宋_GB2312" w:hAnsi="仿宋_GB2312" w:eastAsia="仿宋_GB2312" w:cs="仿宋_GB2312"/>
                <w:color w:val="555555"/>
                <w:kern w:val="0"/>
                <w:sz w:val="24"/>
                <w:szCs w:val="24"/>
              </w:rPr>
              <w:t>万元，占支出预算总额的</w:t>
            </w:r>
            <w:r>
              <w:rPr>
                <w:rFonts w:hint="eastAsia" w:ascii="仿宋_GB2312" w:hAnsi="仿宋_GB2312" w:eastAsia="仿宋_GB2312" w:cs="仿宋_GB2312"/>
                <w:color w:val="555555"/>
                <w:kern w:val="0"/>
                <w:sz w:val="24"/>
                <w:szCs w:val="24"/>
                <w:lang w:val="en-US" w:eastAsia="zh-CN"/>
              </w:rPr>
              <w:t>50.86</w:t>
            </w:r>
            <w:r>
              <w:rPr>
                <w:rFonts w:hint="eastAsia" w:ascii="仿宋_GB2312" w:hAnsi="仿宋_GB2312" w:eastAsia="仿宋_GB2312" w:cs="仿宋_GB2312"/>
                <w:color w:val="555555"/>
                <w:kern w:val="0"/>
                <w:sz w:val="24"/>
                <w:szCs w:val="24"/>
              </w:rPr>
              <w:t>%，项目支出</w:t>
            </w:r>
            <w:r>
              <w:rPr>
                <w:rFonts w:hint="eastAsia" w:ascii="仿宋_GB2312" w:hAnsi="仿宋_GB2312" w:eastAsia="仿宋_GB2312" w:cs="仿宋_GB2312"/>
                <w:color w:val="555555"/>
                <w:kern w:val="0"/>
                <w:sz w:val="24"/>
                <w:szCs w:val="24"/>
                <w:lang w:val="en-US" w:eastAsia="zh-CN"/>
              </w:rPr>
              <w:t>286.50</w:t>
            </w:r>
            <w:r>
              <w:rPr>
                <w:rFonts w:hint="eastAsia" w:ascii="仿宋_GB2312" w:hAnsi="仿宋_GB2312" w:eastAsia="仿宋_GB2312" w:cs="仿宋_GB2312"/>
                <w:color w:val="555555"/>
                <w:kern w:val="0"/>
                <w:sz w:val="24"/>
                <w:szCs w:val="24"/>
              </w:rPr>
              <w:t>万元，占支出预算的</w:t>
            </w:r>
            <w:r>
              <w:rPr>
                <w:rFonts w:hint="eastAsia" w:ascii="仿宋_GB2312" w:hAnsi="仿宋_GB2312" w:eastAsia="仿宋_GB2312" w:cs="仿宋_GB2312"/>
                <w:color w:val="555555"/>
                <w:kern w:val="0"/>
                <w:sz w:val="24"/>
                <w:szCs w:val="24"/>
                <w:lang w:val="en-US" w:eastAsia="zh-CN"/>
              </w:rPr>
              <w:t>49.13</w:t>
            </w:r>
            <w:r>
              <w:rPr>
                <w:rFonts w:hint="eastAsia" w:ascii="仿宋_GB2312" w:hAnsi="仿宋_GB2312" w:eastAsia="仿宋_GB2312" w:cs="仿宋_GB2312"/>
                <w:color w:val="555555"/>
                <w:kern w:val="0"/>
                <w:sz w:val="24"/>
                <w:szCs w:val="24"/>
              </w:rPr>
              <w:t>%。</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2、整体支出使用范围、方向和内容</w:t>
            </w:r>
          </w:p>
          <w:p>
            <w:pPr>
              <w:widowControl/>
              <w:spacing w:line="520" w:lineRule="atLeast"/>
              <w:ind w:firstLine="470"/>
              <w:jc w:val="left"/>
              <w:rPr>
                <w:rFonts w:hint="eastAsia" w:ascii="仿宋_GB2312" w:hAnsi="仿宋_GB2312" w:eastAsia="仿宋_GB2312" w:cs="仿宋_GB2312"/>
                <w:color w:val="555555"/>
                <w:kern w:val="0"/>
                <w:sz w:val="24"/>
                <w:szCs w:val="24"/>
                <w:lang w:val="en-US" w:eastAsia="zh-CN"/>
              </w:rPr>
            </w:pPr>
            <w:r>
              <w:rPr>
                <w:rFonts w:hint="eastAsia" w:ascii="仿宋_GB2312" w:hAnsi="仿宋_GB2312" w:eastAsia="仿宋_GB2312" w:cs="仿宋_GB2312"/>
                <w:color w:val="555555"/>
                <w:kern w:val="0"/>
                <w:sz w:val="24"/>
                <w:szCs w:val="24"/>
              </w:rPr>
              <w:t>20</w:t>
            </w:r>
            <w:r>
              <w:rPr>
                <w:rFonts w:hint="eastAsia" w:ascii="仿宋_GB2312" w:hAnsi="仿宋_GB2312" w:eastAsia="仿宋_GB2312" w:cs="仿宋_GB2312"/>
                <w:color w:val="555555"/>
                <w:kern w:val="0"/>
                <w:sz w:val="24"/>
                <w:szCs w:val="24"/>
                <w:lang w:val="en-US" w:eastAsia="zh-CN"/>
              </w:rPr>
              <w:t>21</w:t>
            </w:r>
            <w:r>
              <w:rPr>
                <w:rFonts w:hint="eastAsia" w:ascii="仿宋_GB2312" w:hAnsi="仿宋_GB2312" w:eastAsia="仿宋_GB2312" w:cs="仿宋_GB2312"/>
                <w:color w:val="555555"/>
                <w:kern w:val="0"/>
                <w:sz w:val="24"/>
                <w:szCs w:val="24"/>
              </w:rPr>
              <w:t>年度年初部门预算支出</w:t>
            </w:r>
            <w:r>
              <w:rPr>
                <w:rFonts w:hint="eastAsia" w:ascii="仿宋_GB2312" w:hAnsi="仿宋_GB2312" w:eastAsia="仿宋_GB2312" w:cs="仿宋_GB2312"/>
                <w:color w:val="555555"/>
                <w:kern w:val="0"/>
                <w:sz w:val="24"/>
                <w:szCs w:val="24"/>
                <w:lang w:val="en-US" w:eastAsia="zh-CN"/>
              </w:rPr>
              <w:t>583.10</w:t>
            </w:r>
            <w:r>
              <w:rPr>
                <w:rFonts w:hint="eastAsia" w:ascii="仿宋_GB2312" w:hAnsi="仿宋_GB2312" w:eastAsia="仿宋_GB2312" w:cs="仿宋_GB2312"/>
                <w:color w:val="555555"/>
                <w:kern w:val="0"/>
                <w:sz w:val="24"/>
                <w:szCs w:val="24"/>
              </w:rPr>
              <w:t>万元，其中基本支出</w:t>
            </w:r>
            <w:r>
              <w:rPr>
                <w:rFonts w:hint="eastAsia" w:ascii="仿宋_GB2312" w:hAnsi="仿宋_GB2312" w:eastAsia="仿宋_GB2312" w:cs="仿宋_GB2312"/>
                <w:color w:val="555555"/>
                <w:kern w:val="0"/>
                <w:sz w:val="24"/>
                <w:szCs w:val="24"/>
                <w:lang w:val="en-US" w:eastAsia="zh-CN"/>
              </w:rPr>
              <w:t>296.60</w:t>
            </w:r>
            <w:r>
              <w:rPr>
                <w:rFonts w:hint="eastAsia" w:ascii="仿宋_GB2312" w:hAnsi="仿宋_GB2312" w:eastAsia="仿宋_GB2312" w:cs="仿宋_GB2312"/>
                <w:color w:val="555555"/>
                <w:kern w:val="0"/>
                <w:sz w:val="24"/>
                <w:szCs w:val="24"/>
              </w:rPr>
              <w:t>万元，使用内容为人员经费和日常公用经费；项目支出</w:t>
            </w:r>
            <w:r>
              <w:rPr>
                <w:rFonts w:hint="eastAsia" w:ascii="仿宋_GB2312" w:hAnsi="仿宋_GB2312" w:eastAsia="仿宋_GB2312" w:cs="仿宋_GB2312"/>
                <w:color w:val="555555"/>
                <w:kern w:val="0"/>
                <w:sz w:val="24"/>
                <w:szCs w:val="24"/>
                <w:lang w:val="en-US" w:eastAsia="zh-CN"/>
              </w:rPr>
              <w:t>286.50</w:t>
            </w:r>
            <w:r>
              <w:rPr>
                <w:rFonts w:hint="eastAsia" w:ascii="仿宋_GB2312" w:hAnsi="仿宋_GB2312" w:eastAsia="仿宋_GB2312" w:cs="仿宋_GB2312"/>
                <w:color w:val="555555"/>
                <w:kern w:val="0"/>
                <w:sz w:val="24"/>
                <w:szCs w:val="24"/>
              </w:rPr>
              <w:t>万元，使用内容为：局机关老年教育老干部大学经费42.75万元，老干部活动经费</w:t>
            </w:r>
            <w:r>
              <w:rPr>
                <w:rFonts w:hint="eastAsia" w:ascii="仿宋_GB2312" w:hAnsi="仿宋_GB2312" w:eastAsia="仿宋_GB2312" w:cs="仿宋_GB2312"/>
                <w:color w:val="555555"/>
                <w:kern w:val="0"/>
                <w:sz w:val="24"/>
                <w:szCs w:val="24"/>
                <w:lang w:val="en-US" w:eastAsia="zh-CN"/>
              </w:rPr>
              <w:t>50</w:t>
            </w:r>
            <w:r>
              <w:rPr>
                <w:rFonts w:hint="eastAsia" w:ascii="仿宋_GB2312" w:hAnsi="仿宋_GB2312" w:eastAsia="仿宋_GB2312" w:cs="仿宋_GB2312"/>
                <w:color w:val="555555"/>
                <w:kern w:val="0"/>
                <w:sz w:val="24"/>
                <w:szCs w:val="24"/>
              </w:rPr>
              <w:t>万元、“四就近”工作经费</w:t>
            </w:r>
            <w:r>
              <w:rPr>
                <w:rFonts w:hint="eastAsia" w:ascii="仿宋_GB2312" w:hAnsi="仿宋_GB2312" w:eastAsia="仿宋_GB2312" w:cs="仿宋_GB2312"/>
                <w:color w:val="555555"/>
                <w:kern w:val="0"/>
                <w:sz w:val="24"/>
                <w:szCs w:val="24"/>
                <w:lang w:val="en-US" w:eastAsia="zh-CN"/>
              </w:rPr>
              <w:t>9.82</w:t>
            </w:r>
            <w:r>
              <w:rPr>
                <w:rFonts w:hint="eastAsia" w:ascii="仿宋_GB2312" w:hAnsi="仿宋_GB2312" w:eastAsia="仿宋_GB2312" w:cs="仿宋_GB2312"/>
                <w:color w:val="555555"/>
                <w:kern w:val="0"/>
                <w:sz w:val="24"/>
                <w:szCs w:val="24"/>
              </w:rPr>
              <w:t>万元、帮困资金</w:t>
            </w:r>
            <w:r>
              <w:rPr>
                <w:rFonts w:hint="eastAsia" w:ascii="仿宋_GB2312" w:hAnsi="仿宋_GB2312" w:eastAsia="仿宋_GB2312" w:cs="仿宋_GB2312"/>
                <w:color w:val="555555"/>
                <w:kern w:val="0"/>
                <w:sz w:val="24"/>
                <w:szCs w:val="24"/>
                <w:lang w:val="en-US" w:eastAsia="zh-CN"/>
              </w:rPr>
              <w:t>14.63</w:t>
            </w:r>
            <w:r>
              <w:rPr>
                <w:rFonts w:hint="eastAsia" w:ascii="仿宋_GB2312" w:hAnsi="仿宋_GB2312" w:eastAsia="仿宋_GB2312" w:cs="仿宋_GB2312"/>
                <w:color w:val="555555"/>
                <w:kern w:val="0"/>
                <w:sz w:val="24"/>
                <w:szCs w:val="24"/>
              </w:rPr>
              <w:t>万元、离退休党建网宣工作经费</w:t>
            </w:r>
            <w:r>
              <w:rPr>
                <w:rFonts w:hint="eastAsia" w:ascii="仿宋_GB2312" w:hAnsi="仿宋_GB2312" w:eastAsia="仿宋_GB2312" w:cs="仿宋_GB2312"/>
                <w:color w:val="555555"/>
                <w:kern w:val="0"/>
                <w:sz w:val="24"/>
                <w:szCs w:val="24"/>
                <w:lang w:val="en-US" w:eastAsia="zh-CN"/>
              </w:rPr>
              <w:t>19.80</w:t>
            </w:r>
            <w:r>
              <w:rPr>
                <w:rFonts w:hint="eastAsia" w:ascii="仿宋_GB2312" w:hAnsi="仿宋_GB2312" w:eastAsia="仿宋_GB2312" w:cs="仿宋_GB2312"/>
                <w:color w:val="555555"/>
                <w:kern w:val="0"/>
                <w:sz w:val="24"/>
                <w:szCs w:val="24"/>
              </w:rPr>
              <w:t>万元、金秋艺术团工作经费</w:t>
            </w:r>
            <w:r>
              <w:rPr>
                <w:rFonts w:hint="eastAsia" w:ascii="仿宋_GB2312" w:hAnsi="仿宋_GB2312" w:eastAsia="仿宋_GB2312" w:cs="仿宋_GB2312"/>
                <w:color w:val="555555"/>
                <w:kern w:val="0"/>
                <w:sz w:val="24"/>
                <w:szCs w:val="24"/>
                <w:lang w:val="en-US" w:eastAsia="zh-CN"/>
              </w:rPr>
              <w:t>5</w:t>
            </w:r>
            <w:r>
              <w:rPr>
                <w:rFonts w:hint="eastAsia" w:ascii="仿宋_GB2312" w:hAnsi="仿宋_GB2312" w:eastAsia="仿宋_GB2312" w:cs="仿宋_GB2312"/>
                <w:color w:val="555555"/>
                <w:kern w:val="0"/>
                <w:sz w:val="24"/>
                <w:szCs w:val="24"/>
              </w:rPr>
              <w:t>万元、非税征收成本</w:t>
            </w:r>
            <w:r>
              <w:rPr>
                <w:rFonts w:hint="eastAsia" w:ascii="仿宋_GB2312" w:hAnsi="仿宋_GB2312" w:eastAsia="仿宋_GB2312" w:cs="仿宋_GB2312"/>
                <w:color w:val="555555"/>
                <w:kern w:val="0"/>
                <w:sz w:val="24"/>
                <w:szCs w:val="24"/>
                <w:lang w:val="en-US" w:eastAsia="zh-CN"/>
              </w:rPr>
              <w:t>74.50</w:t>
            </w:r>
            <w:r>
              <w:rPr>
                <w:rFonts w:hint="eastAsia" w:ascii="仿宋_GB2312" w:hAnsi="仿宋_GB2312" w:eastAsia="仿宋_GB2312" w:cs="仿宋_GB2312"/>
                <w:color w:val="555555"/>
                <w:kern w:val="0"/>
                <w:sz w:val="24"/>
                <w:szCs w:val="24"/>
              </w:rPr>
              <w:t>万元、关工委工作经费</w:t>
            </w:r>
            <w:r>
              <w:rPr>
                <w:rFonts w:hint="eastAsia" w:ascii="仿宋_GB2312" w:hAnsi="仿宋_GB2312" w:eastAsia="仿宋_GB2312" w:cs="仿宋_GB2312"/>
                <w:color w:val="555555"/>
                <w:kern w:val="0"/>
                <w:sz w:val="24"/>
                <w:szCs w:val="24"/>
                <w:lang w:val="en-US" w:eastAsia="zh-CN"/>
              </w:rPr>
              <w:t>50</w:t>
            </w:r>
            <w:r>
              <w:rPr>
                <w:rFonts w:hint="eastAsia" w:ascii="仿宋_GB2312" w:hAnsi="仿宋_GB2312" w:eastAsia="仿宋_GB2312" w:cs="仿宋_GB2312"/>
                <w:color w:val="555555"/>
                <w:kern w:val="0"/>
                <w:sz w:val="24"/>
                <w:szCs w:val="24"/>
              </w:rPr>
              <w:t>万元、保健协会工作经费</w:t>
            </w:r>
            <w:r>
              <w:rPr>
                <w:rFonts w:hint="eastAsia" w:ascii="仿宋_GB2312" w:hAnsi="仿宋_GB2312" w:eastAsia="仿宋_GB2312" w:cs="仿宋_GB2312"/>
                <w:color w:val="555555"/>
                <w:kern w:val="0"/>
                <w:sz w:val="24"/>
                <w:szCs w:val="24"/>
                <w:lang w:val="en-US" w:eastAsia="zh-CN"/>
              </w:rPr>
              <w:t>20</w:t>
            </w:r>
            <w:r>
              <w:rPr>
                <w:rFonts w:hint="eastAsia" w:ascii="仿宋_GB2312" w:hAnsi="仿宋_GB2312" w:eastAsia="仿宋_GB2312" w:cs="仿宋_GB2312"/>
                <w:color w:val="555555"/>
                <w:kern w:val="0"/>
                <w:sz w:val="24"/>
                <w:szCs w:val="24"/>
              </w:rPr>
              <w:t>万元</w:t>
            </w:r>
            <w:r>
              <w:rPr>
                <w:rFonts w:hint="eastAsia" w:ascii="仿宋_GB2312" w:hAnsi="仿宋_GB2312" w:eastAsia="仿宋_GB2312" w:cs="仿宋_GB2312"/>
                <w:color w:val="555555"/>
                <w:kern w:val="0"/>
                <w:sz w:val="24"/>
                <w:szCs w:val="24"/>
                <w:lang w:eastAsia="zh-CN"/>
              </w:rPr>
              <w:t>。</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（二）年度总预算收支决算及财政预算收支决算情况</w:t>
            </w:r>
          </w:p>
          <w:p>
            <w:pPr>
              <w:pStyle w:val="18"/>
              <w:widowControl/>
              <w:numPr>
                <w:ilvl w:val="0"/>
                <w:numId w:val="4"/>
              </w:numPr>
              <w:spacing w:line="520" w:lineRule="atLeast"/>
              <w:ind w:firstLineChars="0"/>
              <w:jc w:val="left"/>
              <w:rPr>
                <w:rFonts w:hint="eastAsia" w:ascii="仿宋_GB2312" w:hAnsi="仿宋_GB2312" w:eastAsia="仿宋_GB2312" w:cs="仿宋_GB2312"/>
                <w:b/>
                <w:bCs/>
                <w:color w:val="555555"/>
                <w:kern w:val="0"/>
                <w:sz w:val="24"/>
                <w:szCs w:val="24"/>
              </w:rPr>
            </w:pPr>
            <w:r>
              <w:rPr>
                <w:rFonts w:hint="eastAsia" w:ascii="仿宋_GB2312" w:hAnsi="仿宋_GB2312" w:eastAsia="仿宋_GB2312" w:cs="仿宋_GB2312"/>
                <w:b/>
                <w:bCs/>
                <w:color w:val="555555"/>
                <w:kern w:val="0"/>
                <w:sz w:val="24"/>
                <w:szCs w:val="24"/>
              </w:rPr>
              <w:t>年度预算收入决算情况</w:t>
            </w:r>
          </w:p>
          <w:p>
            <w:pPr>
              <w:widowControl/>
              <w:spacing w:line="520" w:lineRule="atLeast"/>
              <w:jc w:val="left"/>
              <w:rPr>
                <w:rFonts w:hint="eastAsia" w:ascii="仿宋_GB2312" w:hAnsi="仿宋_GB2312" w:eastAsia="仿宋_GB2312" w:cs="仿宋_GB2312"/>
                <w:color w:val="555555"/>
                <w:kern w:val="0"/>
                <w:sz w:val="24"/>
                <w:szCs w:val="24"/>
              </w:rPr>
            </w:pPr>
          </w:p>
          <w:p>
            <w:pPr>
              <w:widowControl/>
              <w:spacing w:line="520" w:lineRule="atLeast"/>
              <w:jc w:val="left"/>
              <w:rPr>
                <w:rFonts w:hint="eastAsia" w:ascii="仿宋_GB2312" w:hAnsi="仿宋_GB2312" w:eastAsia="仿宋_GB2312" w:cs="仿宋_GB2312"/>
                <w:color w:val="555555"/>
                <w:kern w:val="0"/>
                <w:sz w:val="24"/>
                <w:szCs w:val="24"/>
              </w:rPr>
            </w:pPr>
          </w:p>
          <w:p>
            <w:pPr>
              <w:spacing w:line="560" w:lineRule="exact"/>
              <w:ind w:firstLine="480" w:firstLineChars="200"/>
              <w:rPr>
                <w:rFonts w:hint="eastAsia" w:ascii="仿宋_GB2312" w:hAnsi="仿宋_GB2312" w:eastAsia="仿宋_GB2312" w:cs="仿宋_GB2312"/>
                <w:color w:val="555555"/>
                <w:kern w:val="0"/>
                <w:sz w:val="24"/>
                <w:szCs w:val="24"/>
              </w:rPr>
            </w:pPr>
          </w:p>
          <w:tbl>
            <w:tblPr>
              <w:tblStyle w:val="7"/>
              <w:tblW w:w="10098" w:type="dxa"/>
              <w:tblInd w:w="108" w:type="dxa"/>
              <w:tblLayout w:type="fixed"/>
              <w:tblCellMar>
                <w:top w:w="15" w:type="dxa"/>
                <w:left w:w="15" w:type="dxa"/>
                <w:bottom w:w="15" w:type="dxa"/>
                <w:right w:w="15" w:type="dxa"/>
              </w:tblCellMar>
            </w:tblPr>
            <w:tblGrid>
              <w:gridCol w:w="51"/>
              <w:gridCol w:w="1989"/>
              <w:gridCol w:w="1642"/>
              <w:gridCol w:w="1499"/>
              <w:gridCol w:w="1831"/>
              <w:gridCol w:w="1356"/>
              <w:gridCol w:w="1680"/>
              <w:gridCol w:w="50"/>
            </w:tblGrid>
            <w:tr>
              <w:tblPrEx>
                <w:tblLayout w:type="fixed"/>
                <w:tblCellMar>
                  <w:top w:w="15" w:type="dxa"/>
                  <w:left w:w="15" w:type="dxa"/>
                  <w:bottom w:w="15" w:type="dxa"/>
                  <w:right w:w="15" w:type="dxa"/>
                </w:tblCellMar>
              </w:tblPrEx>
              <w:trPr>
                <w:trHeight w:val="420" w:hRule="atLeast"/>
              </w:trPr>
              <w:tc>
                <w:tcPr>
                  <w:tcW w:w="10048" w:type="dxa"/>
                  <w:gridSpan w:val="7"/>
                  <w:tcMar>
                    <w:top w:w="0" w:type="dxa"/>
                    <w:left w:w="15" w:type="dxa"/>
                    <w:bottom w:w="0" w:type="dxa"/>
                    <w:right w:w="15" w:type="dxa"/>
                  </w:tcMar>
                  <w:vAlign w:val="center"/>
                </w:tcPr>
                <w:p>
                  <w:pPr>
                    <w:widowControl/>
                    <w:spacing w:line="400" w:lineRule="atLeast"/>
                    <w:ind w:firstLine="3120" w:firstLineChars="130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财政拨款收入决算情况</w:t>
                  </w:r>
                </w:p>
              </w:tc>
              <w:tc>
                <w:tcPr>
                  <w:tcW w:w="50" w:type="dxa"/>
                  <w:vAlign w:val="center"/>
                </w:tcPr>
                <w:p>
                  <w:pPr>
                    <w:widowControl/>
                    <w:jc w:val="left"/>
                    <w:rPr>
                      <w:rFonts w:hint="eastAsia" w:ascii="仿宋_GB2312" w:hAnsi="仿宋_GB2312" w:eastAsia="仿宋_GB2312" w:cs="仿宋_GB2312"/>
                      <w:kern w:val="0"/>
                      <w:sz w:val="24"/>
                      <w:szCs w:val="24"/>
                    </w:rPr>
                  </w:pPr>
                </w:p>
              </w:tc>
            </w:tr>
            <w:tr>
              <w:tblPrEx>
                <w:tblLayout w:type="fixed"/>
                <w:tblCellMar>
                  <w:top w:w="15" w:type="dxa"/>
                  <w:left w:w="15" w:type="dxa"/>
                  <w:bottom w:w="15" w:type="dxa"/>
                  <w:right w:w="15" w:type="dxa"/>
                </w:tblCellMar>
              </w:tblPrEx>
              <w:trPr>
                <w:trHeight w:val="390" w:hRule="atLeast"/>
              </w:trPr>
              <w:tc>
                <w:tcPr>
                  <w:tcW w:w="51" w:type="dxa"/>
                  <w:vAlign w:val="center"/>
                </w:tcPr>
                <w:p>
                  <w:pPr>
                    <w:widowControl/>
                    <w:jc w:val="left"/>
                    <w:rPr>
                      <w:rFonts w:hint="eastAsia" w:ascii="仿宋_GB2312" w:hAnsi="仿宋_GB2312" w:eastAsia="仿宋_GB2312" w:cs="仿宋_GB2312"/>
                      <w:kern w:val="0"/>
                      <w:sz w:val="24"/>
                      <w:szCs w:val="24"/>
                    </w:rPr>
                  </w:pPr>
                </w:p>
              </w:tc>
              <w:tc>
                <w:tcPr>
                  <w:tcW w:w="1989" w:type="dxa"/>
                  <w:tcBorders>
                    <w:top w:val="single" w:color="000000" w:sz="8" w:space="0"/>
                    <w:left w:val="single" w:color="000000" w:sz="8" w:space="0"/>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预算单位名称</w:t>
                  </w:r>
                </w:p>
              </w:tc>
              <w:tc>
                <w:tcPr>
                  <w:tcW w:w="1642" w:type="dxa"/>
                  <w:tcBorders>
                    <w:top w:val="single" w:color="000000" w:sz="8" w:space="0"/>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预算可用指标</w:t>
                  </w:r>
                </w:p>
              </w:tc>
              <w:tc>
                <w:tcPr>
                  <w:tcW w:w="1499" w:type="dxa"/>
                  <w:tcBorders>
                    <w:top w:val="single" w:color="000000" w:sz="8" w:space="0"/>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财政拨款收入</w:t>
                  </w:r>
                </w:p>
              </w:tc>
              <w:tc>
                <w:tcPr>
                  <w:tcW w:w="1831" w:type="dxa"/>
                  <w:tcBorders>
                    <w:top w:val="single" w:color="000000" w:sz="8" w:space="0"/>
                    <w:left w:val="nil"/>
                    <w:bottom w:val="single" w:color="000000" w:sz="8" w:space="0"/>
                    <w:right w:val="single" w:color="auto"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本年指标结余</w:t>
                  </w:r>
                </w:p>
              </w:tc>
              <w:tc>
                <w:tcPr>
                  <w:tcW w:w="1356" w:type="dxa"/>
                  <w:tcBorders>
                    <w:top w:val="single" w:color="000000" w:sz="8" w:space="0"/>
                    <w:left w:val="nil"/>
                    <w:bottom w:val="single" w:color="000000" w:sz="8" w:space="0"/>
                    <w:right w:val="single" w:color="auto"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上年结余</w:t>
                  </w:r>
                </w:p>
              </w:tc>
              <w:tc>
                <w:tcPr>
                  <w:tcW w:w="1730" w:type="dxa"/>
                  <w:gridSpan w:val="2"/>
                  <w:tcBorders>
                    <w:top w:val="single" w:color="000000" w:sz="8" w:space="0"/>
                    <w:left w:val="nil"/>
                    <w:bottom w:val="single" w:color="000000" w:sz="8" w:space="0"/>
                    <w:right w:val="single" w:color="000000" w:sz="8" w:space="0"/>
                  </w:tcBorders>
                  <w:shd w:val="clear" w:color="auto" w:fill="D9D9D9"/>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结余</w:t>
                  </w:r>
                  <w:r>
                    <w:rPr>
                      <w:rFonts w:hint="eastAsia" w:ascii="仿宋_GB2312" w:hAnsi="仿宋_GB2312" w:eastAsia="仿宋_GB2312" w:cs="仿宋_GB2312"/>
                      <w:kern w:val="0"/>
                      <w:sz w:val="24"/>
                      <w:szCs w:val="24"/>
                      <w:lang w:eastAsia="zh-CN"/>
                    </w:rPr>
                    <w:t>减少</w:t>
                  </w:r>
                </w:p>
              </w:tc>
            </w:tr>
            <w:tr>
              <w:tblPrEx>
                <w:tblLayout w:type="fixed"/>
                <w:tblCellMar>
                  <w:top w:w="15" w:type="dxa"/>
                  <w:left w:w="15" w:type="dxa"/>
                  <w:bottom w:w="15" w:type="dxa"/>
                  <w:right w:w="15" w:type="dxa"/>
                </w:tblCellMar>
              </w:tblPrEx>
              <w:trPr>
                <w:trHeight w:val="390" w:hRule="atLeast"/>
              </w:trPr>
              <w:tc>
                <w:tcPr>
                  <w:tcW w:w="51" w:type="dxa"/>
                  <w:vAlign w:val="center"/>
                </w:tcPr>
                <w:p>
                  <w:pPr>
                    <w:widowControl/>
                    <w:jc w:val="left"/>
                    <w:rPr>
                      <w:rFonts w:hint="eastAsia" w:ascii="仿宋_GB2312" w:hAnsi="仿宋_GB2312" w:eastAsia="仿宋_GB2312" w:cs="仿宋_GB2312"/>
                      <w:kern w:val="0"/>
                      <w:sz w:val="24"/>
                      <w:szCs w:val="24"/>
                    </w:rPr>
                  </w:pPr>
                </w:p>
              </w:tc>
              <w:tc>
                <w:tcPr>
                  <w:tcW w:w="1989"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老干部局部门</w:t>
                  </w:r>
                </w:p>
              </w:tc>
              <w:tc>
                <w:tcPr>
                  <w:tcW w:w="1642"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ind w:firstLine="480" w:firstLineChars="200"/>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583.10</w:t>
                  </w:r>
                </w:p>
              </w:tc>
              <w:tc>
                <w:tcPr>
                  <w:tcW w:w="1499"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819.08</w:t>
                  </w:r>
                </w:p>
              </w:tc>
              <w:tc>
                <w:tcPr>
                  <w:tcW w:w="1831"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spacing w:line="400" w:lineRule="atLeast"/>
                    <w:ind w:firstLine="600" w:firstLineChars="25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1356"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267.98</w:t>
                  </w:r>
                </w:p>
              </w:tc>
              <w:tc>
                <w:tcPr>
                  <w:tcW w:w="1730" w:type="dxa"/>
                  <w:gridSpan w:val="2"/>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lang w:val="en-US" w:eastAsia="zh-CN"/>
                    </w:rPr>
                  </w:pPr>
                </w:p>
              </w:tc>
            </w:tr>
            <w:tr>
              <w:tblPrEx>
                <w:tblLayout w:type="fixed"/>
                <w:tblCellMar>
                  <w:top w:w="15" w:type="dxa"/>
                  <w:left w:w="15" w:type="dxa"/>
                  <w:bottom w:w="15" w:type="dxa"/>
                  <w:right w:w="15" w:type="dxa"/>
                </w:tblCellMar>
              </w:tblPrEx>
              <w:trPr>
                <w:trHeight w:val="440" w:hRule="atLeast"/>
              </w:trPr>
              <w:tc>
                <w:tcPr>
                  <w:tcW w:w="51" w:type="dxa"/>
                  <w:vAlign w:val="center"/>
                </w:tcPr>
                <w:p>
                  <w:pPr>
                    <w:widowControl/>
                    <w:jc w:val="left"/>
                    <w:rPr>
                      <w:rFonts w:hint="eastAsia" w:ascii="仿宋_GB2312" w:hAnsi="仿宋_GB2312" w:eastAsia="仿宋_GB2312" w:cs="仿宋_GB2312"/>
                      <w:kern w:val="0"/>
                      <w:sz w:val="24"/>
                      <w:szCs w:val="24"/>
                    </w:rPr>
                  </w:pPr>
                </w:p>
              </w:tc>
              <w:tc>
                <w:tcPr>
                  <w:tcW w:w="1989"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    计</w:t>
                  </w:r>
                </w:p>
              </w:tc>
              <w:tc>
                <w:tcPr>
                  <w:tcW w:w="1642"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583.10</w:t>
                  </w:r>
                </w:p>
              </w:tc>
              <w:tc>
                <w:tcPr>
                  <w:tcW w:w="1499"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819.08</w:t>
                  </w:r>
                </w:p>
              </w:tc>
              <w:tc>
                <w:tcPr>
                  <w:tcW w:w="1831"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1356"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267.98</w:t>
                  </w:r>
                </w:p>
              </w:tc>
              <w:tc>
                <w:tcPr>
                  <w:tcW w:w="1730" w:type="dxa"/>
                  <w:gridSpan w:val="2"/>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lang w:val="en-US" w:eastAsia="zh-CN"/>
                    </w:rPr>
                  </w:pPr>
                </w:p>
              </w:tc>
            </w:tr>
          </w:tbl>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w:t>
            </w:r>
            <w:r>
              <w:rPr>
                <w:rFonts w:hint="eastAsia" w:ascii="仿宋_GB2312" w:hAnsi="仿宋_GB2312" w:eastAsia="仿宋_GB2312" w:cs="仿宋_GB2312"/>
                <w:b/>
                <w:bCs/>
                <w:color w:val="555555"/>
                <w:kern w:val="0"/>
                <w:sz w:val="24"/>
                <w:szCs w:val="24"/>
              </w:rPr>
              <w:t>2、年度预算支出决算及结余情况</w:t>
            </w:r>
          </w:p>
          <w:tbl>
            <w:tblPr>
              <w:tblStyle w:val="7"/>
              <w:tblW w:w="10106" w:type="dxa"/>
              <w:tblInd w:w="113" w:type="dxa"/>
              <w:tblLayout w:type="fixed"/>
              <w:tblCellMar>
                <w:top w:w="15" w:type="dxa"/>
                <w:left w:w="15" w:type="dxa"/>
                <w:bottom w:w="15" w:type="dxa"/>
                <w:right w:w="15" w:type="dxa"/>
              </w:tblCellMar>
            </w:tblPr>
            <w:tblGrid>
              <w:gridCol w:w="2973"/>
              <w:gridCol w:w="4083"/>
              <w:gridCol w:w="3050"/>
            </w:tblGrid>
            <w:tr>
              <w:tblPrEx>
                <w:tblLayout w:type="fixed"/>
                <w:tblCellMar>
                  <w:top w:w="15" w:type="dxa"/>
                  <w:left w:w="15" w:type="dxa"/>
                  <w:bottom w:w="15" w:type="dxa"/>
                  <w:right w:w="15" w:type="dxa"/>
                </w:tblCellMar>
              </w:tblPrEx>
              <w:trPr>
                <w:trHeight w:val="1001" w:hRule="atLeast"/>
              </w:trPr>
              <w:tc>
                <w:tcPr>
                  <w:tcW w:w="2973" w:type="dxa"/>
                  <w:tcBorders>
                    <w:top w:val="single" w:color="000000" w:sz="8" w:space="0"/>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shd w:val="clear" w:color="auto" w:fill="C0C0C0"/>
                    </w:rPr>
                    <w:t>比较项目</w:t>
                  </w:r>
                </w:p>
              </w:tc>
              <w:tc>
                <w:tcPr>
                  <w:tcW w:w="4083"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shd w:val="clear" w:color="auto" w:fill="C0C0C0"/>
                    </w:rPr>
                    <w:t>支出项目</w:t>
                  </w:r>
                </w:p>
              </w:tc>
              <w:tc>
                <w:tcPr>
                  <w:tcW w:w="3050"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shd w:val="clear" w:color="auto" w:fill="C0C0C0"/>
                    </w:rPr>
                    <w:t>局机关本级</w:t>
                  </w:r>
                </w:p>
              </w:tc>
            </w:tr>
            <w:tr>
              <w:tblPrEx>
                <w:tblLayout w:type="fixed"/>
                <w:tblCellMar>
                  <w:top w:w="15" w:type="dxa"/>
                  <w:left w:w="15" w:type="dxa"/>
                  <w:bottom w:w="15" w:type="dxa"/>
                  <w:right w:w="15" w:type="dxa"/>
                </w:tblCellMar>
              </w:tblPrEx>
              <w:trPr>
                <w:trHeight w:val="390" w:hRule="atLeast"/>
              </w:trPr>
              <w:tc>
                <w:tcPr>
                  <w:tcW w:w="2973" w:type="dxa"/>
                  <w:vMerge w:val="restart"/>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预算指标</w:t>
                  </w:r>
                </w:p>
              </w:tc>
              <w:tc>
                <w:tcPr>
                  <w:tcW w:w="4083"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基本支出</w:t>
                  </w:r>
                </w:p>
              </w:tc>
              <w:tc>
                <w:tcPr>
                  <w:tcW w:w="3050" w:type="dxa"/>
                  <w:tcBorders>
                    <w:top w:val="nil"/>
                    <w:left w:val="nil"/>
                    <w:bottom w:val="single" w:color="000000" w:sz="8" w:space="0"/>
                    <w:right w:val="single" w:color="000000" w:sz="8" w:space="0"/>
                  </w:tcBorders>
                  <w:tcMar>
                    <w:top w:w="0" w:type="dxa"/>
                    <w:left w:w="15" w:type="dxa"/>
                    <w:bottom w:w="0" w:type="dxa"/>
                    <w:right w:w="15" w:type="dxa"/>
                  </w:tcMar>
                  <w:vAlign w:val="bottom"/>
                </w:tcPr>
                <w:p>
                  <w:pPr>
                    <w:widowControl/>
                    <w:spacing w:line="400" w:lineRule="atLeast"/>
                    <w:jc w:val="center"/>
                    <w:textAlignment w:val="bottom"/>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296.60</w:t>
                  </w:r>
                </w:p>
              </w:tc>
            </w:tr>
            <w:tr>
              <w:tblPrEx>
                <w:tblLayout w:type="fixed"/>
                <w:tblCellMar>
                  <w:top w:w="15" w:type="dxa"/>
                  <w:left w:w="15" w:type="dxa"/>
                  <w:bottom w:w="15" w:type="dxa"/>
                  <w:right w:w="15" w:type="dxa"/>
                </w:tblCellMar>
              </w:tblPrEx>
              <w:trPr>
                <w:trHeight w:val="390" w:hRule="atLeast"/>
              </w:trPr>
              <w:tc>
                <w:tcPr>
                  <w:tcW w:w="2973"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kern w:val="0"/>
                      <w:sz w:val="24"/>
                      <w:szCs w:val="24"/>
                    </w:rPr>
                  </w:pPr>
                </w:p>
              </w:tc>
              <w:tc>
                <w:tcPr>
                  <w:tcW w:w="4083"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项目支出</w:t>
                  </w:r>
                </w:p>
              </w:tc>
              <w:tc>
                <w:tcPr>
                  <w:tcW w:w="3050" w:type="dxa"/>
                  <w:tcBorders>
                    <w:top w:val="nil"/>
                    <w:left w:val="nil"/>
                    <w:bottom w:val="single" w:color="000000" w:sz="8" w:space="0"/>
                    <w:right w:val="single" w:color="000000" w:sz="8" w:space="0"/>
                  </w:tcBorders>
                  <w:tcMar>
                    <w:top w:w="0" w:type="dxa"/>
                    <w:left w:w="15" w:type="dxa"/>
                    <w:bottom w:w="0" w:type="dxa"/>
                    <w:right w:w="15" w:type="dxa"/>
                  </w:tcMar>
                  <w:vAlign w:val="bottom"/>
                </w:tcPr>
                <w:p>
                  <w:pPr>
                    <w:widowControl/>
                    <w:spacing w:line="400" w:lineRule="atLeast"/>
                    <w:jc w:val="center"/>
                    <w:textAlignment w:val="bottom"/>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286.50</w:t>
                  </w:r>
                </w:p>
              </w:tc>
            </w:tr>
            <w:tr>
              <w:tblPrEx>
                <w:tblLayout w:type="fixed"/>
                <w:tblCellMar>
                  <w:top w:w="15" w:type="dxa"/>
                  <w:left w:w="15" w:type="dxa"/>
                  <w:bottom w:w="15" w:type="dxa"/>
                  <w:right w:w="15" w:type="dxa"/>
                </w:tblCellMar>
              </w:tblPrEx>
              <w:trPr>
                <w:trHeight w:val="390" w:hRule="atLeast"/>
              </w:trPr>
              <w:tc>
                <w:tcPr>
                  <w:tcW w:w="2973"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kern w:val="0"/>
                      <w:sz w:val="24"/>
                      <w:szCs w:val="24"/>
                    </w:rPr>
                  </w:pPr>
                </w:p>
              </w:tc>
              <w:tc>
                <w:tcPr>
                  <w:tcW w:w="4083"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ind w:left="143"/>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shd w:val="clear" w:color="auto" w:fill="C0C0C0"/>
                    </w:rPr>
                    <w:t>小计</w:t>
                  </w:r>
                </w:p>
              </w:tc>
              <w:tc>
                <w:tcPr>
                  <w:tcW w:w="30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bottom"/>
                </w:tcPr>
                <w:p>
                  <w:pPr>
                    <w:widowControl/>
                    <w:shd w:val="clear" w:color="auto" w:fill="C0C0C0"/>
                    <w:spacing w:line="400" w:lineRule="atLeast"/>
                    <w:jc w:val="center"/>
                    <w:textAlignment w:val="bottom"/>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583.10</w:t>
                  </w:r>
                </w:p>
              </w:tc>
            </w:tr>
            <w:tr>
              <w:tblPrEx>
                <w:tblLayout w:type="fixed"/>
                <w:tblCellMar>
                  <w:top w:w="15" w:type="dxa"/>
                  <w:left w:w="15" w:type="dxa"/>
                  <w:bottom w:w="15" w:type="dxa"/>
                  <w:right w:w="15" w:type="dxa"/>
                </w:tblCellMar>
              </w:tblPrEx>
              <w:trPr>
                <w:trHeight w:val="383" w:hRule="atLeast"/>
              </w:trPr>
              <w:tc>
                <w:tcPr>
                  <w:tcW w:w="2973" w:type="dxa"/>
                  <w:vMerge w:val="restart"/>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决算金额</w:t>
                  </w:r>
                </w:p>
              </w:tc>
              <w:tc>
                <w:tcPr>
                  <w:tcW w:w="4083"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基本支出</w:t>
                  </w:r>
                </w:p>
              </w:tc>
              <w:tc>
                <w:tcPr>
                  <w:tcW w:w="3050" w:type="dxa"/>
                  <w:tcBorders>
                    <w:bottom w:val="single" w:color="000000" w:sz="8" w:space="0"/>
                    <w:right w:val="single" w:color="000000" w:sz="8" w:space="0"/>
                  </w:tcBorders>
                  <w:tcMar>
                    <w:top w:w="0" w:type="dxa"/>
                    <w:left w:w="15" w:type="dxa"/>
                    <w:bottom w:w="0" w:type="dxa"/>
                    <w:right w:w="15" w:type="dxa"/>
                  </w:tcMar>
                  <w:vAlign w:val="bottom"/>
                </w:tcPr>
                <w:p>
                  <w:pPr>
                    <w:widowControl/>
                    <w:spacing w:line="400" w:lineRule="atLeast"/>
                    <w:jc w:val="center"/>
                    <w:textAlignment w:val="bottom"/>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590.60</w:t>
                  </w:r>
                </w:p>
              </w:tc>
            </w:tr>
            <w:tr>
              <w:tblPrEx>
                <w:tblLayout w:type="fixed"/>
                <w:tblCellMar>
                  <w:top w:w="15" w:type="dxa"/>
                  <w:left w:w="15" w:type="dxa"/>
                  <w:bottom w:w="15" w:type="dxa"/>
                  <w:right w:w="15" w:type="dxa"/>
                </w:tblCellMar>
              </w:tblPrEx>
              <w:trPr>
                <w:trHeight w:val="390" w:hRule="atLeast"/>
              </w:trPr>
              <w:tc>
                <w:tcPr>
                  <w:tcW w:w="2973"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kern w:val="0"/>
                      <w:sz w:val="24"/>
                      <w:szCs w:val="24"/>
                    </w:rPr>
                  </w:pPr>
                </w:p>
              </w:tc>
              <w:tc>
                <w:tcPr>
                  <w:tcW w:w="4083"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项目支出</w:t>
                  </w:r>
                </w:p>
              </w:tc>
              <w:tc>
                <w:tcPr>
                  <w:tcW w:w="3050" w:type="dxa"/>
                  <w:tcBorders>
                    <w:bottom w:val="single" w:color="000000" w:sz="8" w:space="0"/>
                    <w:right w:val="single" w:color="000000" w:sz="8" w:space="0"/>
                  </w:tcBorders>
                  <w:tcMar>
                    <w:top w:w="0" w:type="dxa"/>
                    <w:left w:w="15" w:type="dxa"/>
                    <w:bottom w:w="0" w:type="dxa"/>
                    <w:right w:w="15" w:type="dxa"/>
                  </w:tcMar>
                  <w:vAlign w:val="bottom"/>
                </w:tcPr>
                <w:p>
                  <w:pPr>
                    <w:widowControl/>
                    <w:spacing w:line="400" w:lineRule="atLeast"/>
                    <w:jc w:val="center"/>
                    <w:textAlignment w:val="bottom"/>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414.45</w:t>
                  </w:r>
                </w:p>
              </w:tc>
            </w:tr>
            <w:tr>
              <w:tblPrEx>
                <w:tblLayout w:type="fixed"/>
                <w:tblCellMar>
                  <w:top w:w="15" w:type="dxa"/>
                  <w:left w:w="15" w:type="dxa"/>
                  <w:bottom w:w="15" w:type="dxa"/>
                  <w:right w:w="15" w:type="dxa"/>
                </w:tblCellMar>
              </w:tblPrEx>
              <w:trPr>
                <w:trHeight w:val="390" w:hRule="atLeast"/>
              </w:trPr>
              <w:tc>
                <w:tcPr>
                  <w:tcW w:w="2973"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kern w:val="0"/>
                      <w:sz w:val="24"/>
                      <w:szCs w:val="24"/>
                    </w:rPr>
                  </w:pPr>
                </w:p>
              </w:tc>
              <w:tc>
                <w:tcPr>
                  <w:tcW w:w="4083"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hd w:val="clear" w:color="auto" w:fill="C0C0C0"/>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shd w:val="clear" w:color="auto" w:fill="C0C0C0"/>
                    </w:rPr>
                    <w:t>小计</w:t>
                  </w:r>
                </w:p>
              </w:tc>
              <w:tc>
                <w:tcPr>
                  <w:tcW w:w="30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bottom"/>
                </w:tcPr>
                <w:p>
                  <w:pPr>
                    <w:widowControl/>
                    <w:shd w:val="clear" w:color="auto" w:fill="C0C0C0"/>
                    <w:spacing w:line="400" w:lineRule="atLeast"/>
                    <w:jc w:val="center"/>
                    <w:textAlignment w:val="bottom"/>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1005.05</w:t>
                  </w:r>
                </w:p>
              </w:tc>
            </w:tr>
          </w:tbl>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从上述数据反映：</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20</w:t>
            </w:r>
            <w:r>
              <w:rPr>
                <w:rFonts w:hint="eastAsia" w:ascii="仿宋_GB2312" w:hAnsi="仿宋_GB2312" w:eastAsia="仿宋_GB2312" w:cs="仿宋_GB2312"/>
                <w:color w:val="555555"/>
                <w:kern w:val="0"/>
                <w:sz w:val="24"/>
                <w:szCs w:val="24"/>
                <w:lang w:val="en-US" w:eastAsia="zh-CN"/>
              </w:rPr>
              <w:t>21</w:t>
            </w:r>
            <w:r>
              <w:rPr>
                <w:rFonts w:hint="eastAsia" w:ascii="仿宋_GB2312" w:hAnsi="仿宋_GB2312" w:eastAsia="仿宋_GB2312" w:cs="仿宋_GB2312"/>
                <w:color w:val="555555"/>
                <w:kern w:val="0"/>
                <w:sz w:val="24"/>
                <w:szCs w:val="24"/>
              </w:rPr>
              <w:t>年度局本级预算可用指标</w:t>
            </w:r>
            <w:r>
              <w:rPr>
                <w:rFonts w:hint="eastAsia" w:ascii="仿宋_GB2312" w:hAnsi="仿宋_GB2312" w:eastAsia="仿宋_GB2312" w:cs="仿宋_GB2312"/>
                <w:color w:val="555555"/>
                <w:kern w:val="0"/>
                <w:sz w:val="24"/>
                <w:szCs w:val="24"/>
                <w:lang w:val="en-US" w:eastAsia="zh-CN"/>
              </w:rPr>
              <w:t>583.10</w:t>
            </w:r>
            <w:r>
              <w:rPr>
                <w:rFonts w:hint="eastAsia" w:ascii="仿宋_GB2312" w:hAnsi="仿宋_GB2312" w:eastAsia="仿宋_GB2312" w:cs="仿宋_GB2312"/>
                <w:color w:val="555555"/>
                <w:kern w:val="0"/>
                <w:sz w:val="24"/>
                <w:szCs w:val="24"/>
              </w:rPr>
              <w:t>万元，本年财政拨款</w:t>
            </w:r>
            <w:r>
              <w:rPr>
                <w:rFonts w:hint="eastAsia" w:ascii="仿宋_GB2312" w:hAnsi="仿宋_GB2312" w:eastAsia="仿宋_GB2312" w:cs="仿宋_GB2312"/>
                <w:color w:val="555555"/>
                <w:kern w:val="0"/>
                <w:sz w:val="24"/>
                <w:szCs w:val="24"/>
                <w:lang w:val="en-US" w:eastAsia="zh-CN"/>
              </w:rPr>
              <w:t>583.10</w:t>
            </w:r>
            <w:r>
              <w:rPr>
                <w:rFonts w:hint="eastAsia" w:ascii="仿宋_GB2312" w:hAnsi="仿宋_GB2312" w:eastAsia="仿宋_GB2312" w:cs="仿宋_GB2312"/>
                <w:color w:val="555555"/>
                <w:kern w:val="0"/>
                <w:sz w:val="24"/>
                <w:szCs w:val="24"/>
              </w:rPr>
              <w:t>万元，指标结余</w:t>
            </w:r>
            <w:r>
              <w:rPr>
                <w:rFonts w:hint="eastAsia" w:ascii="仿宋_GB2312" w:hAnsi="仿宋_GB2312" w:eastAsia="仿宋_GB2312" w:cs="仿宋_GB2312"/>
                <w:color w:val="555555"/>
                <w:kern w:val="0"/>
                <w:sz w:val="24"/>
                <w:szCs w:val="24"/>
                <w:lang w:val="en-US" w:eastAsia="zh-CN"/>
              </w:rPr>
              <w:t>0</w:t>
            </w:r>
            <w:r>
              <w:rPr>
                <w:rFonts w:hint="eastAsia" w:ascii="仿宋_GB2312" w:hAnsi="仿宋_GB2312" w:eastAsia="仿宋_GB2312" w:cs="仿宋_GB2312"/>
                <w:color w:val="555555"/>
                <w:kern w:val="0"/>
                <w:sz w:val="24"/>
                <w:szCs w:val="24"/>
              </w:rPr>
              <w:t>万元。指标结余</w:t>
            </w:r>
            <w:r>
              <w:rPr>
                <w:rFonts w:hint="eastAsia" w:ascii="仿宋_GB2312" w:hAnsi="仿宋_GB2312" w:eastAsia="仿宋_GB2312" w:cs="仿宋_GB2312"/>
                <w:color w:val="555555"/>
                <w:kern w:val="0"/>
                <w:sz w:val="24"/>
                <w:szCs w:val="24"/>
                <w:lang w:eastAsia="zh-CN"/>
              </w:rPr>
              <w:t>为</w:t>
            </w:r>
            <w:r>
              <w:rPr>
                <w:rFonts w:hint="eastAsia" w:ascii="仿宋_GB2312" w:hAnsi="仿宋_GB2312" w:eastAsia="仿宋_GB2312" w:cs="仿宋_GB2312"/>
                <w:color w:val="555555"/>
                <w:kern w:val="0"/>
                <w:sz w:val="24"/>
                <w:szCs w:val="24"/>
                <w:lang w:val="en-US" w:eastAsia="zh-CN"/>
              </w:rPr>
              <w:t>0的</w:t>
            </w:r>
            <w:r>
              <w:rPr>
                <w:rFonts w:hint="eastAsia" w:ascii="仿宋_GB2312" w:hAnsi="仿宋_GB2312" w:eastAsia="仿宋_GB2312" w:cs="仿宋_GB2312"/>
                <w:color w:val="555555"/>
                <w:kern w:val="0"/>
                <w:sz w:val="24"/>
                <w:szCs w:val="24"/>
              </w:rPr>
              <w:t>主要</w:t>
            </w:r>
            <w:r>
              <w:rPr>
                <w:rFonts w:hint="eastAsia" w:ascii="仿宋_GB2312" w:hAnsi="仿宋_GB2312" w:eastAsia="仿宋_GB2312" w:cs="仿宋_GB2312"/>
                <w:color w:val="555555"/>
                <w:kern w:val="0"/>
                <w:sz w:val="24"/>
                <w:szCs w:val="24"/>
                <w:lang w:eastAsia="zh-CN"/>
              </w:rPr>
              <w:t>原因是所有结余资金财政全部收回。</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三、</w:t>
            </w:r>
            <w:r>
              <w:rPr>
                <w:rFonts w:hint="eastAsia" w:ascii="仿宋_GB2312" w:hAnsi="仿宋_GB2312" w:eastAsia="仿宋_GB2312" w:cs="仿宋_GB2312"/>
                <w:b/>
                <w:bCs/>
                <w:color w:val="555555"/>
                <w:kern w:val="0"/>
                <w:sz w:val="24"/>
                <w:szCs w:val="24"/>
              </w:rPr>
              <w:t>部门整体支出管理及使用情况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（一）基本支出管理情况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我局基本支出的范围和主要用途包括部门的人员经费和日常公用经费。具体包括：工资福利支出、对个人和家庭的补助、商品和服务支出、其他资本性支出。基本支出的管理和使用情况如下：</w:t>
            </w:r>
          </w:p>
          <w:p>
            <w:pPr>
              <w:widowControl/>
              <w:spacing w:line="520" w:lineRule="atLeast"/>
              <w:ind w:firstLine="470"/>
              <w:jc w:val="left"/>
              <w:rPr>
                <w:rFonts w:hint="eastAsia" w:ascii="仿宋_GB2312" w:hAnsi="仿宋_GB2312" w:eastAsia="仿宋_GB2312" w:cs="仿宋_GB2312"/>
                <w:b/>
                <w:bCs/>
                <w:color w:val="555555"/>
                <w:kern w:val="0"/>
                <w:sz w:val="24"/>
                <w:szCs w:val="24"/>
              </w:rPr>
            </w:pP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1、基本支出本年预算指标情况</w:t>
            </w:r>
          </w:p>
          <w:tbl>
            <w:tblPr>
              <w:tblStyle w:val="7"/>
              <w:tblW w:w="10398" w:type="dxa"/>
              <w:tblInd w:w="113" w:type="dxa"/>
              <w:tblLayout w:type="fixed"/>
              <w:tblCellMar>
                <w:top w:w="15" w:type="dxa"/>
                <w:left w:w="15" w:type="dxa"/>
                <w:bottom w:w="15" w:type="dxa"/>
                <w:right w:w="15" w:type="dxa"/>
              </w:tblCellMar>
            </w:tblPr>
            <w:tblGrid>
              <w:gridCol w:w="2581"/>
              <w:gridCol w:w="4167"/>
              <w:gridCol w:w="3650"/>
            </w:tblGrid>
            <w:tr>
              <w:tblPrEx>
                <w:tblLayout w:type="fixed"/>
                <w:tblCellMar>
                  <w:top w:w="15" w:type="dxa"/>
                  <w:left w:w="15" w:type="dxa"/>
                  <w:bottom w:w="15" w:type="dxa"/>
                  <w:right w:w="15" w:type="dxa"/>
                </w:tblCellMar>
              </w:tblPrEx>
              <w:trPr>
                <w:trHeight w:val="820" w:hRule="atLeast"/>
              </w:trPr>
              <w:tc>
                <w:tcPr>
                  <w:tcW w:w="2581" w:type="dxa"/>
                  <w:tcBorders>
                    <w:top w:val="single" w:color="000000" w:sz="8" w:space="0"/>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预算项目</w:t>
                  </w:r>
                </w:p>
              </w:tc>
              <w:tc>
                <w:tcPr>
                  <w:tcW w:w="4167"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部门本年预算</w:t>
                  </w:r>
                </w:p>
              </w:tc>
              <w:tc>
                <w:tcPr>
                  <w:tcW w:w="3650"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合计</w:t>
                  </w:r>
                </w:p>
              </w:tc>
            </w:tr>
            <w:tr>
              <w:tblPrEx>
                <w:tblLayout w:type="fixed"/>
                <w:tblCellMar>
                  <w:top w:w="15" w:type="dxa"/>
                  <w:left w:w="15" w:type="dxa"/>
                  <w:bottom w:w="15" w:type="dxa"/>
                  <w:right w:w="15" w:type="dxa"/>
                </w:tblCellMar>
              </w:tblPrEx>
              <w:trPr>
                <w:trHeight w:val="391" w:hRule="atLeast"/>
              </w:trPr>
              <w:tc>
                <w:tcPr>
                  <w:tcW w:w="2581"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工资福利支出</w:t>
                  </w:r>
                </w:p>
              </w:tc>
              <w:tc>
                <w:tcPr>
                  <w:tcW w:w="416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right"/>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235.55</w:t>
                  </w:r>
                </w:p>
              </w:tc>
              <w:tc>
                <w:tcPr>
                  <w:tcW w:w="3650"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both"/>
                    <w:textAlignment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235.55</w:t>
                  </w:r>
                </w:p>
              </w:tc>
            </w:tr>
            <w:tr>
              <w:tblPrEx>
                <w:tblLayout w:type="fixed"/>
                <w:tblCellMar>
                  <w:top w:w="15" w:type="dxa"/>
                  <w:left w:w="15" w:type="dxa"/>
                  <w:bottom w:w="15" w:type="dxa"/>
                  <w:right w:w="15" w:type="dxa"/>
                </w:tblCellMar>
              </w:tblPrEx>
              <w:trPr>
                <w:trHeight w:val="391" w:hRule="atLeast"/>
              </w:trPr>
              <w:tc>
                <w:tcPr>
                  <w:tcW w:w="2581"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商品和服务支出</w:t>
                  </w:r>
                </w:p>
              </w:tc>
              <w:tc>
                <w:tcPr>
                  <w:tcW w:w="416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right"/>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335.17</w:t>
                  </w:r>
                </w:p>
              </w:tc>
              <w:tc>
                <w:tcPr>
                  <w:tcW w:w="3650"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both"/>
                    <w:textAlignment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335.17</w:t>
                  </w:r>
                </w:p>
              </w:tc>
            </w:tr>
            <w:tr>
              <w:tblPrEx>
                <w:tblLayout w:type="fixed"/>
                <w:tblCellMar>
                  <w:top w:w="15" w:type="dxa"/>
                  <w:left w:w="15" w:type="dxa"/>
                  <w:bottom w:w="15" w:type="dxa"/>
                  <w:right w:w="15" w:type="dxa"/>
                </w:tblCellMar>
              </w:tblPrEx>
              <w:trPr>
                <w:trHeight w:val="391" w:hRule="atLeast"/>
              </w:trPr>
              <w:tc>
                <w:tcPr>
                  <w:tcW w:w="2581"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对个人和家庭的补助</w:t>
                  </w:r>
                </w:p>
              </w:tc>
              <w:tc>
                <w:tcPr>
                  <w:tcW w:w="416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right"/>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12.38</w:t>
                  </w:r>
                </w:p>
              </w:tc>
              <w:tc>
                <w:tcPr>
                  <w:tcW w:w="3650"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both"/>
                    <w:textAlignment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12.38</w:t>
                  </w:r>
                </w:p>
              </w:tc>
            </w:tr>
            <w:tr>
              <w:tblPrEx>
                <w:tblLayout w:type="fixed"/>
                <w:tblCellMar>
                  <w:top w:w="15" w:type="dxa"/>
                  <w:left w:w="15" w:type="dxa"/>
                  <w:bottom w:w="15" w:type="dxa"/>
                  <w:right w:w="15" w:type="dxa"/>
                </w:tblCellMar>
              </w:tblPrEx>
              <w:trPr>
                <w:trHeight w:val="392" w:hRule="atLeast"/>
              </w:trPr>
              <w:tc>
                <w:tcPr>
                  <w:tcW w:w="2581"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合计</w:t>
                  </w:r>
                </w:p>
              </w:tc>
              <w:tc>
                <w:tcPr>
                  <w:tcW w:w="416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right"/>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583.10</w:t>
                  </w:r>
                </w:p>
              </w:tc>
              <w:tc>
                <w:tcPr>
                  <w:tcW w:w="3650"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both"/>
                    <w:textAlignment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583.10</w:t>
                  </w:r>
                </w:p>
              </w:tc>
            </w:tr>
          </w:tbl>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2、本年基本支出预算执行情况</w:t>
            </w:r>
          </w:p>
          <w:tbl>
            <w:tblPr>
              <w:tblStyle w:val="7"/>
              <w:tblW w:w="10383" w:type="dxa"/>
              <w:tblInd w:w="113" w:type="dxa"/>
              <w:tblLayout w:type="fixed"/>
              <w:tblCellMar>
                <w:top w:w="15" w:type="dxa"/>
                <w:left w:w="15" w:type="dxa"/>
                <w:bottom w:w="15" w:type="dxa"/>
                <w:right w:w="15" w:type="dxa"/>
              </w:tblCellMar>
            </w:tblPr>
            <w:tblGrid>
              <w:gridCol w:w="2566"/>
              <w:gridCol w:w="7817"/>
            </w:tblGrid>
            <w:tr>
              <w:tblPrEx>
                <w:tblLayout w:type="fixed"/>
                <w:tblCellMar>
                  <w:top w:w="15" w:type="dxa"/>
                  <w:left w:w="15" w:type="dxa"/>
                  <w:bottom w:w="15" w:type="dxa"/>
                  <w:right w:w="15" w:type="dxa"/>
                </w:tblCellMar>
              </w:tblPrEx>
              <w:trPr>
                <w:trHeight w:val="780" w:hRule="atLeast"/>
              </w:trPr>
              <w:tc>
                <w:tcPr>
                  <w:tcW w:w="2566" w:type="dxa"/>
                  <w:tcBorders>
                    <w:top w:val="single" w:color="000000" w:sz="8" w:space="0"/>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预算项目</w:t>
                  </w:r>
                </w:p>
              </w:tc>
              <w:tc>
                <w:tcPr>
                  <w:tcW w:w="7817"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部门本年决算金额</w:t>
                  </w:r>
                </w:p>
              </w:tc>
            </w:tr>
            <w:tr>
              <w:tblPrEx>
                <w:tblLayout w:type="fixed"/>
                <w:tblCellMar>
                  <w:top w:w="15" w:type="dxa"/>
                  <w:left w:w="15" w:type="dxa"/>
                  <w:bottom w:w="15" w:type="dxa"/>
                  <w:right w:w="15" w:type="dxa"/>
                </w:tblCellMar>
              </w:tblPrEx>
              <w:trPr>
                <w:trHeight w:val="390" w:hRule="atLeast"/>
              </w:trPr>
              <w:tc>
                <w:tcPr>
                  <w:tcW w:w="2566"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工资福利支出</w:t>
                  </w:r>
                </w:p>
              </w:tc>
              <w:tc>
                <w:tcPr>
                  <w:tcW w:w="781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367.76</w:t>
                  </w:r>
                </w:p>
              </w:tc>
            </w:tr>
            <w:tr>
              <w:tblPrEx>
                <w:tblLayout w:type="fixed"/>
                <w:tblCellMar>
                  <w:top w:w="15" w:type="dxa"/>
                  <w:left w:w="15" w:type="dxa"/>
                  <w:bottom w:w="15" w:type="dxa"/>
                  <w:right w:w="15" w:type="dxa"/>
                </w:tblCellMar>
              </w:tblPrEx>
              <w:trPr>
                <w:trHeight w:val="390" w:hRule="atLeast"/>
              </w:trPr>
              <w:tc>
                <w:tcPr>
                  <w:tcW w:w="2566"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商品和服务支出</w:t>
                  </w:r>
                </w:p>
              </w:tc>
              <w:tc>
                <w:tcPr>
                  <w:tcW w:w="781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597.97</w:t>
                  </w:r>
                </w:p>
              </w:tc>
            </w:tr>
            <w:tr>
              <w:tblPrEx>
                <w:tblLayout w:type="fixed"/>
                <w:tblCellMar>
                  <w:top w:w="15" w:type="dxa"/>
                  <w:left w:w="15" w:type="dxa"/>
                  <w:bottom w:w="15" w:type="dxa"/>
                  <w:right w:w="15" w:type="dxa"/>
                </w:tblCellMar>
              </w:tblPrEx>
              <w:trPr>
                <w:trHeight w:val="90" w:hRule="atLeast"/>
              </w:trPr>
              <w:tc>
                <w:tcPr>
                  <w:tcW w:w="2566"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对个人和家庭的补助</w:t>
                  </w:r>
                </w:p>
              </w:tc>
              <w:tc>
                <w:tcPr>
                  <w:tcW w:w="781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129.95</w:t>
                  </w:r>
                </w:p>
              </w:tc>
            </w:tr>
            <w:tr>
              <w:tblPrEx>
                <w:tblLayout w:type="fixed"/>
                <w:tblCellMar>
                  <w:top w:w="15" w:type="dxa"/>
                  <w:left w:w="15" w:type="dxa"/>
                  <w:bottom w:w="15" w:type="dxa"/>
                  <w:right w:w="15" w:type="dxa"/>
                </w:tblCellMar>
              </w:tblPrEx>
              <w:trPr>
                <w:trHeight w:val="385" w:hRule="atLeast"/>
              </w:trPr>
              <w:tc>
                <w:tcPr>
                  <w:tcW w:w="2566"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p>
              </w:tc>
              <w:tc>
                <w:tcPr>
                  <w:tcW w:w="781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p>
              </w:tc>
            </w:tr>
            <w:tr>
              <w:tblPrEx>
                <w:tblLayout w:type="fixed"/>
                <w:tblCellMar>
                  <w:top w:w="15" w:type="dxa"/>
                  <w:left w:w="15" w:type="dxa"/>
                  <w:bottom w:w="15" w:type="dxa"/>
                  <w:right w:w="15" w:type="dxa"/>
                </w:tblCellMar>
              </w:tblPrEx>
              <w:trPr>
                <w:trHeight w:val="390" w:hRule="atLeast"/>
              </w:trPr>
              <w:tc>
                <w:tcPr>
                  <w:tcW w:w="2566"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781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spacing w:line="400" w:lineRule="atLeast"/>
                    <w:jc w:val="left"/>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1095.68</w:t>
                  </w:r>
                </w:p>
              </w:tc>
            </w:tr>
          </w:tbl>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w:t>
            </w:r>
          </w:p>
          <w:p>
            <w:pPr>
              <w:widowControl/>
              <w:shd w:val="clear" w:color="auto" w:fill="FFFFFF"/>
              <w:spacing w:line="520" w:lineRule="atLeast"/>
              <w:ind w:firstLine="470"/>
              <w:jc w:val="left"/>
              <w:rPr>
                <w:rFonts w:hint="eastAsia" w:ascii="仿宋_GB2312" w:hAnsi="仿宋_GB2312" w:eastAsia="仿宋_GB2312" w:cs="仿宋_GB2312"/>
                <w:color w:val="555555"/>
                <w:kern w:val="0"/>
                <w:sz w:val="24"/>
                <w:szCs w:val="24"/>
                <w:lang w:eastAsia="zh-CN"/>
              </w:rPr>
            </w:pPr>
            <w:r>
              <w:rPr>
                <w:rFonts w:hint="eastAsia" w:ascii="仿宋_GB2312" w:hAnsi="仿宋_GB2312" w:eastAsia="仿宋_GB2312" w:cs="仿宋_GB2312"/>
                <w:color w:val="555555"/>
                <w:kern w:val="0"/>
                <w:sz w:val="24"/>
                <w:szCs w:val="24"/>
              </w:rPr>
              <w:t>从上表反映，我局基本支出预算超支</w:t>
            </w:r>
            <w:r>
              <w:rPr>
                <w:rFonts w:hint="eastAsia" w:ascii="仿宋_GB2312" w:hAnsi="仿宋_GB2312" w:eastAsia="仿宋_GB2312" w:cs="仿宋_GB2312"/>
                <w:color w:val="555555"/>
                <w:kern w:val="0"/>
                <w:sz w:val="24"/>
                <w:szCs w:val="24"/>
                <w:lang w:val="en-US" w:eastAsia="zh-CN"/>
              </w:rPr>
              <w:t>512.58</w:t>
            </w:r>
            <w:r>
              <w:rPr>
                <w:rFonts w:hint="eastAsia" w:ascii="仿宋_GB2312" w:hAnsi="仿宋_GB2312" w:eastAsia="仿宋_GB2312" w:cs="仿宋_GB2312"/>
                <w:color w:val="555555"/>
                <w:kern w:val="0"/>
                <w:sz w:val="24"/>
                <w:szCs w:val="24"/>
              </w:rPr>
              <w:t>万元，其中：工资福利支出超支</w:t>
            </w:r>
            <w:r>
              <w:rPr>
                <w:rFonts w:hint="eastAsia" w:ascii="仿宋_GB2312" w:hAnsi="仿宋_GB2312" w:eastAsia="仿宋_GB2312" w:cs="仿宋_GB2312"/>
                <w:color w:val="555555"/>
                <w:kern w:val="0"/>
                <w:sz w:val="24"/>
                <w:szCs w:val="24"/>
                <w:lang w:val="en-US" w:eastAsia="zh-CN"/>
              </w:rPr>
              <w:t>132.21</w:t>
            </w:r>
            <w:r>
              <w:rPr>
                <w:rFonts w:hint="eastAsia" w:ascii="仿宋_GB2312" w:hAnsi="仿宋_GB2312" w:eastAsia="仿宋_GB2312" w:cs="仿宋_GB2312"/>
                <w:color w:val="555555"/>
                <w:kern w:val="0"/>
                <w:sz w:val="24"/>
                <w:szCs w:val="24"/>
              </w:rPr>
              <w:t>万元，对个人和家庭的补助超支</w:t>
            </w:r>
            <w:r>
              <w:rPr>
                <w:rFonts w:hint="eastAsia" w:ascii="仿宋_GB2312" w:hAnsi="仿宋_GB2312" w:eastAsia="仿宋_GB2312" w:cs="仿宋_GB2312"/>
                <w:color w:val="555555"/>
                <w:kern w:val="0"/>
                <w:sz w:val="24"/>
                <w:szCs w:val="24"/>
                <w:lang w:val="en-US" w:eastAsia="zh-CN"/>
              </w:rPr>
              <w:t>117.57</w:t>
            </w:r>
            <w:r>
              <w:rPr>
                <w:rFonts w:hint="eastAsia" w:ascii="仿宋_GB2312" w:hAnsi="仿宋_GB2312" w:eastAsia="仿宋_GB2312" w:cs="仿宋_GB2312"/>
                <w:color w:val="555555"/>
                <w:kern w:val="0"/>
                <w:sz w:val="24"/>
                <w:szCs w:val="24"/>
              </w:rPr>
              <w:t>万元，商品和服务支出</w:t>
            </w:r>
            <w:r>
              <w:rPr>
                <w:rFonts w:hint="eastAsia" w:ascii="仿宋_GB2312" w:hAnsi="仿宋_GB2312" w:eastAsia="仿宋_GB2312" w:cs="仿宋_GB2312"/>
                <w:color w:val="555555"/>
                <w:kern w:val="0"/>
                <w:sz w:val="24"/>
                <w:szCs w:val="24"/>
                <w:lang w:eastAsia="zh-CN"/>
              </w:rPr>
              <w:t>超预算</w:t>
            </w:r>
            <w:r>
              <w:rPr>
                <w:rFonts w:hint="eastAsia" w:ascii="仿宋_GB2312" w:hAnsi="仿宋_GB2312" w:eastAsia="仿宋_GB2312" w:cs="仿宋_GB2312"/>
                <w:color w:val="555555"/>
                <w:kern w:val="0"/>
                <w:sz w:val="24"/>
                <w:szCs w:val="24"/>
                <w:lang w:val="en-US" w:eastAsia="zh-CN"/>
              </w:rPr>
              <w:t>262.8</w:t>
            </w:r>
            <w:r>
              <w:rPr>
                <w:rFonts w:hint="eastAsia" w:ascii="仿宋_GB2312" w:hAnsi="仿宋_GB2312" w:eastAsia="仿宋_GB2312" w:cs="仿宋_GB2312"/>
                <w:color w:val="555555"/>
                <w:kern w:val="0"/>
                <w:sz w:val="24"/>
                <w:szCs w:val="24"/>
              </w:rPr>
              <w:t>万元</w:t>
            </w:r>
            <w:r>
              <w:rPr>
                <w:rFonts w:hint="eastAsia" w:ascii="仿宋_GB2312" w:hAnsi="仿宋_GB2312" w:eastAsia="仿宋_GB2312" w:cs="仿宋_GB2312"/>
                <w:color w:val="555555"/>
                <w:kern w:val="0"/>
                <w:sz w:val="24"/>
                <w:szCs w:val="24"/>
                <w:lang w:eastAsia="zh-CN"/>
              </w:rPr>
              <w:t>。</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（二）“三公经费”支出使用和管理情况</w:t>
            </w:r>
          </w:p>
          <w:p>
            <w:pPr>
              <w:spacing w:line="560" w:lineRule="exact"/>
              <w:ind w:firstLine="480" w:firstLineChars="200"/>
              <w:rPr>
                <w:rFonts w:hint="eastAsia" w:ascii="仿宋_GB2312" w:hAnsi="仿宋_GB2312" w:eastAsia="仿宋_GB2312" w:cs="仿宋_GB2312"/>
                <w:bCs/>
                <w:sz w:val="24"/>
                <w:szCs w:val="24"/>
              </w:rPr>
            </w:pPr>
          </w:p>
          <w:p>
            <w:pPr>
              <w:spacing w:line="560" w:lineRule="exact"/>
              <w:ind w:firstLine="480" w:firstLineChars="200"/>
              <w:rPr>
                <w:rFonts w:hint="eastAsia" w:ascii="仿宋_GB2312" w:hAnsi="仿宋_GB2312" w:eastAsia="仿宋_GB2312" w:cs="仿宋_GB2312"/>
                <w:bCs/>
                <w:sz w:val="24"/>
                <w:szCs w:val="24"/>
              </w:rPr>
            </w:pPr>
          </w:p>
          <w:p>
            <w:pPr>
              <w:spacing w:line="560" w:lineRule="exact"/>
              <w:ind w:firstLine="480" w:firstLineChars="200"/>
              <w:rPr>
                <w:rFonts w:hint="eastAsia" w:ascii="仿宋_GB2312" w:hAnsi="仿宋_GB2312" w:eastAsia="仿宋_GB2312" w:cs="仿宋_GB2312"/>
                <w:bCs/>
                <w:sz w:val="24"/>
                <w:szCs w:val="24"/>
              </w:rPr>
            </w:pPr>
          </w:p>
          <w:tbl>
            <w:tblPr>
              <w:tblStyle w:val="7"/>
              <w:tblW w:w="10290" w:type="dxa"/>
              <w:tblInd w:w="133" w:type="dxa"/>
              <w:tblLayout w:type="fixed"/>
              <w:tblCellMar>
                <w:top w:w="15" w:type="dxa"/>
                <w:left w:w="15" w:type="dxa"/>
                <w:bottom w:w="15" w:type="dxa"/>
                <w:right w:w="15" w:type="dxa"/>
              </w:tblCellMar>
            </w:tblPr>
            <w:tblGrid>
              <w:gridCol w:w="3040"/>
              <w:gridCol w:w="3450"/>
              <w:gridCol w:w="3800"/>
            </w:tblGrid>
            <w:tr>
              <w:tblPrEx>
                <w:tblLayout w:type="fixed"/>
                <w:tblCellMar>
                  <w:top w:w="15" w:type="dxa"/>
                  <w:left w:w="15" w:type="dxa"/>
                  <w:bottom w:w="15" w:type="dxa"/>
                  <w:right w:w="15" w:type="dxa"/>
                </w:tblCellMar>
              </w:tblPrEx>
              <w:trPr>
                <w:trHeight w:val="780" w:hRule="atLeast"/>
              </w:trPr>
              <w:tc>
                <w:tcPr>
                  <w:tcW w:w="3040" w:type="dxa"/>
                  <w:tcBorders>
                    <w:top w:val="single" w:color="000000" w:sz="8" w:space="0"/>
                    <w:left w:val="single" w:color="000000" w:sz="8" w:space="0"/>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费用项目</w:t>
                  </w:r>
                </w:p>
              </w:tc>
              <w:tc>
                <w:tcPr>
                  <w:tcW w:w="3450"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局部门</w:t>
                  </w:r>
                </w:p>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b/>
                      <w:bCs/>
                      <w:kern w:val="0"/>
                      <w:sz w:val="24"/>
                      <w:szCs w:val="24"/>
                      <w:lang w:val="en-US" w:eastAsia="zh-CN"/>
                    </w:rPr>
                    <w:t>2020</w:t>
                  </w:r>
                </w:p>
              </w:tc>
              <w:tc>
                <w:tcPr>
                  <w:tcW w:w="3800" w:type="dxa"/>
                  <w:tcBorders>
                    <w:top w:val="single" w:color="000000" w:sz="8" w:space="0"/>
                    <w:left w:val="nil"/>
                    <w:bottom w:val="single" w:color="000000" w:sz="8" w:space="0"/>
                    <w:right w:val="single" w:color="000000" w:sz="8" w:space="0"/>
                  </w:tcBorders>
                  <w:shd w:val="clear" w:color="auto" w:fill="C0C0C0"/>
                  <w:tcMar>
                    <w:top w:w="0" w:type="dxa"/>
                    <w:left w:w="15" w:type="dxa"/>
                    <w:bottom w:w="0" w:type="dxa"/>
                    <w:right w:w="15" w:type="dxa"/>
                  </w:tcMar>
                  <w:vAlign w:val="cente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局部门</w:t>
                  </w:r>
                </w:p>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b/>
                      <w:bCs/>
                      <w:kern w:val="0"/>
                      <w:sz w:val="24"/>
                      <w:szCs w:val="24"/>
                      <w:lang w:val="en-US" w:eastAsia="zh-CN"/>
                    </w:rPr>
                    <w:t>2021</w:t>
                  </w:r>
                </w:p>
              </w:tc>
            </w:tr>
            <w:tr>
              <w:tblPrEx>
                <w:tblLayout w:type="fixed"/>
                <w:tblCellMar>
                  <w:top w:w="15" w:type="dxa"/>
                  <w:left w:w="15" w:type="dxa"/>
                  <w:bottom w:w="15" w:type="dxa"/>
                  <w:right w:w="15" w:type="dxa"/>
                </w:tblCellMar>
              </w:tblPrEx>
              <w:trPr>
                <w:trHeight w:val="369" w:hRule="atLeast"/>
              </w:trPr>
              <w:tc>
                <w:tcPr>
                  <w:tcW w:w="3040" w:type="dxa"/>
                  <w:tcBorders>
                    <w:top w:val="nil"/>
                    <w:left w:val="single" w:color="000000" w:sz="8" w:space="0"/>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公务接待费</w:t>
                  </w:r>
                </w:p>
              </w:tc>
              <w:tc>
                <w:tcPr>
                  <w:tcW w:w="34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top"/>
                </w:tcPr>
                <w:p>
                  <w:pPr>
                    <w:widowControl/>
                    <w:spacing w:line="400" w:lineRule="atLeast"/>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2.29</w:t>
                  </w:r>
                </w:p>
              </w:tc>
              <w:tc>
                <w:tcPr>
                  <w:tcW w:w="380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1.88</w:t>
                  </w:r>
                </w:p>
              </w:tc>
            </w:tr>
            <w:tr>
              <w:tblPrEx>
                <w:tblLayout w:type="fixed"/>
                <w:tblCellMar>
                  <w:top w:w="15" w:type="dxa"/>
                  <w:left w:w="15" w:type="dxa"/>
                  <w:bottom w:w="15" w:type="dxa"/>
                  <w:right w:w="15" w:type="dxa"/>
                </w:tblCellMar>
              </w:tblPrEx>
              <w:trPr>
                <w:trHeight w:val="369" w:hRule="atLeast"/>
              </w:trPr>
              <w:tc>
                <w:tcPr>
                  <w:tcW w:w="3040" w:type="dxa"/>
                  <w:tcBorders>
                    <w:top w:val="nil"/>
                    <w:left w:val="single" w:color="000000" w:sz="8" w:space="0"/>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公车运行维护费</w:t>
                  </w:r>
                </w:p>
              </w:tc>
              <w:tc>
                <w:tcPr>
                  <w:tcW w:w="34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top"/>
                </w:tcPr>
                <w:p>
                  <w:pPr>
                    <w:widowControl/>
                    <w:spacing w:line="400" w:lineRule="atLeast"/>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3.57</w:t>
                  </w:r>
                </w:p>
              </w:tc>
              <w:tc>
                <w:tcPr>
                  <w:tcW w:w="380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3.26</w:t>
                  </w:r>
                </w:p>
              </w:tc>
            </w:tr>
            <w:tr>
              <w:tblPrEx>
                <w:tblLayout w:type="fixed"/>
                <w:tblCellMar>
                  <w:top w:w="15" w:type="dxa"/>
                  <w:left w:w="15" w:type="dxa"/>
                  <w:bottom w:w="15" w:type="dxa"/>
                  <w:right w:w="15" w:type="dxa"/>
                </w:tblCellMar>
              </w:tblPrEx>
              <w:trPr>
                <w:trHeight w:val="369" w:hRule="atLeast"/>
              </w:trPr>
              <w:tc>
                <w:tcPr>
                  <w:tcW w:w="3040" w:type="dxa"/>
                  <w:tcBorders>
                    <w:top w:val="nil"/>
                    <w:left w:val="single" w:color="000000" w:sz="8" w:space="0"/>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因公出国费用</w:t>
                  </w:r>
                </w:p>
              </w:tc>
              <w:tc>
                <w:tcPr>
                  <w:tcW w:w="34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top"/>
                </w:tcPr>
                <w:p>
                  <w:pPr>
                    <w:widowControl/>
                    <w:spacing w:line="400" w:lineRule="atLeast"/>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w:t>
                  </w:r>
                </w:p>
              </w:tc>
              <w:tc>
                <w:tcPr>
                  <w:tcW w:w="380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w:t>
                  </w:r>
                </w:p>
              </w:tc>
            </w:tr>
            <w:tr>
              <w:tblPrEx>
                <w:tblLayout w:type="fixed"/>
                <w:tblCellMar>
                  <w:top w:w="15" w:type="dxa"/>
                  <w:left w:w="15" w:type="dxa"/>
                  <w:bottom w:w="15" w:type="dxa"/>
                  <w:right w:w="15" w:type="dxa"/>
                </w:tblCellMar>
              </w:tblPrEx>
              <w:trPr>
                <w:trHeight w:val="369" w:hRule="atLeast"/>
              </w:trPr>
              <w:tc>
                <w:tcPr>
                  <w:tcW w:w="3040" w:type="dxa"/>
                  <w:tcBorders>
                    <w:top w:val="nil"/>
                    <w:left w:val="single" w:color="000000" w:sz="8" w:space="0"/>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公务车购置费</w:t>
                  </w:r>
                </w:p>
              </w:tc>
              <w:tc>
                <w:tcPr>
                  <w:tcW w:w="34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top"/>
                </w:tcPr>
                <w:p>
                  <w:pPr>
                    <w:widowControl/>
                    <w:spacing w:line="400" w:lineRule="atLeast"/>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w:t>
                  </w:r>
                </w:p>
              </w:tc>
              <w:tc>
                <w:tcPr>
                  <w:tcW w:w="380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w:t>
                  </w:r>
                </w:p>
              </w:tc>
            </w:tr>
            <w:tr>
              <w:tblPrEx>
                <w:tblLayout w:type="fixed"/>
                <w:tblCellMar>
                  <w:top w:w="15" w:type="dxa"/>
                  <w:left w:w="15" w:type="dxa"/>
                  <w:bottom w:w="15" w:type="dxa"/>
                  <w:right w:w="15" w:type="dxa"/>
                </w:tblCellMar>
              </w:tblPrEx>
              <w:trPr>
                <w:trHeight w:val="369" w:hRule="atLeast"/>
              </w:trPr>
              <w:tc>
                <w:tcPr>
                  <w:tcW w:w="3040" w:type="dxa"/>
                  <w:tcBorders>
                    <w:top w:val="nil"/>
                    <w:left w:val="single" w:color="000000" w:sz="8" w:space="0"/>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345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vAlign w:val="top"/>
                </w:tcPr>
                <w:p>
                  <w:pPr>
                    <w:widowControl/>
                    <w:spacing w:line="400" w:lineRule="atLeast"/>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5.86</w:t>
                  </w:r>
                </w:p>
              </w:tc>
              <w:tc>
                <w:tcPr>
                  <w:tcW w:w="3800" w:type="dxa"/>
                  <w:tcBorders>
                    <w:top w:val="nil"/>
                    <w:left w:val="nil"/>
                    <w:bottom w:val="single" w:color="000000" w:sz="8" w:space="0"/>
                    <w:right w:val="single" w:color="000000" w:sz="8" w:space="0"/>
                  </w:tcBorders>
                  <w:shd w:val="clear" w:color="auto" w:fill="C0C0C0"/>
                  <w:tcMar>
                    <w:top w:w="0" w:type="dxa"/>
                    <w:left w:w="15" w:type="dxa"/>
                    <w:bottom w:w="0" w:type="dxa"/>
                    <w:right w:w="15" w:type="dxa"/>
                  </w:tcMar>
                </w:tcPr>
                <w:p>
                  <w:pPr>
                    <w:widowControl/>
                    <w:spacing w:line="400" w:lineRule="atLeast"/>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5.14</w:t>
                  </w:r>
                </w:p>
              </w:tc>
            </w:tr>
          </w:tbl>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1、20</w:t>
            </w:r>
            <w:r>
              <w:rPr>
                <w:rFonts w:hint="eastAsia" w:ascii="仿宋_GB2312" w:hAnsi="仿宋_GB2312" w:eastAsia="仿宋_GB2312" w:cs="仿宋_GB2312"/>
                <w:b/>
                <w:bCs/>
                <w:color w:val="555555"/>
                <w:kern w:val="0"/>
                <w:sz w:val="24"/>
                <w:szCs w:val="24"/>
                <w:lang w:val="en-US" w:eastAsia="zh-CN"/>
              </w:rPr>
              <w:t>21</w:t>
            </w:r>
            <w:r>
              <w:rPr>
                <w:rFonts w:hint="eastAsia" w:ascii="仿宋_GB2312" w:hAnsi="仿宋_GB2312" w:eastAsia="仿宋_GB2312" w:cs="仿宋_GB2312"/>
                <w:b/>
                <w:bCs/>
                <w:color w:val="555555"/>
                <w:kern w:val="0"/>
                <w:sz w:val="24"/>
                <w:szCs w:val="24"/>
              </w:rPr>
              <w:t>年“三公经费”预算情况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上述三公经费预算已在</w:t>
            </w:r>
            <w:r>
              <w:rPr>
                <w:rFonts w:hint="eastAsia" w:ascii="仿宋_GB2312" w:hAnsi="仿宋_GB2312" w:eastAsia="仿宋_GB2312" w:cs="仿宋_GB2312"/>
                <w:color w:val="555555"/>
                <w:kern w:val="0"/>
                <w:sz w:val="24"/>
                <w:szCs w:val="24"/>
                <w:lang w:eastAsia="zh-CN"/>
              </w:rPr>
              <w:t>老干部局</w:t>
            </w:r>
            <w:r>
              <w:rPr>
                <w:rFonts w:hint="eastAsia" w:ascii="仿宋_GB2312" w:hAnsi="仿宋_GB2312" w:eastAsia="仿宋_GB2312" w:cs="仿宋_GB2312"/>
                <w:color w:val="555555"/>
                <w:kern w:val="0"/>
                <w:sz w:val="24"/>
                <w:szCs w:val="24"/>
              </w:rPr>
              <w:t>网站上进行了公示（注：公示内容是全部的财政拨款资金）。</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2、三公经费预算执行情况</w:t>
            </w:r>
          </w:p>
          <w:p>
            <w:pPr>
              <w:widowControl/>
              <w:spacing w:line="520" w:lineRule="atLeast"/>
              <w:ind w:firstLine="470"/>
              <w:jc w:val="left"/>
              <w:rPr>
                <w:rFonts w:hint="eastAsia" w:ascii="仿宋_GB2312" w:hAnsi="仿宋_GB2312" w:eastAsia="仿宋_GB2312" w:cs="仿宋_GB2312"/>
                <w:color w:val="555555"/>
                <w:kern w:val="0"/>
                <w:sz w:val="24"/>
                <w:szCs w:val="24"/>
                <w:lang w:eastAsia="zh-CN"/>
              </w:rPr>
            </w:pPr>
            <w:r>
              <w:rPr>
                <w:rFonts w:hint="eastAsia" w:ascii="仿宋_GB2312" w:hAnsi="仿宋_GB2312" w:eastAsia="仿宋_GB2312" w:cs="仿宋_GB2312"/>
                <w:color w:val="555555"/>
                <w:kern w:val="0"/>
                <w:sz w:val="24"/>
                <w:szCs w:val="24"/>
              </w:rPr>
              <w:t>“三公经费”本年实际支出</w:t>
            </w:r>
            <w:r>
              <w:rPr>
                <w:rFonts w:hint="eastAsia" w:ascii="仿宋_GB2312" w:hAnsi="仿宋_GB2312" w:eastAsia="仿宋_GB2312" w:cs="仿宋_GB2312"/>
                <w:color w:val="555555"/>
                <w:kern w:val="0"/>
                <w:sz w:val="24"/>
                <w:szCs w:val="24"/>
                <w:lang w:val="en-US" w:eastAsia="zh-CN"/>
              </w:rPr>
              <w:t>5.14</w:t>
            </w:r>
            <w:r>
              <w:rPr>
                <w:rFonts w:hint="eastAsia" w:ascii="仿宋_GB2312" w:hAnsi="仿宋_GB2312" w:eastAsia="仿宋_GB2312" w:cs="仿宋_GB2312"/>
                <w:color w:val="555555"/>
                <w:kern w:val="0"/>
                <w:sz w:val="24"/>
                <w:szCs w:val="24"/>
              </w:rPr>
              <w:t>万元，总额控制较好。其中公务接待费实际支出</w:t>
            </w:r>
            <w:r>
              <w:rPr>
                <w:rFonts w:hint="eastAsia" w:ascii="仿宋_GB2312" w:hAnsi="仿宋_GB2312" w:eastAsia="仿宋_GB2312" w:cs="仿宋_GB2312"/>
                <w:color w:val="555555"/>
                <w:kern w:val="0"/>
                <w:sz w:val="24"/>
                <w:szCs w:val="24"/>
                <w:lang w:val="en-US" w:eastAsia="zh-CN"/>
              </w:rPr>
              <w:t>1.88</w:t>
            </w:r>
            <w:r>
              <w:rPr>
                <w:rFonts w:hint="eastAsia" w:ascii="仿宋_GB2312" w:hAnsi="仿宋_GB2312" w:eastAsia="仿宋_GB2312" w:cs="仿宋_GB2312"/>
                <w:color w:val="555555"/>
                <w:kern w:val="0"/>
                <w:sz w:val="24"/>
                <w:szCs w:val="24"/>
              </w:rPr>
              <w:t>万元，</w:t>
            </w:r>
            <w:r>
              <w:rPr>
                <w:rFonts w:hint="eastAsia" w:ascii="仿宋_GB2312" w:hAnsi="仿宋_GB2312" w:eastAsia="仿宋_GB2312" w:cs="仿宋_GB2312"/>
                <w:color w:val="555555"/>
                <w:kern w:val="0"/>
                <w:sz w:val="24"/>
                <w:szCs w:val="24"/>
                <w:lang w:eastAsia="zh-CN"/>
              </w:rPr>
              <w:t>比</w:t>
            </w:r>
            <w:r>
              <w:rPr>
                <w:rFonts w:hint="eastAsia" w:ascii="仿宋_GB2312" w:hAnsi="仿宋_GB2312" w:eastAsia="仿宋_GB2312" w:cs="仿宋_GB2312"/>
                <w:color w:val="555555"/>
                <w:kern w:val="0"/>
                <w:sz w:val="24"/>
                <w:szCs w:val="24"/>
              </w:rPr>
              <w:t>上年</w:t>
            </w:r>
            <w:r>
              <w:rPr>
                <w:rFonts w:hint="eastAsia" w:ascii="仿宋_GB2312" w:hAnsi="仿宋_GB2312" w:eastAsia="仿宋_GB2312" w:cs="仿宋_GB2312"/>
                <w:color w:val="555555"/>
                <w:kern w:val="0"/>
                <w:sz w:val="24"/>
                <w:szCs w:val="24"/>
                <w:lang w:eastAsia="zh-CN"/>
              </w:rPr>
              <w:t>减少了</w:t>
            </w:r>
            <w:r>
              <w:rPr>
                <w:rFonts w:hint="eastAsia" w:ascii="仿宋_GB2312" w:hAnsi="仿宋_GB2312" w:eastAsia="仿宋_GB2312" w:cs="仿宋_GB2312"/>
                <w:color w:val="555555"/>
                <w:kern w:val="0"/>
                <w:sz w:val="24"/>
                <w:szCs w:val="24"/>
                <w:lang w:val="en-US" w:eastAsia="zh-CN"/>
              </w:rPr>
              <w:t>0.41万元，降低了17.90%</w:t>
            </w:r>
            <w:r>
              <w:rPr>
                <w:rFonts w:hint="eastAsia" w:ascii="仿宋_GB2312" w:hAnsi="仿宋_GB2312" w:eastAsia="仿宋_GB2312" w:cs="仿宋_GB2312"/>
                <w:color w:val="555555"/>
                <w:kern w:val="0"/>
                <w:sz w:val="24"/>
                <w:szCs w:val="24"/>
              </w:rPr>
              <w:t>；公务用车运行维护费实际使用</w:t>
            </w:r>
            <w:r>
              <w:rPr>
                <w:rFonts w:hint="eastAsia" w:ascii="仿宋_GB2312" w:hAnsi="仿宋_GB2312" w:eastAsia="仿宋_GB2312" w:cs="仿宋_GB2312"/>
                <w:color w:val="555555"/>
                <w:kern w:val="0"/>
                <w:sz w:val="24"/>
                <w:szCs w:val="24"/>
                <w:lang w:val="en-US" w:eastAsia="zh-CN"/>
              </w:rPr>
              <w:t>3.26</w:t>
            </w:r>
            <w:r>
              <w:rPr>
                <w:rFonts w:hint="eastAsia" w:ascii="仿宋_GB2312" w:hAnsi="仿宋_GB2312" w:eastAsia="仿宋_GB2312" w:cs="仿宋_GB2312"/>
                <w:color w:val="555555"/>
                <w:kern w:val="0"/>
                <w:sz w:val="24"/>
                <w:szCs w:val="24"/>
              </w:rPr>
              <w:t>万元，比上年</w:t>
            </w:r>
            <w:r>
              <w:rPr>
                <w:rFonts w:hint="eastAsia" w:ascii="仿宋_GB2312" w:hAnsi="仿宋_GB2312" w:eastAsia="仿宋_GB2312" w:cs="仿宋_GB2312"/>
                <w:color w:val="555555"/>
                <w:kern w:val="0"/>
                <w:sz w:val="24"/>
                <w:szCs w:val="24"/>
                <w:lang w:eastAsia="zh-CN"/>
              </w:rPr>
              <w:t>减少了</w:t>
            </w:r>
            <w:r>
              <w:rPr>
                <w:rFonts w:hint="eastAsia" w:ascii="仿宋_GB2312" w:hAnsi="仿宋_GB2312" w:eastAsia="仿宋_GB2312" w:cs="仿宋_GB2312"/>
                <w:color w:val="555555"/>
                <w:kern w:val="0"/>
                <w:sz w:val="24"/>
                <w:szCs w:val="24"/>
                <w:lang w:val="en-US" w:eastAsia="zh-CN"/>
              </w:rPr>
              <w:t>0.31万元，</w:t>
            </w:r>
            <w:r>
              <w:rPr>
                <w:rFonts w:hint="eastAsia" w:ascii="仿宋_GB2312" w:hAnsi="仿宋_GB2312" w:eastAsia="仿宋_GB2312" w:cs="仿宋_GB2312"/>
                <w:color w:val="555555"/>
                <w:kern w:val="0"/>
                <w:sz w:val="24"/>
                <w:szCs w:val="24"/>
              </w:rPr>
              <w:t>降低</w:t>
            </w:r>
            <w:r>
              <w:rPr>
                <w:rFonts w:hint="eastAsia" w:ascii="仿宋_GB2312" w:hAnsi="仿宋_GB2312" w:eastAsia="仿宋_GB2312" w:cs="仿宋_GB2312"/>
                <w:color w:val="555555"/>
                <w:kern w:val="0"/>
                <w:sz w:val="24"/>
                <w:szCs w:val="24"/>
                <w:lang w:val="en-US" w:eastAsia="zh-CN"/>
              </w:rPr>
              <w:t>8.6</w:t>
            </w:r>
            <w:r>
              <w:rPr>
                <w:rFonts w:hint="eastAsia" w:ascii="仿宋_GB2312" w:hAnsi="仿宋_GB2312" w:eastAsia="仿宋_GB2312" w:cs="仿宋_GB2312"/>
                <w:color w:val="555555"/>
                <w:kern w:val="0"/>
                <w:sz w:val="24"/>
                <w:szCs w:val="24"/>
              </w:rPr>
              <w:t>%</w:t>
            </w:r>
            <w:r>
              <w:rPr>
                <w:rFonts w:hint="eastAsia" w:ascii="仿宋_GB2312" w:hAnsi="仿宋_GB2312" w:eastAsia="仿宋_GB2312" w:cs="仿宋_GB2312"/>
                <w:color w:val="555555"/>
                <w:kern w:val="0"/>
                <w:sz w:val="24"/>
                <w:szCs w:val="24"/>
                <w:lang w:eastAsia="zh-CN"/>
              </w:rPr>
              <w:t>。</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公务接待费本年人均</w:t>
            </w:r>
            <w:r>
              <w:rPr>
                <w:rFonts w:hint="eastAsia" w:ascii="仿宋_GB2312" w:hAnsi="仿宋_GB2312" w:eastAsia="仿宋_GB2312" w:cs="仿宋_GB2312"/>
                <w:color w:val="555555"/>
                <w:kern w:val="0"/>
                <w:sz w:val="24"/>
                <w:szCs w:val="24"/>
                <w:lang w:val="en-US" w:eastAsia="zh-CN"/>
              </w:rPr>
              <w:t>0.10</w:t>
            </w:r>
            <w:r>
              <w:rPr>
                <w:rFonts w:hint="eastAsia" w:ascii="仿宋_GB2312" w:hAnsi="仿宋_GB2312" w:eastAsia="仿宋_GB2312" w:cs="仿宋_GB2312"/>
                <w:color w:val="555555"/>
                <w:kern w:val="0"/>
                <w:sz w:val="24"/>
                <w:szCs w:val="24"/>
              </w:rPr>
              <w:t>万元；本年在使用公车</w:t>
            </w:r>
            <w:r>
              <w:rPr>
                <w:rFonts w:hint="eastAsia" w:ascii="仿宋_GB2312" w:hAnsi="仿宋_GB2312" w:eastAsia="仿宋_GB2312" w:cs="仿宋_GB2312"/>
                <w:color w:val="555555"/>
                <w:kern w:val="0"/>
                <w:sz w:val="24"/>
                <w:szCs w:val="24"/>
                <w:lang w:val="en-US" w:eastAsia="zh-CN"/>
              </w:rPr>
              <w:t>1</w:t>
            </w:r>
            <w:r>
              <w:rPr>
                <w:rFonts w:hint="eastAsia" w:ascii="仿宋_GB2312" w:hAnsi="仿宋_GB2312" w:eastAsia="仿宋_GB2312" w:cs="仿宋_GB2312"/>
                <w:color w:val="555555"/>
                <w:kern w:val="0"/>
                <w:sz w:val="24"/>
                <w:szCs w:val="24"/>
              </w:rPr>
              <w:t>台，公车运行维护费平均每台</w:t>
            </w:r>
            <w:r>
              <w:rPr>
                <w:rFonts w:hint="eastAsia" w:ascii="仿宋_GB2312" w:hAnsi="仿宋_GB2312" w:eastAsia="仿宋_GB2312" w:cs="仿宋_GB2312"/>
                <w:color w:val="555555"/>
                <w:kern w:val="0"/>
                <w:sz w:val="24"/>
                <w:szCs w:val="24"/>
                <w:lang w:val="en-US" w:eastAsia="zh-CN"/>
              </w:rPr>
              <w:t>3.26</w:t>
            </w:r>
            <w:r>
              <w:rPr>
                <w:rFonts w:hint="eastAsia" w:ascii="仿宋_GB2312" w:hAnsi="仿宋_GB2312" w:eastAsia="仿宋_GB2312" w:cs="仿宋_GB2312"/>
                <w:color w:val="555555"/>
                <w:kern w:val="0"/>
                <w:sz w:val="24"/>
                <w:szCs w:val="24"/>
              </w:rPr>
              <w:t>万元/台。</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3、与上年比较，三公经费控制情况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与上年比较，</w:t>
            </w:r>
            <w:r>
              <w:rPr>
                <w:rFonts w:hint="eastAsia" w:ascii="仿宋_GB2312" w:hAnsi="仿宋_GB2312" w:eastAsia="仿宋_GB2312" w:cs="仿宋_GB2312"/>
                <w:color w:val="555555"/>
                <w:kern w:val="0"/>
                <w:sz w:val="24"/>
                <w:szCs w:val="24"/>
                <w:lang w:eastAsia="zh-CN"/>
              </w:rPr>
              <w:t>三公经费</w:t>
            </w:r>
            <w:r>
              <w:rPr>
                <w:rFonts w:hint="eastAsia" w:ascii="仿宋_GB2312" w:hAnsi="仿宋_GB2312" w:eastAsia="仿宋_GB2312" w:cs="仿宋_GB2312"/>
                <w:color w:val="555555"/>
                <w:kern w:val="0"/>
                <w:sz w:val="24"/>
                <w:szCs w:val="24"/>
              </w:rPr>
              <w:t>控制较好。</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   （三）专项支出管理和使用情况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1、专项资金预算投入、实际投入情况</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（1）本年预算投入</w:t>
            </w:r>
            <w:r>
              <w:rPr>
                <w:rFonts w:hint="eastAsia" w:ascii="仿宋_GB2312" w:hAnsi="仿宋_GB2312" w:eastAsia="仿宋_GB2312" w:cs="仿宋_GB2312"/>
                <w:color w:val="555555"/>
                <w:kern w:val="0"/>
                <w:sz w:val="28"/>
                <w:szCs w:val="28"/>
                <w:lang w:val="en-US" w:eastAsia="zh-CN"/>
              </w:rPr>
              <w:t>286.50</w:t>
            </w:r>
            <w:r>
              <w:rPr>
                <w:rFonts w:hint="eastAsia" w:ascii="仿宋_GB2312" w:hAnsi="仿宋_GB2312" w:eastAsia="仿宋_GB2312" w:cs="仿宋_GB2312"/>
                <w:color w:val="555555"/>
                <w:kern w:val="0"/>
                <w:sz w:val="24"/>
                <w:szCs w:val="24"/>
              </w:rPr>
              <w:t>万元，实际投入</w:t>
            </w:r>
            <w:r>
              <w:rPr>
                <w:rFonts w:hint="eastAsia" w:ascii="仿宋_GB2312" w:hAnsi="仿宋_GB2312" w:eastAsia="仿宋_GB2312" w:cs="仿宋_GB2312"/>
                <w:color w:val="555555"/>
                <w:kern w:val="0"/>
                <w:sz w:val="24"/>
                <w:szCs w:val="24"/>
                <w:lang w:val="en-US" w:eastAsia="zh-CN"/>
              </w:rPr>
              <w:t>414.45</w:t>
            </w:r>
            <w:r>
              <w:rPr>
                <w:rFonts w:hint="eastAsia" w:ascii="仿宋_GB2312" w:hAnsi="仿宋_GB2312" w:eastAsia="仿宋_GB2312" w:cs="仿宋_GB2312"/>
                <w:color w:val="555555"/>
                <w:kern w:val="0"/>
                <w:sz w:val="24"/>
                <w:szCs w:val="24"/>
              </w:rPr>
              <w:t>万元。</w:t>
            </w:r>
          </w:p>
          <w:p>
            <w:pPr>
              <w:widowControl/>
              <w:spacing w:line="520" w:lineRule="atLeast"/>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w:t>
            </w:r>
            <w:r>
              <w:rPr>
                <w:rFonts w:hint="eastAsia" w:ascii="仿宋_GB2312" w:hAnsi="仿宋_GB2312" w:eastAsia="仿宋_GB2312" w:cs="仿宋_GB2312"/>
                <w:b/>
                <w:bCs/>
                <w:color w:val="555555"/>
                <w:kern w:val="0"/>
                <w:sz w:val="24"/>
                <w:szCs w:val="24"/>
              </w:rPr>
              <w:t>2、专项资金管理情况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对专项资金的管理我局遵循专款专用、单独核算的管理原则；专项项目的申报严格按照财政资金管理的要求进行，专项资金财政拨款到位后及时进行了项目的开展和资金的投入。</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我局对专项资金的管理按照项目支出涉及的经济科目的明细项目，根据财务管理办法的相关制度执行。</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四、部门专项组织实施情况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资金中涉及的政府采购事项，我局严格按照</w:t>
            </w:r>
            <w:r>
              <w:rPr>
                <w:rFonts w:hint="eastAsia" w:ascii="仿宋_GB2312" w:hAnsi="仿宋_GB2312" w:eastAsia="仿宋_GB2312" w:cs="仿宋_GB2312"/>
                <w:color w:val="555555"/>
                <w:kern w:val="0"/>
                <w:sz w:val="24"/>
                <w:szCs w:val="24"/>
                <w:lang w:eastAsia="zh-CN"/>
              </w:rPr>
              <w:t>市</w:t>
            </w:r>
            <w:r>
              <w:rPr>
                <w:rFonts w:hint="eastAsia" w:ascii="仿宋_GB2312" w:hAnsi="仿宋_GB2312" w:eastAsia="仿宋_GB2312" w:cs="仿宋_GB2312"/>
                <w:color w:val="555555"/>
                <w:kern w:val="0"/>
                <w:sz w:val="24"/>
                <w:szCs w:val="24"/>
              </w:rPr>
              <w:t>财政</w:t>
            </w:r>
            <w:r>
              <w:rPr>
                <w:rFonts w:hint="eastAsia" w:ascii="仿宋_GB2312" w:hAnsi="仿宋_GB2312" w:eastAsia="仿宋_GB2312" w:cs="仿宋_GB2312"/>
                <w:color w:val="555555"/>
                <w:kern w:val="0"/>
                <w:sz w:val="24"/>
                <w:szCs w:val="24"/>
                <w:lang w:eastAsia="zh-CN"/>
              </w:rPr>
              <w:t>局</w:t>
            </w:r>
            <w:r>
              <w:rPr>
                <w:rFonts w:hint="eastAsia" w:ascii="仿宋_GB2312" w:hAnsi="仿宋_GB2312" w:eastAsia="仿宋_GB2312" w:cs="仿宋_GB2312"/>
                <w:color w:val="555555"/>
                <w:kern w:val="0"/>
                <w:sz w:val="24"/>
                <w:szCs w:val="24"/>
              </w:rPr>
              <w:t>采购要求进行审批，同时严格合同的签订，落实采购物资和服务的验收，做好资金支付的审核审批手续。</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五、部门整体支出绩效情况</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20</w:t>
            </w:r>
            <w:r>
              <w:rPr>
                <w:rFonts w:hint="eastAsia" w:ascii="仿宋_GB2312" w:hAnsi="仿宋_GB2312" w:eastAsia="仿宋_GB2312" w:cs="仿宋_GB2312"/>
                <w:color w:val="555555"/>
                <w:kern w:val="0"/>
                <w:sz w:val="24"/>
                <w:szCs w:val="24"/>
                <w:lang w:val="en-US" w:eastAsia="zh-CN"/>
              </w:rPr>
              <w:t>21</w:t>
            </w:r>
            <w:r>
              <w:rPr>
                <w:rFonts w:hint="eastAsia" w:ascii="仿宋_GB2312" w:hAnsi="仿宋_GB2312" w:eastAsia="仿宋_GB2312" w:cs="仿宋_GB2312"/>
                <w:color w:val="555555"/>
                <w:kern w:val="0"/>
                <w:sz w:val="24"/>
                <w:szCs w:val="24"/>
              </w:rPr>
              <w:t>年，根据局年初工作规划和重点性工作，较好的完成了年度工作目标。通过加强预算收支的管理，不断建立健全内部管理制度，梳理内部管理流程，部门整体支出管理情况得到了提升。根据前面对20</w:t>
            </w:r>
            <w:r>
              <w:rPr>
                <w:rFonts w:hint="eastAsia" w:ascii="仿宋_GB2312" w:hAnsi="仿宋_GB2312" w:eastAsia="仿宋_GB2312" w:cs="仿宋_GB2312"/>
                <w:color w:val="555555"/>
                <w:kern w:val="0"/>
                <w:sz w:val="24"/>
                <w:szCs w:val="24"/>
                <w:lang w:val="en-US" w:eastAsia="zh-CN"/>
              </w:rPr>
              <w:t>21</w:t>
            </w:r>
            <w:r>
              <w:rPr>
                <w:rFonts w:hint="eastAsia" w:ascii="仿宋_GB2312" w:hAnsi="仿宋_GB2312" w:eastAsia="仿宋_GB2312" w:cs="仿宋_GB2312"/>
                <w:color w:val="555555"/>
                <w:kern w:val="0"/>
                <w:sz w:val="24"/>
                <w:szCs w:val="24"/>
              </w:rPr>
              <w:t>年度部门整体支出状况的概述和分析，部门整体支出绩效情况如下：</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（一）经济性评价方面</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1、本年预算配置控制较好，财政供养人员控制在预算编制以内，编制内在职人员控制在预算编制以内；三公经费预算总额较上年减少。</w:t>
            </w:r>
          </w:p>
          <w:p>
            <w:pPr>
              <w:widowControl/>
              <w:shd w:val="clear" w:color="auto" w:fill="FFFFFF"/>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2、预算执行方面，除专项预算的追加和政策性工资绩效预算的追加外，支出总额控制在预算总额以内；转移支付在收到专项资金时及时进行了拨付；不存在截留或滞留专项资金情况；三公经费总额和财政拨款支出三公经费总体控制较好。</w:t>
            </w:r>
          </w:p>
          <w:p>
            <w:pPr>
              <w:widowControl/>
              <w:shd w:val="clear" w:color="auto" w:fill="FFFFFF"/>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预算管理方面，制度执行总体较为有效，仍需进一步强化；资金使用管理需进一步加强。</w:t>
            </w:r>
          </w:p>
          <w:p>
            <w:pPr>
              <w:widowControl/>
              <w:shd w:val="clear" w:color="auto" w:fill="FFFFFF"/>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资产管理方面建立了资产管理制度，定期进行了盘点和资产清理，总体执行较好。</w:t>
            </w:r>
          </w:p>
          <w:p>
            <w:pPr>
              <w:widowControl/>
              <w:shd w:val="clear" w:color="auto" w:fill="FFFFFF"/>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根据部门整体支出绩效评价指标体系，本局20</w:t>
            </w:r>
            <w:r>
              <w:rPr>
                <w:rFonts w:hint="eastAsia" w:ascii="仿宋_GB2312" w:hAnsi="仿宋_GB2312" w:eastAsia="仿宋_GB2312" w:cs="仿宋_GB2312"/>
                <w:color w:val="555555"/>
                <w:kern w:val="0"/>
                <w:sz w:val="24"/>
                <w:szCs w:val="24"/>
                <w:lang w:val="en-US" w:eastAsia="zh-CN"/>
              </w:rPr>
              <w:t>21</w:t>
            </w:r>
            <w:r>
              <w:rPr>
                <w:rFonts w:hint="eastAsia" w:ascii="仿宋_GB2312" w:hAnsi="仿宋_GB2312" w:eastAsia="仿宋_GB2312" w:cs="仿宋_GB2312"/>
                <w:color w:val="555555"/>
                <w:kern w:val="0"/>
                <w:sz w:val="24"/>
                <w:szCs w:val="24"/>
              </w:rPr>
              <w:t>年度评价得分9</w:t>
            </w:r>
            <w:r>
              <w:rPr>
                <w:rFonts w:hint="eastAsia" w:ascii="仿宋_GB2312" w:hAnsi="仿宋_GB2312" w:eastAsia="仿宋_GB2312" w:cs="仿宋_GB2312"/>
                <w:color w:val="555555"/>
                <w:kern w:val="0"/>
                <w:sz w:val="24"/>
                <w:szCs w:val="24"/>
                <w:lang w:val="en-US" w:eastAsia="zh-CN"/>
              </w:rPr>
              <w:t>8</w:t>
            </w:r>
            <w:r>
              <w:rPr>
                <w:rFonts w:hint="eastAsia" w:ascii="仿宋_GB2312" w:hAnsi="仿宋_GB2312" w:eastAsia="仿宋_GB2312" w:cs="仿宋_GB2312"/>
                <w:color w:val="555555"/>
                <w:kern w:val="0"/>
                <w:sz w:val="24"/>
                <w:szCs w:val="24"/>
              </w:rPr>
              <w:t>分。</w:t>
            </w:r>
          </w:p>
          <w:p>
            <w:pPr>
              <w:widowControl/>
              <w:spacing w:line="60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w:t>
            </w:r>
            <w:r>
              <w:rPr>
                <w:rFonts w:hint="eastAsia" w:ascii="仿宋_GB2312" w:hAnsi="仿宋_GB2312" w:eastAsia="仿宋_GB2312" w:cs="仿宋_GB2312"/>
                <w:b/>
                <w:bCs/>
                <w:color w:val="555555"/>
                <w:kern w:val="0"/>
                <w:sz w:val="24"/>
                <w:szCs w:val="24"/>
                <w:lang w:eastAsia="zh-CN"/>
              </w:rPr>
              <w:t>六、</w:t>
            </w:r>
            <w:r>
              <w:rPr>
                <w:rFonts w:hint="eastAsia" w:ascii="仿宋_GB2312" w:hAnsi="仿宋_GB2312" w:eastAsia="仿宋_GB2312" w:cs="仿宋_GB2312"/>
                <w:b/>
                <w:bCs/>
                <w:color w:val="555555"/>
                <w:kern w:val="0"/>
                <w:sz w:val="24"/>
                <w:szCs w:val="24"/>
              </w:rPr>
              <w:t>存在的主要问题</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通过前述对我局整体支出情况的分析，反映出目前在整体支出的预算编制、执行和管理过程中，依然存在一些问题和不足；针对这些不足，我局将积极采取改进措施，持续改进，不断规范和强化管理。</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b/>
                <w:bCs/>
                <w:color w:val="555555"/>
                <w:kern w:val="0"/>
                <w:sz w:val="24"/>
                <w:szCs w:val="24"/>
              </w:rPr>
              <w:t>七、改进措施：</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针对上述存在的问题及我局整体支出管理工作的需要，进一步加强局本级的预算管理意识，严格按照预算编制的相关制度和要求，公用经费根据单位的年度工作重点和项目专项工作规划，本着“勤俭节约、保障运转”的原则进行预算的编制。在预算编制时首先需满足固定性的、相对刚性的费用支出项目，尽量压缩变动性的、有控制空间的费用项目，进一步提高预算编制的科学性、合理性、严谨性和可控性。</w:t>
            </w:r>
          </w:p>
          <w:p>
            <w:pPr>
              <w:widowControl/>
              <w:spacing w:line="520" w:lineRule="atLeast"/>
              <w:ind w:firstLine="470"/>
              <w:jc w:val="left"/>
              <w:rPr>
                <w:rFonts w:hint="eastAsia" w:ascii="仿宋_GB2312" w:hAnsi="仿宋_GB2312" w:eastAsia="仿宋_GB2312" w:cs="仿宋_GB2312"/>
                <w:color w:val="555555"/>
                <w:kern w:val="0"/>
                <w:sz w:val="24"/>
                <w:szCs w:val="24"/>
              </w:rPr>
            </w:pPr>
            <w:r>
              <w:rPr>
                <w:rFonts w:hint="eastAsia" w:ascii="仿宋_GB2312" w:hAnsi="仿宋_GB2312" w:eastAsia="仿宋_GB2312" w:cs="仿宋_GB2312"/>
                <w:color w:val="555555"/>
                <w:kern w:val="0"/>
                <w:sz w:val="24"/>
                <w:szCs w:val="24"/>
              </w:rPr>
              <w:t>   </w:t>
            </w:r>
          </w:p>
          <w:p>
            <w:pPr>
              <w:pStyle w:val="6"/>
              <w:shd w:val="clear" w:color="auto" w:fill="FFFFFF"/>
              <w:spacing w:before="0" w:beforeAutospacing="0" w:after="0" w:afterAutospacing="0" w:line="640" w:lineRule="exact"/>
              <w:ind w:firstLine="64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555555"/>
                <w:kern w:val="0"/>
                <w:sz w:val="24"/>
                <w:szCs w:val="24"/>
              </w:rPr>
              <w:t> </w:t>
            </w:r>
          </w:p>
          <w:p>
            <w:pPr>
              <w:spacing w:line="560" w:lineRule="exact"/>
              <w:ind w:firstLine="480" w:firstLineChars="200"/>
              <w:rPr>
                <w:rFonts w:hint="eastAsia" w:ascii="仿宋_GB2312" w:hAnsi="仿宋_GB2312" w:eastAsia="仿宋_GB2312" w:cs="仿宋_GB2312"/>
                <w:bCs/>
                <w:sz w:val="24"/>
                <w:szCs w:val="24"/>
              </w:rPr>
            </w:pPr>
          </w:p>
          <w:p>
            <w:pPr>
              <w:rPr>
                <w:rFonts w:hint="eastAsia" w:ascii="仿宋_GB2312" w:hAnsi="仿宋_GB2312" w:eastAsia="仿宋_GB2312" w:cs="仿宋_GB2312"/>
                <w:bCs/>
                <w:sz w:val="24"/>
                <w:szCs w:val="24"/>
              </w:rPr>
            </w:pPr>
          </w:p>
        </w:tc>
      </w:tr>
    </w:tbl>
    <w:p>
      <w:pPr>
        <w:spacing w:line="348" w:lineRule="auto"/>
        <w:rPr>
          <w:rFonts w:hint="eastAsia" w:ascii="仿宋_GB2312" w:hAnsi="仿宋_GB2312" w:eastAsia="仿宋_GB2312" w:cs="仿宋_GB2312"/>
          <w:bCs/>
          <w:sz w:val="24"/>
          <w:szCs w:val="24"/>
        </w:rPr>
      </w:pPr>
    </w:p>
    <w:p>
      <w:pPr>
        <w:rPr>
          <w:rFonts w:ascii="黑体" w:hAnsi="黑体" w:eastAsia="黑体"/>
          <w:sz w:val="28"/>
          <w:szCs w:val="28"/>
        </w:rPr>
      </w:pPr>
      <w:r>
        <w:rPr>
          <w:rFonts w:hint="eastAsia" w:ascii="仿宋_GB2312" w:hAnsi="仿宋_GB2312" w:eastAsia="仿宋_GB2312" w:cs="仿宋_GB2312"/>
          <w:bCs/>
          <w:sz w:val="24"/>
          <w:szCs w:val="24"/>
        </w:rPr>
        <w:br w:type="page"/>
      </w:r>
      <w:r>
        <w:rPr>
          <w:rFonts w:hint="eastAsia" w:ascii="黑体" w:hAnsi="黑体" w:eastAsia="黑体"/>
          <w:sz w:val="28"/>
          <w:szCs w:val="28"/>
        </w:rPr>
        <w:t>附件3-1</w:t>
      </w:r>
    </w:p>
    <w:p>
      <w:pPr>
        <w:spacing w:beforeLines="100" w:afterLines="100"/>
        <w:jc w:val="center"/>
        <w:rPr>
          <w:rFonts w:ascii="方正小标宋简体" w:eastAsia="方正小标宋简体"/>
          <w:sz w:val="28"/>
          <w:szCs w:val="28"/>
        </w:rPr>
      </w:pPr>
      <w:r>
        <w:rPr>
          <w:rFonts w:hint="eastAsia" w:ascii="方正小标宋简体" w:eastAsia="方正小标宋简体"/>
          <w:sz w:val="28"/>
          <w:szCs w:val="28"/>
        </w:rPr>
        <w:t>部门整体支出绩效评价评分表</w:t>
      </w:r>
    </w:p>
    <w:tbl>
      <w:tblPr>
        <w:tblStyle w:val="7"/>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1"/>
                <w:szCs w:val="21"/>
              </w:rPr>
            </w:pPr>
            <w:r>
              <w:rPr>
                <w:rFonts w:hint="eastAsia" w:ascii="仿宋_GB2312" w:hAnsi="宋体" w:eastAsia="仿宋_GB2312" w:cs="宋体"/>
                <w:b/>
                <w:bCs/>
                <w:kern w:val="0"/>
                <w:sz w:val="21"/>
                <w:szCs w:val="21"/>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21"/>
                <w:szCs w:val="21"/>
              </w:rPr>
            </w:pPr>
            <w:r>
              <w:rPr>
                <w:rFonts w:hint="eastAsia" w:ascii="仿宋_GB2312" w:hAnsi="宋体" w:eastAsia="仿宋_GB2312" w:cs="宋体"/>
                <w:b/>
                <w:bCs/>
                <w:spacing w:val="-10"/>
                <w:kern w:val="0"/>
                <w:sz w:val="21"/>
                <w:szCs w:val="21"/>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投  入</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预算配置</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财政供养人员</w:t>
            </w:r>
          </w:p>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以100%为标准。在职人员控制率≦100%，计5分；每超过一个百分点扣0.5分，扣完为止。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“三公经费”</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“三公经费”变动率≦0,计5分；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重点支出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过  程</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预算执行</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春节前下达全部专项资金的50%；6月底前所有专项资金指标全部下达完。</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“三公经费”</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以100%为标准。三公经费控制率≦100%，计6分；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预算管理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管理制度</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①已制定或具有预算资金管理办法，内部财务管理制度、会计核算制度等管理制度，1分；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②相关管理制度合法、合规、完整，1分；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资金使用</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①支出符合国家财经法规和财务管理制度规定以及有关专项资金管理办法的规定；</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②资金拨付有完整的审批程序和手续；</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③项目支出按规定经过评估论证；</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④支出符合部门预算批复的用途；</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spacing w:val="-6"/>
                <w:kern w:val="0"/>
                <w:sz w:val="21"/>
                <w:szCs w:val="21"/>
              </w:rPr>
              <w:t>⑤资金使用无截留、挤占、挪用、虚列支出等情况。</w:t>
            </w:r>
            <w:r>
              <w:rPr>
                <w:rFonts w:hint="eastAsia" w:ascii="仿宋_GB2312" w:hAnsi="仿宋_GB2312" w:eastAsia="仿宋_GB2312" w:cs="仿宋_GB2312"/>
                <w:spacing w:val="-6"/>
                <w:kern w:val="0"/>
                <w:sz w:val="21"/>
                <w:szCs w:val="21"/>
              </w:rPr>
              <w:br w:type="textWrapping"/>
            </w:r>
            <w:r>
              <w:rPr>
                <w:rFonts w:hint="eastAsia" w:ascii="仿宋_GB2312" w:hAnsi="仿宋_GB2312" w:eastAsia="仿宋_GB2312" w:cs="仿宋_GB2312"/>
                <w:spacing w:val="-6"/>
                <w:kern w:val="0"/>
                <w:sz w:val="21"/>
                <w:szCs w:val="21"/>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1"/>
                <w:szCs w:val="21"/>
              </w:rPr>
            </w:pPr>
          </w:p>
        </w:tc>
      </w:tr>
      <w:tr>
        <w:tblPrEx>
          <w:tblLayout w:type="fixed"/>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①按规定内容公开预决算信息，1分；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②按规定时限公开预决算信息，0.5分；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③基础数据信息和会计信息资料真实，0.5分；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④基础数据信息和会计信息资料完整，0.5分；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政府采购</w:t>
            </w:r>
          </w:p>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政府采购执行率等于100%的，得3分；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公务卡刷卡率达50％以上的，得3分。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资产管理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管理制度</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①已制定或具有资产管理制度，且相关资产管理制度合法、合规、完整，2分；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1"/>
          <w:szCs w:val="21"/>
        </w:rPr>
      </w:pPr>
    </w:p>
    <w:tbl>
      <w:tblPr>
        <w:tblStyle w:val="7"/>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b/>
                <w:bCs/>
                <w:spacing w:val="-12"/>
                <w:kern w:val="0"/>
                <w:sz w:val="21"/>
                <w:szCs w:val="21"/>
              </w:rPr>
            </w:pPr>
            <w:r>
              <w:rPr>
                <w:rFonts w:hint="eastAsia" w:ascii="仿宋_GB2312" w:hAnsi="仿宋_GB2312" w:eastAsia="仿宋_GB2312" w:cs="仿宋_GB2312"/>
                <w:b/>
                <w:bCs/>
                <w:spacing w:val="-12"/>
                <w:kern w:val="0"/>
                <w:sz w:val="21"/>
                <w:szCs w:val="21"/>
              </w:rPr>
              <w:t>扣分原因和其他说明</w:t>
            </w:r>
          </w:p>
        </w:tc>
      </w:tr>
      <w:tr>
        <w:tblPrEx>
          <w:tblLayout w:type="fixed"/>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过  程</w:t>
            </w:r>
          </w:p>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资产管理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资产管理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①资产保存完整；</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②资产配置合理；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 xml:space="preserve">③资产处置规范； </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④资产账务管理合规，帐实相符；</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⑤资产有偿使用及处置收入及时足额上缴；</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固定资产</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职责履行</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效  果</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履职效益</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此三项指标为设置部门整体支出绩效评价指标时必须考虑的共性要素。</w:t>
            </w:r>
          </w:p>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仿宋_GB2312" w:eastAsia="仿宋_GB2312" w:cs="仿宋_GB2312"/>
                <w:kern w:val="0"/>
                <w:sz w:val="21"/>
                <w:szCs w:val="21"/>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95%（含）以上计5分；</w:t>
            </w:r>
          </w:p>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85%（含）-95%，计3分；</w:t>
            </w:r>
          </w:p>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75%（含）-85%，计1分；</w:t>
            </w:r>
          </w:p>
          <w:p>
            <w:pPr>
              <w:widowControl/>
              <w:spacing w:line="24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1"/>
                <w:szCs w:val="21"/>
              </w:rPr>
            </w:pPr>
          </w:p>
        </w:tc>
      </w:tr>
      <w:tr>
        <w:tblPrEx>
          <w:tblLayout w:type="fixed"/>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1"/>
                <w:szCs w:val="21"/>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1"/>
                <w:szCs w:val="21"/>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1"/>
                <w:szCs w:val="21"/>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spacing w:val="-8"/>
                <w:kern w:val="0"/>
                <w:sz w:val="21"/>
                <w:szCs w:val="21"/>
              </w:rPr>
            </w:pPr>
            <w:r>
              <w:rPr>
                <w:rFonts w:hint="eastAsia" w:ascii="仿宋_GB2312" w:hAnsi="仿宋_GB2312" w:eastAsia="仿宋_GB2312" w:cs="仿宋_GB2312"/>
                <w:b/>
                <w:bCs/>
                <w:spacing w:val="-8"/>
                <w:kern w:val="0"/>
                <w:sz w:val="21"/>
                <w:szCs w:val="21"/>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98</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1"/>
                <w:szCs w:val="21"/>
              </w:rPr>
            </w:pPr>
          </w:p>
        </w:tc>
      </w:tr>
    </w:tbl>
    <w:p>
      <w:pPr>
        <w:spacing w:beforeLines="5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备注：如部门（单位）根据本部门实际情况修改调整了附件3《部门整体支出绩效评价指标体系（参考样表）》，须相应修改调整本表中的对应部分。</w:t>
      </w:r>
    </w:p>
    <w:p>
      <w:pPr>
        <w:spacing w:beforeLines="50" w:line="560" w:lineRule="exact"/>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9</w:t>
    </w:r>
    <w:r>
      <w:rPr>
        <w:sz w:val="24"/>
        <w:szCs w:val="24"/>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F20B49"/>
    <w:multiLevelType w:val="singleLevel"/>
    <w:tmpl w:val="97F20B49"/>
    <w:lvl w:ilvl="0" w:tentative="0">
      <w:start w:val="1"/>
      <w:numFmt w:val="decimal"/>
      <w:lvlText w:val="%1."/>
      <w:lvlJc w:val="left"/>
      <w:pPr>
        <w:tabs>
          <w:tab w:val="left" w:pos="312"/>
        </w:tabs>
      </w:pPr>
    </w:lvl>
  </w:abstractNum>
  <w:abstractNum w:abstractNumId="1">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2">
    <w:nsid w:val="013EA974"/>
    <w:multiLevelType w:val="singleLevel"/>
    <w:tmpl w:val="013EA974"/>
    <w:lvl w:ilvl="0" w:tentative="0">
      <w:start w:val="1"/>
      <w:numFmt w:val="decimal"/>
      <w:lvlText w:val="%1."/>
      <w:lvlJc w:val="left"/>
      <w:pPr>
        <w:tabs>
          <w:tab w:val="left" w:pos="312"/>
        </w:tabs>
      </w:pPr>
    </w:lvl>
  </w:abstractNum>
  <w:abstractNum w:abstractNumId="3">
    <w:nsid w:val="12B151E0"/>
    <w:multiLevelType w:val="multilevel"/>
    <w:tmpl w:val="12B151E0"/>
    <w:lvl w:ilvl="0" w:tentative="0">
      <w:start w:val="1"/>
      <w:numFmt w:val="decimal"/>
      <w:lvlText w:val="%1、"/>
      <w:lvlJc w:val="left"/>
      <w:pPr>
        <w:ind w:left="1190" w:hanging="720"/>
      </w:pPr>
      <w:rPr>
        <w:rFonts w:hint="default"/>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Yjc4YTc1MTljYmFjMjgwNDAyZTg0NzBjZWIyMGI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2B04745"/>
    <w:rsid w:val="039535B6"/>
    <w:rsid w:val="046A5127"/>
    <w:rsid w:val="04C60CD6"/>
    <w:rsid w:val="05C64171"/>
    <w:rsid w:val="069C7E29"/>
    <w:rsid w:val="06DB1A3A"/>
    <w:rsid w:val="07FE71BC"/>
    <w:rsid w:val="0AF45818"/>
    <w:rsid w:val="0BA318C2"/>
    <w:rsid w:val="0DA95E3F"/>
    <w:rsid w:val="0DBB6BE3"/>
    <w:rsid w:val="118C25C4"/>
    <w:rsid w:val="16C95493"/>
    <w:rsid w:val="183B4201"/>
    <w:rsid w:val="190B143C"/>
    <w:rsid w:val="1B5C266E"/>
    <w:rsid w:val="1BED3C75"/>
    <w:rsid w:val="1C0F288E"/>
    <w:rsid w:val="1C941EAB"/>
    <w:rsid w:val="203B58B5"/>
    <w:rsid w:val="20AA343C"/>
    <w:rsid w:val="20CC0D44"/>
    <w:rsid w:val="238E6A8A"/>
    <w:rsid w:val="244042FB"/>
    <w:rsid w:val="25BD7C4A"/>
    <w:rsid w:val="267E22FA"/>
    <w:rsid w:val="28151A88"/>
    <w:rsid w:val="2818512F"/>
    <w:rsid w:val="2B7C5C0D"/>
    <w:rsid w:val="2C710A1F"/>
    <w:rsid w:val="2C881C3E"/>
    <w:rsid w:val="2D426ED6"/>
    <w:rsid w:val="2F4876EE"/>
    <w:rsid w:val="30127AD2"/>
    <w:rsid w:val="312718BF"/>
    <w:rsid w:val="31B4240A"/>
    <w:rsid w:val="32125E21"/>
    <w:rsid w:val="32420FD5"/>
    <w:rsid w:val="329500B2"/>
    <w:rsid w:val="38E057F5"/>
    <w:rsid w:val="393255D3"/>
    <w:rsid w:val="3A6B2449"/>
    <w:rsid w:val="3CC31B35"/>
    <w:rsid w:val="3D7E4E71"/>
    <w:rsid w:val="3D9372DA"/>
    <w:rsid w:val="44B44C7A"/>
    <w:rsid w:val="468712B9"/>
    <w:rsid w:val="47A71AC7"/>
    <w:rsid w:val="480C3243"/>
    <w:rsid w:val="4830163E"/>
    <w:rsid w:val="487730CC"/>
    <w:rsid w:val="4A406E15"/>
    <w:rsid w:val="4FFD6DC7"/>
    <w:rsid w:val="50E37E81"/>
    <w:rsid w:val="51147780"/>
    <w:rsid w:val="52E12409"/>
    <w:rsid w:val="591E4096"/>
    <w:rsid w:val="59C97EB4"/>
    <w:rsid w:val="5B67521E"/>
    <w:rsid w:val="5BD3252A"/>
    <w:rsid w:val="5C1017F7"/>
    <w:rsid w:val="628F2710"/>
    <w:rsid w:val="63BF51DD"/>
    <w:rsid w:val="64F32289"/>
    <w:rsid w:val="663951BC"/>
    <w:rsid w:val="69356BFB"/>
    <w:rsid w:val="69B6259A"/>
    <w:rsid w:val="6A2D1866"/>
    <w:rsid w:val="6D9D2583"/>
    <w:rsid w:val="6EDE22C6"/>
    <w:rsid w:val="6F4D73F1"/>
    <w:rsid w:val="71593474"/>
    <w:rsid w:val="72645422"/>
    <w:rsid w:val="727E5584"/>
    <w:rsid w:val="76E80A0D"/>
    <w:rsid w:val="776F6854"/>
    <w:rsid w:val="79270F41"/>
    <w:rsid w:val="799F6907"/>
    <w:rsid w:val="7A6D211F"/>
    <w:rsid w:val="7BED75DA"/>
    <w:rsid w:val="7D641B1E"/>
    <w:rsid w:val="7F866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14"/>
    <w:unhideWhenUsed/>
    <w:qFormat/>
    <w:uiPriority w:val="99"/>
    <w:pPr>
      <w:ind w:firstLine="588" w:firstLineChars="200"/>
    </w:pPr>
    <w:rPr>
      <w:rFonts w:ascii="仿宋_GB2312" w:hAnsi="Calibri" w:eastAsia="仿宋_GB2312"/>
      <w:sz w:val="32"/>
    </w:rPr>
  </w:style>
  <w:style w:type="paragraph" w:styleId="3">
    <w:name w:val="Balloon Text"/>
    <w:basedOn w:val="1"/>
    <w:link w:val="17"/>
    <w:semiHidden/>
    <w:qFormat/>
    <w:uiPriority w:val="0"/>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9">
    <w:name w:val="page number"/>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paragraph" w:customStyle="1" w:styleId="13">
    <w:name w:val="Char"/>
    <w:basedOn w:val="1"/>
    <w:qFormat/>
    <w:uiPriority w:val="0"/>
    <w:pPr>
      <w:autoSpaceDE w:val="0"/>
      <w:autoSpaceDN w:val="0"/>
      <w:adjustRightInd w:val="0"/>
    </w:pPr>
    <w:rPr>
      <w:rFonts w:ascii="宋体" w:cs="宋体"/>
      <w:kern w:val="0"/>
      <w:sz w:val="20"/>
      <w:szCs w:val="20"/>
      <w:lang w:val="zh-CN"/>
    </w:rPr>
  </w:style>
  <w:style w:type="character" w:customStyle="1" w:styleId="14">
    <w:name w:val="正文文本缩进 2 Char"/>
    <w:basedOn w:val="8"/>
    <w:link w:val="2"/>
    <w:qFormat/>
    <w:uiPriority w:val="99"/>
    <w:rPr>
      <w:rFonts w:ascii="仿宋_GB2312" w:hAnsi="Calibri" w:eastAsia="仿宋_GB2312" w:cs="Times New Roman"/>
      <w:sz w:val="32"/>
      <w:szCs w:val="24"/>
    </w:rPr>
  </w:style>
  <w:style w:type="paragraph" w:customStyle="1" w:styleId="15">
    <w:name w:val="Char1"/>
    <w:basedOn w:val="1"/>
    <w:qFormat/>
    <w:uiPriority w:val="0"/>
    <w:rPr>
      <w:rFonts w:ascii="仿宋_GB2312" w:eastAsia="仿宋_GB2312"/>
      <w:sz w:val="32"/>
    </w:rPr>
  </w:style>
  <w:style w:type="paragraph" w:customStyle="1" w:styleId="16">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7">
    <w:name w:val="批注框文本 Char"/>
    <w:basedOn w:val="8"/>
    <w:link w:val="3"/>
    <w:semiHidden/>
    <w:qFormat/>
    <w:uiPriority w:val="0"/>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7178</Words>
  <Characters>7798</Characters>
  <Lines>78</Lines>
  <Paragraphs>21</Paragraphs>
  <TotalTime>102</TotalTime>
  <ScaleCrop>false</ScaleCrop>
  <LinksUpToDate>false</LinksUpToDate>
  <CharactersWithSpaces>8443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lenovo</cp:lastModifiedBy>
  <cp:lastPrinted>2021-06-23T07:00:00Z</cp:lastPrinted>
  <dcterms:modified xsi:type="dcterms:W3CDTF">2023-05-17T11:58:40Z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AE600170BE794E35BFDCFE4D7467A837</vt:lpwstr>
  </property>
</Properties>
</file>