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eastAsia"/>
        </w:rPr>
        <w:t>附件2-1</w:t>
      </w:r>
    </w:p>
    <w:p>
      <w:pPr>
        <w:spacing w:line="348" w:lineRule="auto"/>
        <w:jc w:val="center"/>
        <w:rPr>
          <w:rFonts w:eastAsia="方正小标宋简体"/>
          <w:bCs/>
          <w:sz w:val="28"/>
          <w:szCs w:val="28"/>
        </w:rPr>
      </w:pPr>
    </w:p>
    <w:p>
      <w:pPr>
        <w:spacing w:line="800" w:lineRule="exact"/>
        <w:jc w:val="center"/>
        <w:rPr>
          <w:rFonts w:eastAsia="方正小标宋简体"/>
          <w:bCs/>
          <w:sz w:val="28"/>
          <w:szCs w:val="28"/>
        </w:rPr>
      </w:pPr>
      <w:r>
        <w:rPr>
          <w:rFonts w:hint="eastAsia" w:eastAsia="方正小标宋简体"/>
          <w:bCs/>
          <w:sz w:val="28"/>
          <w:szCs w:val="28"/>
        </w:rPr>
        <w:t>岳阳市202</w:t>
      </w:r>
      <w:r>
        <w:rPr>
          <w:rFonts w:hint="eastAsia" w:eastAsia="方正小标宋简体"/>
          <w:bCs/>
          <w:sz w:val="28"/>
          <w:szCs w:val="28"/>
          <w:lang w:val="en-US" w:eastAsia="zh-CN"/>
        </w:rPr>
        <w:t>1</w:t>
      </w:r>
      <w:r>
        <w:rPr>
          <w:rFonts w:hint="eastAsia" w:eastAsia="方正小标宋简体"/>
          <w:bCs/>
          <w:sz w:val="28"/>
          <w:szCs w:val="28"/>
        </w:rPr>
        <w:t>年度部门整体支出</w:t>
      </w:r>
    </w:p>
    <w:p>
      <w:pPr>
        <w:spacing w:line="800" w:lineRule="exact"/>
        <w:jc w:val="center"/>
        <w:rPr>
          <w:rFonts w:eastAsia="方正小标宋简体"/>
          <w:bCs/>
          <w:sz w:val="28"/>
          <w:szCs w:val="28"/>
        </w:rPr>
      </w:pPr>
      <w:r>
        <w:rPr>
          <w:rFonts w:hint="eastAsia" w:eastAsia="方正小标宋简体"/>
          <w:bCs/>
          <w:sz w:val="28"/>
          <w:szCs w:val="28"/>
        </w:rPr>
        <w:t>绩效评价自评报告</w:t>
      </w:r>
    </w:p>
    <w:p>
      <w:pPr>
        <w:rPr>
          <w:rFonts w:eastAsia="仿宋_GB2312"/>
          <w:b/>
          <w:sz w:val="28"/>
          <w:szCs w:val="28"/>
        </w:rPr>
      </w:pPr>
    </w:p>
    <w:p>
      <w:pPr>
        <w:rPr>
          <w:rFonts w:eastAsia="仿宋_GB2312"/>
          <w:b/>
          <w:sz w:val="28"/>
          <w:szCs w:val="28"/>
        </w:rPr>
      </w:pPr>
    </w:p>
    <w:p>
      <w:pPr>
        <w:rPr>
          <w:rFonts w:eastAsia="仿宋_GB2312"/>
          <w:b/>
          <w:sz w:val="28"/>
          <w:szCs w:val="28"/>
        </w:rPr>
      </w:pPr>
    </w:p>
    <w:p>
      <w:pPr>
        <w:spacing w:beforeLines="50" w:line="348" w:lineRule="auto"/>
        <w:ind w:firstLine="416" w:firstLineChars="150"/>
        <w:rPr>
          <w:rFonts w:eastAsia="仿宋_GB2312"/>
          <w:sz w:val="28"/>
          <w:szCs w:val="28"/>
          <w:u w:val="single"/>
        </w:rPr>
      </w:pPr>
      <w:r>
        <w:rPr>
          <w:rFonts w:hint="eastAsia" w:eastAsia="仿宋_GB2312"/>
          <w:sz w:val="28"/>
          <w:szCs w:val="28"/>
        </w:rPr>
        <w:t>部门(单位)名称：</w:t>
      </w:r>
      <w:r>
        <w:rPr>
          <w:rFonts w:hint="eastAsia" w:eastAsia="仿宋_GB2312"/>
          <w:sz w:val="28"/>
          <w:szCs w:val="28"/>
          <w:u w:val="single"/>
        </w:rPr>
        <w:t xml:space="preserve">   </w:t>
      </w:r>
      <w:r>
        <w:rPr>
          <w:rFonts w:hint="eastAsia" w:eastAsia="仿宋_GB2312"/>
          <w:sz w:val="28"/>
          <w:szCs w:val="28"/>
          <w:u w:val="single"/>
          <w:lang w:eastAsia="zh-CN"/>
        </w:rPr>
        <w:t>中共岳阳市委老干部局</w:t>
      </w:r>
      <w:r>
        <w:rPr>
          <w:rFonts w:hint="eastAsia" w:eastAsia="仿宋_GB2312"/>
          <w:sz w:val="28"/>
          <w:szCs w:val="28"/>
          <w:u w:val="single"/>
        </w:rPr>
        <w:t xml:space="preserve">                            </w:t>
      </w:r>
    </w:p>
    <w:p>
      <w:pPr>
        <w:spacing w:beforeLines="50" w:line="348" w:lineRule="auto"/>
        <w:ind w:firstLine="416" w:firstLineChars="150"/>
        <w:rPr>
          <w:rFonts w:eastAsia="仿宋_GB2312"/>
          <w:spacing w:val="20"/>
          <w:sz w:val="28"/>
          <w:szCs w:val="28"/>
        </w:rPr>
      </w:pPr>
      <w:r>
        <w:rPr>
          <w:rFonts w:hint="eastAsia" w:eastAsia="仿宋_GB2312"/>
          <w:sz w:val="28"/>
          <w:szCs w:val="28"/>
        </w:rPr>
        <w:t>预</w:t>
      </w:r>
      <w:r>
        <w:rPr>
          <w:rFonts w:hint="eastAsia" w:eastAsia="仿宋_GB2312"/>
          <w:spacing w:val="30"/>
          <w:sz w:val="28"/>
          <w:szCs w:val="28"/>
        </w:rPr>
        <w:t xml:space="preserve"> 算 编 码：</w:t>
      </w:r>
      <w:r>
        <w:rPr>
          <w:rFonts w:hint="eastAsia" w:eastAsia="仿宋_GB2312"/>
          <w:spacing w:val="20"/>
          <w:sz w:val="28"/>
          <w:szCs w:val="28"/>
          <w:u w:val="single"/>
        </w:rPr>
        <w:t xml:space="preserve">     </w:t>
      </w:r>
      <w:r>
        <w:rPr>
          <w:rFonts w:hint="eastAsia" w:eastAsia="仿宋_GB2312"/>
          <w:spacing w:val="20"/>
          <w:sz w:val="28"/>
          <w:szCs w:val="28"/>
          <w:u w:val="single"/>
          <w:lang w:val="en-US" w:eastAsia="zh-CN"/>
        </w:rPr>
        <w:t>024001</w:t>
      </w:r>
      <w:r>
        <w:rPr>
          <w:rFonts w:hint="eastAsia" w:eastAsia="仿宋_GB2312"/>
          <w:spacing w:val="20"/>
          <w:sz w:val="28"/>
          <w:szCs w:val="28"/>
          <w:u w:val="single"/>
        </w:rPr>
        <w:t xml:space="preserve">                       </w:t>
      </w:r>
    </w:p>
    <w:p>
      <w:pPr>
        <w:spacing w:beforeLines="50" w:line="348" w:lineRule="auto"/>
        <w:ind w:firstLine="416" w:firstLineChars="150"/>
        <w:rPr>
          <w:rFonts w:eastAsia="仿宋_GB2312"/>
          <w:sz w:val="28"/>
          <w:szCs w:val="28"/>
        </w:rPr>
      </w:pPr>
      <w:r>
        <w:rPr>
          <w:rFonts w:hint="eastAsia" w:eastAsia="仿宋_GB2312"/>
          <w:sz w:val="28"/>
          <w:szCs w:val="28"/>
        </w:rPr>
        <w:t>评价方式：部门（单位）绩效自评</w:t>
      </w:r>
    </w:p>
    <w:p>
      <w:pPr>
        <w:spacing w:beforeLines="50" w:line="348" w:lineRule="auto"/>
        <w:ind w:firstLine="416" w:firstLineChars="150"/>
        <w:rPr>
          <w:rFonts w:eastAsia="仿宋_GB2312"/>
          <w:sz w:val="28"/>
          <w:szCs w:val="28"/>
        </w:rPr>
      </w:pPr>
      <w:r>
        <w:rPr>
          <w:rFonts w:hint="eastAsia" w:eastAsia="仿宋_GB2312"/>
          <w:sz w:val="28"/>
          <w:szCs w:val="28"/>
        </w:rPr>
        <w:t xml:space="preserve">评价机构：部门（单位）评价组   </w:t>
      </w: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348" w:lineRule="auto"/>
        <w:jc w:val="center"/>
        <w:rPr>
          <w:rFonts w:eastAsia="仿宋_GB2312"/>
          <w:sz w:val="28"/>
          <w:szCs w:val="28"/>
        </w:rPr>
      </w:pPr>
      <w:r>
        <w:rPr>
          <w:rFonts w:hint="eastAsia" w:eastAsia="仿宋_GB2312"/>
          <w:sz w:val="28"/>
          <w:szCs w:val="28"/>
        </w:rPr>
        <w:t xml:space="preserve">报告日期： </w:t>
      </w:r>
      <w:r>
        <w:rPr>
          <w:rFonts w:hint="eastAsia" w:eastAsia="仿宋_GB2312"/>
          <w:sz w:val="28"/>
          <w:szCs w:val="28"/>
          <w:lang w:val="en-US" w:eastAsia="zh-CN"/>
        </w:rPr>
        <w:t>2022</w:t>
      </w:r>
      <w:r>
        <w:rPr>
          <w:rFonts w:hint="eastAsia" w:eastAsia="仿宋_GB2312"/>
          <w:sz w:val="28"/>
          <w:szCs w:val="28"/>
        </w:rPr>
        <w:t xml:space="preserve">年 </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14</w:t>
      </w:r>
      <w:r>
        <w:rPr>
          <w:rFonts w:hint="eastAsia" w:eastAsia="仿宋_GB2312"/>
          <w:sz w:val="28"/>
          <w:szCs w:val="28"/>
        </w:rPr>
        <w:t>日</w:t>
      </w:r>
    </w:p>
    <w:p>
      <w:pPr>
        <w:autoSpaceDN w:val="0"/>
        <w:jc w:val="center"/>
        <w:textAlignment w:val="center"/>
        <w:rPr>
          <w:rFonts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28"/>
          <w:szCs w:val="28"/>
        </w:rPr>
        <w:t>岳阳市财政局（制）</w:t>
      </w:r>
    </w:p>
    <w:tbl>
      <w:tblPr>
        <w:tblStyle w:val="7"/>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930"/>
        <w:gridCol w:w="415"/>
        <w:gridCol w:w="215"/>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8880455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8146" w:type="dxa"/>
            <w:gridSpan w:val="13"/>
            <w:vAlign w:val="center"/>
          </w:tcPr>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针对全市离退休干部工作中出现的新情况、新问题，及时提出建设性意见，为市委、市政府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5.做好老干部活动中心服务管理工作。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7.负责处理老干部的来信来访，做好外省市老干工作部门来岳参观、考察的接待服务工作。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9.承办市委、市政府和市组织部交办的其他事项。</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工作内容</w:t>
            </w:r>
          </w:p>
        </w:tc>
        <w:tc>
          <w:tcPr>
            <w:tcW w:w="8146" w:type="dxa"/>
            <w:gridSpan w:val="13"/>
            <w:vAlign w:val="center"/>
          </w:tcPr>
          <w:p>
            <w:pPr>
              <w:autoSpaceDN w:val="0"/>
              <w:spacing w:before="100" w:beforeAutospacing="1"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3.办好老年大学。</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5.做好老干部活动中心服务管理工作。</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协调组织市关工委、市老年协会组织开展活动，落实离退休干部政治待遇，举办离退休干部党支部书记、党组织负责人、网宣员培训班等。组织离退休干部开展参观考察和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年度部门（单位）总体运行情况及取得的成绩</w:t>
            </w:r>
          </w:p>
        </w:tc>
        <w:tc>
          <w:tcPr>
            <w:tcW w:w="8146" w:type="dxa"/>
            <w:gridSpan w:val="13"/>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全面加强离退休干部党建工作；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做好待遇落实工作，用心用情做好服务管理及信访工作；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抓好“双先”表彰工作，推动“美在金秋”老党员之家建设；</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2021年老干部局荣获全市综合绩效先进单位和平安建设合格单位；</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5.2021年市关工委荣获全国关心下一代工作先进单位；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6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w:t>
            </w:r>
            <w:r>
              <w:rPr>
                <w:rFonts w:hint="eastAsia" w:ascii="仿宋_GB2312" w:hAnsi="仿宋_GB2312" w:eastAsia="仿宋_GB2312" w:cs="仿宋_GB2312"/>
                <w:sz w:val="24"/>
                <w:szCs w:val="24"/>
              </w:rPr>
              <w:t>局</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1095.69</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267.98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744.59</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74.5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52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93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63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86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3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63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6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老干部</w:t>
            </w:r>
            <w:r>
              <w:rPr>
                <w:rFonts w:hint="eastAsia" w:ascii="仿宋_GB2312" w:hAnsi="仿宋_GB2312" w:eastAsia="仿宋_GB2312" w:cs="仿宋_GB2312"/>
                <w:sz w:val="24"/>
                <w:szCs w:val="24"/>
              </w:rPr>
              <w:t>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1095.69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681.24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374.24</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bookmarkStart w:id="0" w:name="_GoBack"/>
            <w:bookmarkEnd w:id="0"/>
            <w:r>
              <w:rPr>
                <w:rFonts w:hint="eastAsia" w:ascii="仿宋_GB2312" w:hAnsi="仿宋_GB2312" w:eastAsia="仿宋_GB2312" w:cs="仿宋_GB2312"/>
                <w:color w:val="000000"/>
                <w:sz w:val="24"/>
                <w:szCs w:val="24"/>
                <w:lang w:val="en-US" w:eastAsia="zh-CN"/>
              </w:rPr>
              <w:t>216.37</w:t>
            </w:r>
          </w:p>
        </w:tc>
        <w:tc>
          <w:tcPr>
            <w:tcW w:w="93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414.45</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5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w:t>
            </w:r>
            <w:r>
              <w:rPr>
                <w:rFonts w:hint="eastAsia" w:ascii="仿宋_GB2312" w:hAnsi="仿宋_GB2312" w:eastAsia="仿宋_GB2312" w:cs="仿宋_GB2312"/>
                <w:sz w:val="24"/>
                <w:szCs w:val="24"/>
              </w:rPr>
              <w:t>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5.14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3.26</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5525" w:type="dxa"/>
            <w:gridSpan w:val="8"/>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5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09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495"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3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老干部</w:t>
            </w:r>
            <w:r>
              <w:rPr>
                <w:rFonts w:hint="eastAsia" w:ascii="仿宋_GB2312" w:hAnsi="仿宋_GB2312" w:eastAsia="仿宋_GB2312" w:cs="仿宋_GB2312"/>
                <w:sz w:val="24"/>
                <w:szCs w:val="24"/>
              </w:rPr>
              <w:t>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2291.39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2291.39</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585"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9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目标1：落实离退休干部生活待遇，开展走访看望、慰问、吊唁活动。</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目标2：</w:t>
            </w:r>
            <w:r>
              <w:rPr>
                <w:rFonts w:hint="eastAsia" w:ascii="仿宋_GB2312" w:hAnsi="仿宋_GB2312" w:eastAsia="仿宋_GB2312" w:cs="仿宋_GB2312"/>
                <w:color w:val="000000"/>
                <w:sz w:val="24"/>
                <w:szCs w:val="24"/>
                <w:lang w:eastAsia="zh-CN"/>
              </w:rPr>
              <w:t>坚持正确的舆论引导。与电视台合作打造《金秋正能量》栏目。</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目标3：帮扶市本级特困离退休干部及困难遗孀。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目标4：办好老年大学，</w:t>
            </w:r>
            <w:r>
              <w:rPr>
                <w:rFonts w:hint="eastAsia" w:ascii="仿宋_GB2312" w:hAnsi="仿宋_GB2312" w:eastAsia="仿宋_GB2312" w:cs="仿宋_GB2312"/>
                <w:sz w:val="24"/>
                <w:szCs w:val="24"/>
              </w:rPr>
              <w:t>继续推动我市各级老年大学创建湖南省老年大学示范校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组织老年教育工作业务培训与观摩学习，提高教育教学质量和水平</w:t>
            </w:r>
            <w:r>
              <w:rPr>
                <w:rFonts w:hint="eastAsia" w:ascii="仿宋_GB2312" w:hAnsi="仿宋_GB2312" w:eastAsia="仿宋_GB2312" w:cs="仿宋_GB2312"/>
                <w:color w:val="000000"/>
                <w:sz w:val="24"/>
                <w:szCs w:val="24"/>
              </w:rPr>
              <w:t>。</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目标5：加强离退休干部党组织建设</w:t>
            </w:r>
            <w:r>
              <w:rPr>
                <w:rFonts w:hint="eastAsia" w:ascii="仿宋_GB2312" w:hAnsi="仿宋_GB2312" w:eastAsia="仿宋_GB2312" w:cs="仿宋_GB2312"/>
                <w:color w:val="000000"/>
                <w:sz w:val="24"/>
                <w:szCs w:val="24"/>
                <w:lang w:eastAsia="zh-CN"/>
              </w:rPr>
              <w:t>，全面推动“美在金秋”老党员之家建设。</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目标6：协</w:t>
            </w:r>
            <w:r>
              <w:rPr>
                <w:rFonts w:hint="eastAsia" w:ascii="仿宋_GB2312" w:hAnsi="仿宋_GB2312" w:eastAsia="仿宋_GB2312" w:cs="仿宋_GB2312"/>
                <w:color w:val="000000"/>
                <w:sz w:val="24"/>
                <w:szCs w:val="24"/>
                <w:lang w:eastAsia="zh-CN"/>
              </w:rPr>
              <w:t>助</w:t>
            </w:r>
            <w:r>
              <w:rPr>
                <w:rFonts w:hint="eastAsia" w:ascii="仿宋_GB2312" w:hAnsi="仿宋_GB2312" w:eastAsia="仿宋_GB2312" w:cs="仿宋_GB2312"/>
                <w:color w:val="000000"/>
                <w:sz w:val="24"/>
                <w:szCs w:val="24"/>
              </w:rPr>
              <w:t>市关工委</w:t>
            </w:r>
            <w:r>
              <w:rPr>
                <w:rFonts w:hint="eastAsia" w:ascii="仿宋_GB2312" w:hAnsi="仿宋_GB2312" w:eastAsia="仿宋_GB2312" w:cs="仿宋_GB2312"/>
                <w:color w:val="000000"/>
                <w:sz w:val="24"/>
                <w:szCs w:val="24"/>
                <w:lang w:eastAsia="zh-CN"/>
              </w:rPr>
              <w:t>开展“少年若要圆梦想，莫让手机误成长”主题教育活动等。</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目标7：组织离退休干部参观考察和开展门球、书画展、钓鱼、文艺汇演等文体活动。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8：协调</w:t>
            </w:r>
            <w:r>
              <w:rPr>
                <w:rFonts w:hint="eastAsia" w:ascii="仿宋_GB2312" w:hAnsi="仿宋_GB2312" w:eastAsia="仿宋_GB2312" w:cs="仿宋_GB2312"/>
                <w:color w:val="000000"/>
                <w:sz w:val="24"/>
                <w:szCs w:val="24"/>
              </w:rPr>
              <w:t>市老年协会组织开展活动。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4585" w:type="dxa"/>
            <w:gridSpan w:val="7"/>
            <w:vAlign w:val="center"/>
          </w:tcPr>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部门整体控制支出在预算内；</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部门年度整体绩效目标完成；</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社会效益影响较好；</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服务对象满意度达到90%。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3898"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指标1：社会反映较好</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7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指标1：金秋正能量全年共播出2</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期，</w:t>
            </w:r>
            <w:r>
              <w:rPr>
                <w:rFonts w:hint="eastAsia" w:ascii="仿宋_GB2312" w:hAnsi="仿宋_GB2312" w:eastAsia="仿宋_GB2312" w:cs="仿宋_GB2312"/>
                <w:color w:val="000000"/>
                <w:sz w:val="24"/>
                <w:szCs w:val="24"/>
                <w:lang w:eastAsia="zh-CN"/>
              </w:rPr>
              <w:t>先后播出了疫情防控、老党员之家、示范支部创建、扶贫攻坚、公众号推广、移风易俗、关心下一代等专题节目</w:t>
            </w:r>
            <w:r>
              <w:rPr>
                <w:rFonts w:hint="eastAsia" w:ascii="仿宋_GB2312" w:hAnsi="仿宋_GB2312" w:eastAsia="仿宋_GB2312" w:cs="仿宋_GB2312"/>
                <w:color w:val="000000"/>
                <w:sz w:val="24"/>
                <w:szCs w:val="24"/>
              </w:rPr>
              <w:t>。</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指标2：对老干部住院慰问153人次、吊唁28人、生日祝寿20人。</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：对老红军、离退休干部及遗孀，春节和半年度走访慰问4</w:t>
            </w: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sz w:val="24"/>
                <w:szCs w:val="24"/>
              </w:rPr>
              <w:t>人，特困帮扶</w:t>
            </w:r>
            <w:r>
              <w:rPr>
                <w:rFonts w:hint="eastAsia" w:ascii="仿宋_GB2312" w:hAnsi="仿宋_GB2312" w:eastAsia="仿宋_GB2312" w:cs="仿宋_GB2312"/>
                <w:color w:val="000000"/>
                <w:sz w:val="24"/>
                <w:szCs w:val="24"/>
                <w:lang w:val="en-US" w:eastAsia="zh-CN"/>
              </w:rPr>
              <w:t>126</w:t>
            </w:r>
            <w:r>
              <w:rPr>
                <w:rFonts w:hint="eastAsia" w:ascii="仿宋_GB2312" w:hAnsi="仿宋_GB2312" w:eastAsia="仿宋_GB2312" w:cs="仿宋_GB2312"/>
                <w:color w:val="000000"/>
                <w:sz w:val="24"/>
                <w:szCs w:val="24"/>
              </w:rPr>
              <w:t>人次，住院看望</w:t>
            </w:r>
            <w:r>
              <w:rPr>
                <w:rFonts w:hint="eastAsia" w:ascii="仿宋_GB2312" w:hAnsi="仿宋_GB2312" w:eastAsia="仿宋_GB2312" w:cs="仿宋_GB2312"/>
                <w:color w:val="000000"/>
                <w:sz w:val="24"/>
                <w:szCs w:val="24"/>
                <w:lang w:val="en-US" w:eastAsia="zh-CN"/>
              </w:rPr>
              <w:t>60</w:t>
            </w:r>
            <w:r>
              <w:rPr>
                <w:rFonts w:hint="eastAsia" w:ascii="仿宋_GB2312" w:hAnsi="仿宋_GB2312" w:eastAsia="仿宋_GB2312" w:cs="仿宋_GB2312"/>
                <w:color w:val="000000"/>
                <w:sz w:val="24"/>
                <w:szCs w:val="24"/>
              </w:rPr>
              <w:t>人次。</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指标4：市老年大学聘用教师50名。</w:t>
            </w:r>
            <w:r>
              <w:rPr>
                <w:rFonts w:hint="eastAsia" w:ascii="仿宋_GB2312" w:hAnsi="仿宋_GB2312" w:eastAsia="仿宋_GB2312" w:cs="仿宋_GB2312"/>
                <w:color w:val="000000"/>
                <w:spacing w:val="-20"/>
                <w:sz w:val="24"/>
                <w:szCs w:val="24"/>
              </w:rPr>
              <w:t>老年大学每学期学员</w:t>
            </w:r>
            <w:r>
              <w:rPr>
                <w:rFonts w:hint="eastAsia" w:ascii="仿宋_GB2312" w:hAnsi="仿宋_GB2312" w:eastAsia="仿宋_GB2312" w:cs="仿宋_GB2312"/>
                <w:color w:val="000000"/>
                <w:spacing w:val="-20"/>
                <w:sz w:val="24"/>
                <w:szCs w:val="24"/>
                <w:lang w:val="en-US" w:eastAsia="zh-CN"/>
              </w:rPr>
              <w:t>7</w:t>
            </w:r>
            <w:r>
              <w:rPr>
                <w:rFonts w:hint="eastAsia" w:ascii="仿宋_GB2312" w:hAnsi="仿宋_GB2312" w:eastAsia="仿宋_GB2312" w:cs="仿宋_GB2312"/>
                <w:color w:val="000000"/>
                <w:spacing w:val="-20"/>
                <w:sz w:val="24"/>
                <w:szCs w:val="24"/>
              </w:rPr>
              <w:t>000多人次。</w:t>
            </w:r>
            <w:r>
              <w:rPr>
                <w:rFonts w:hint="eastAsia" w:ascii="仿宋_GB2312" w:hAnsi="仿宋_GB2312" w:eastAsia="仿宋_GB2312" w:cs="仿宋_GB2312"/>
                <w:color w:val="000000"/>
                <w:sz w:val="24"/>
                <w:szCs w:val="24"/>
              </w:rPr>
              <w:t>协助6家老年协会组织开展活动。</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老年大学教学未完成因新冠疫情影响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指标1：按规定时间内完成</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指标1：整体支出控制在预算内</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指标1：进一步丰富了老干部的精神文化生活，老有所乐；</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指标2：进一步传播了老干部的社会正能量，老有所为。</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80"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指标1：老干部非常满意还有些老同志写感谢信，送锦旗等方式来表达他们的心意。</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指标2：社会公众对老干部活动中心、老年大学非常满意。</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张中霏</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副部长、</w:t>
            </w:r>
            <w:r>
              <w:rPr>
                <w:rFonts w:hint="eastAsia" w:ascii="仿宋_GB2312" w:hAnsi="仿宋_GB2312" w:eastAsia="仿宋_GB2312" w:cs="仿宋_GB2312"/>
                <w:color w:val="000000"/>
                <w:sz w:val="24"/>
                <w:szCs w:val="24"/>
                <w:lang w:eastAsia="zh-CN"/>
              </w:rPr>
              <w:t>老干部局</w:t>
            </w:r>
            <w:r>
              <w:rPr>
                <w:rFonts w:hint="eastAsia" w:ascii="仿宋_GB2312" w:hAnsi="仿宋_GB2312" w:eastAsia="仿宋_GB2312" w:cs="仿宋_GB2312"/>
                <w:color w:val="000000"/>
                <w:sz w:val="24"/>
                <w:szCs w:val="24"/>
              </w:rPr>
              <w:t>局长、书记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市委组织部</w:t>
            </w:r>
          </w:p>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市委老干部局</w:t>
            </w:r>
          </w:p>
          <w:p>
            <w:pPr>
              <w:autoSpaceDN w:val="0"/>
              <w:spacing w:line="280" w:lineRule="exact"/>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老干部局副局长、机关党委书记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余长庚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老干部局副</w:t>
            </w:r>
            <w:r>
              <w:rPr>
                <w:rFonts w:hint="eastAsia" w:ascii="仿宋_GB2312" w:hAnsi="仿宋_GB2312" w:eastAsia="仿宋_GB2312" w:cs="仿宋_GB2312"/>
                <w:color w:val="000000"/>
                <w:sz w:val="24"/>
                <w:szCs w:val="24"/>
              </w:rPr>
              <w:t>局长</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龙国旺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财政部门归口业务科室意见：</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 xml:space="preserve">                                                                 年    月   日</w:t>
            </w:r>
          </w:p>
        </w:tc>
      </w:tr>
    </w:tbl>
    <w:p>
      <w:pPr>
        <w:rPr>
          <w:rFonts w:eastAsia="仿宋_GB2312" w:cs="仿宋_GB2312"/>
          <w:bCs/>
          <w:sz w:val="28"/>
          <w:szCs w:val="28"/>
        </w:rPr>
      </w:pPr>
      <w:r>
        <w:rPr>
          <w:rFonts w:hint="eastAsia" w:ascii="仿宋_GB2312" w:hAnsi="仿宋_GB2312" w:eastAsia="仿宋_GB2312" w:cs="仿宋_GB2312"/>
          <w:bCs/>
          <w:sz w:val="24"/>
          <w:szCs w:val="24"/>
        </w:rPr>
        <w:t>填报人（签名）：                          联系电话：</w:t>
      </w:r>
    </w:p>
    <w:tbl>
      <w:tblPr>
        <w:tblStyle w:val="7"/>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五、评价报告综述（文字部分）</w:t>
            </w:r>
          </w:p>
          <w:p>
            <w:pPr>
              <w:spacing w:line="440" w:lineRule="exact"/>
              <w:ind w:firstLine="480" w:firstLineChars="200"/>
              <w:rPr>
                <w:rFonts w:hint="eastAsia" w:ascii="仿宋_GB2312" w:hAnsi="仿宋_GB2312" w:eastAsia="仿宋_GB2312" w:cs="仿宋_GB2312"/>
                <w:sz w:val="24"/>
                <w:szCs w:val="24"/>
              </w:rPr>
            </w:pP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一、部门（单位）概况</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（一）</w:t>
            </w:r>
            <w:r>
              <w:rPr>
                <w:rFonts w:hint="eastAsia" w:ascii="仿宋_GB2312" w:hAnsi="仿宋_GB2312" w:eastAsia="仿宋_GB2312" w:cs="仿宋_GB2312"/>
                <w:color w:val="000000"/>
                <w:sz w:val="24"/>
                <w:szCs w:val="24"/>
              </w:rPr>
              <w:t>职能职责 </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w:t>
            </w:r>
            <w:r>
              <w:rPr>
                <w:rFonts w:hint="eastAsia" w:ascii="仿宋_GB2312" w:hAnsi="仿宋_GB2312" w:eastAsia="仿宋_GB2312" w:cs="仿宋_GB2312"/>
                <w:color w:val="000000"/>
                <w:sz w:val="24"/>
                <w:szCs w:val="24"/>
                <w:lang w:eastAsia="zh-CN"/>
              </w:rPr>
              <w:t>议</w:t>
            </w:r>
            <w:r>
              <w:rPr>
                <w:rFonts w:hint="eastAsia" w:ascii="仿宋_GB2312" w:hAnsi="仿宋_GB2312" w:eastAsia="仿宋_GB2312" w:cs="仿宋_GB2312"/>
                <w:color w:val="000000"/>
                <w:sz w:val="24"/>
                <w:szCs w:val="24"/>
              </w:rPr>
              <w:t>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 </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(6)负责处理老干部的来信来访，做好外省市老干工作部门来岳参观、考察的接待服务工作。</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（8）承办市委、市政府和市组织部交办的其他事项。</w:t>
            </w:r>
          </w:p>
          <w:p>
            <w:pPr>
              <w:pStyle w:val="6"/>
              <w:shd w:val="clear" w:color="auto" w:fill="FFFFFF"/>
              <w:spacing w:before="0" w:beforeAutospacing="0" w:after="0" w:afterAutospacing="0" w:line="640" w:lineRule="exact"/>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color w:val="000000"/>
                <w:sz w:val="24"/>
                <w:szCs w:val="24"/>
              </w:rPr>
              <w:t>机构设置</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根据市委编办《关于重新明确市委老干部局机构编制事项的通知》（岳编办通〔2018〕51号）核定，我局内设机构6个：办公室、待遇</w:t>
            </w:r>
            <w:r>
              <w:rPr>
                <w:rFonts w:hint="eastAsia" w:ascii="仿宋_GB2312" w:hAnsi="仿宋_GB2312" w:eastAsia="仿宋_GB2312" w:cs="仿宋_GB2312"/>
                <w:color w:val="000000"/>
                <w:sz w:val="24"/>
                <w:szCs w:val="24"/>
                <w:lang w:eastAsia="zh-CN"/>
              </w:rPr>
              <w:t>保障</w:t>
            </w:r>
            <w:r>
              <w:rPr>
                <w:rFonts w:hint="eastAsia" w:ascii="仿宋_GB2312" w:hAnsi="仿宋_GB2312" w:eastAsia="仿宋_GB2312" w:cs="仿宋_GB2312"/>
                <w:color w:val="000000"/>
                <w:sz w:val="24"/>
                <w:szCs w:val="24"/>
              </w:rPr>
              <w:t>科</w:t>
            </w:r>
            <w:r>
              <w:rPr>
                <w:rFonts w:hint="eastAsia" w:ascii="仿宋_GB2312" w:hAnsi="仿宋_GB2312" w:eastAsia="仿宋_GB2312" w:cs="仿宋_GB2312"/>
                <w:color w:val="000000"/>
                <w:sz w:val="24"/>
                <w:szCs w:val="24"/>
                <w:lang w:eastAsia="zh-CN"/>
              </w:rPr>
              <w:t>、政工科、</w:t>
            </w:r>
            <w:r>
              <w:rPr>
                <w:rFonts w:hint="eastAsia" w:ascii="仿宋_GB2312" w:hAnsi="仿宋_GB2312" w:eastAsia="仿宋_GB2312" w:cs="仿宋_GB2312"/>
                <w:color w:val="000000"/>
                <w:sz w:val="24"/>
                <w:szCs w:val="24"/>
              </w:rPr>
              <w:t>市离退休干部工委办公室、机关党委</w:t>
            </w:r>
            <w:r>
              <w:rPr>
                <w:rFonts w:hint="eastAsia" w:ascii="仿宋_GB2312" w:hAnsi="仿宋_GB2312" w:eastAsia="仿宋_GB2312" w:cs="仿宋_GB2312"/>
                <w:color w:val="000000"/>
                <w:sz w:val="24"/>
                <w:szCs w:val="24"/>
                <w:lang w:eastAsia="zh-CN"/>
              </w:rPr>
              <w:t>（机关纪委）</w:t>
            </w:r>
            <w:r>
              <w:rPr>
                <w:rFonts w:hint="eastAsia" w:ascii="仿宋_GB2312" w:hAnsi="仿宋_GB2312" w:eastAsia="仿宋_GB2312" w:cs="仿宋_GB2312"/>
                <w:color w:val="000000"/>
                <w:sz w:val="24"/>
                <w:szCs w:val="24"/>
              </w:rPr>
              <w:t>、市关工委办公室。</w:t>
            </w:r>
          </w:p>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（三）部门（单位）整体支出规模、使用方向和主要内容、涉及范围等</w:t>
            </w:r>
          </w:p>
          <w:p>
            <w:pPr>
              <w:autoSpaceDN w:val="0"/>
              <w:spacing w:before="100" w:beforeAutospacing="1"/>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2.帮扶市本级特困离退休干部及困难遗孀。3.办好老年大学。</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5.协调组织市关工委、市老年协会组织开展活动，落实离退休干部政治待遇，举办离退休干部党支部书记、网宣员培训班等。组织离退休干部开展参观考察和门球、书画展、钓鱼、文艺汇演等文体活动。</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二、部门（单位）整体支出管理及使用情况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1、年初总收支预算情况</w:t>
            </w:r>
          </w:p>
          <w:p>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555555"/>
                <w:kern w:val="0"/>
                <w:sz w:val="24"/>
                <w:szCs w:val="24"/>
              </w:rPr>
              <w:t>根据财政部门预算批复，我局的年度部门收支预算情况如下：</w:t>
            </w:r>
          </w:p>
          <w:p>
            <w:pPr>
              <w:spacing w:line="560" w:lineRule="exact"/>
              <w:ind w:firstLine="480" w:firstLineChars="200"/>
              <w:rPr>
                <w:rFonts w:hint="eastAsia" w:ascii="仿宋_GB2312" w:hAnsi="仿宋_GB2312" w:eastAsia="仿宋_GB2312" w:cs="仿宋_GB2312"/>
                <w:bCs/>
                <w:sz w:val="24"/>
                <w:szCs w:val="24"/>
              </w:rPr>
            </w:pPr>
          </w:p>
          <w:tbl>
            <w:tblPr>
              <w:tblStyle w:val="7"/>
              <w:tblW w:w="10400" w:type="dxa"/>
              <w:tblInd w:w="113" w:type="dxa"/>
              <w:tblLayout w:type="fixed"/>
              <w:tblCellMar>
                <w:top w:w="15" w:type="dxa"/>
                <w:left w:w="15" w:type="dxa"/>
                <w:bottom w:w="15" w:type="dxa"/>
                <w:right w:w="15" w:type="dxa"/>
              </w:tblCellMar>
            </w:tblPr>
            <w:tblGrid>
              <w:gridCol w:w="4016"/>
              <w:gridCol w:w="2850"/>
              <w:gridCol w:w="3534"/>
            </w:tblGrid>
            <w:tr>
              <w:tblPrEx>
                <w:tblLayout w:type="fixed"/>
                <w:tblCellMar>
                  <w:top w:w="15" w:type="dxa"/>
                  <w:left w:w="15" w:type="dxa"/>
                  <w:bottom w:w="15" w:type="dxa"/>
                  <w:right w:w="15" w:type="dxa"/>
                </w:tblCellMar>
              </w:tblPrEx>
              <w:trPr>
                <w:trHeight w:val="390" w:hRule="atLeast"/>
              </w:trPr>
              <w:tc>
                <w:tcPr>
                  <w:tcW w:w="401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预算项目</w:t>
                  </w:r>
                </w:p>
              </w:tc>
              <w:tc>
                <w:tcPr>
                  <w:tcW w:w="2850"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合计</w:t>
                  </w:r>
                </w:p>
              </w:tc>
              <w:tc>
                <w:tcPr>
                  <w:tcW w:w="3534"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老干部局</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财政拨款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其中：财政经费拨款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508.60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纳入一般公共预算管理的非税收入拨款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74.50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收入预算合计</w:t>
                  </w:r>
                </w:p>
              </w:tc>
              <w:tc>
                <w:tcPr>
                  <w:tcW w:w="2850"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55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从年初预算批复情况来看：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我局部门收入预算</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万元（全部为财政拨款）。</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支出预算中基本支出</w:t>
            </w:r>
            <w:r>
              <w:rPr>
                <w:rFonts w:hint="eastAsia" w:ascii="仿宋_GB2312" w:hAnsi="仿宋_GB2312" w:eastAsia="仿宋_GB2312" w:cs="仿宋_GB2312"/>
                <w:color w:val="555555"/>
                <w:kern w:val="0"/>
                <w:sz w:val="24"/>
                <w:szCs w:val="24"/>
                <w:lang w:val="en-US" w:eastAsia="zh-CN"/>
              </w:rPr>
              <w:t>296.60</w:t>
            </w:r>
            <w:r>
              <w:rPr>
                <w:rFonts w:hint="eastAsia" w:ascii="仿宋_GB2312" w:hAnsi="仿宋_GB2312" w:eastAsia="仿宋_GB2312" w:cs="仿宋_GB2312"/>
                <w:color w:val="555555"/>
                <w:kern w:val="0"/>
                <w:sz w:val="24"/>
                <w:szCs w:val="24"/>
              </w:rPr>
              <w:t>万元，占支出预算总额的</w:t>
            </w:r>
            <w:r>
              <w:rPr>
                <w:rFonts w:hint="eastAsia" w:ascii="仿宋_GB2312" w:hAnsi="仿宋_GB2312" w:eastAsia="仿宋_GB2312" w:cs="仿宋_GB2312"/>
                <w:color w:val="555555"/>
                <w:kern w:val="0"/>
                <w:sz w:val="24"/>
                <w:szCs w:val="24"/>
                <w:lang w:val="en-US" w:eastAsia="zh-CN"/>
              </w:rPr>
              <w:t>50.86</w:t>
            </w:r>
            <w:r>
              <w:rPr>
                <w:rFonts w:hint="eastAsia" w:ascii="仿宋_GB2312" w:hAnsi="仿宋_GB2312" w:eastAsia="仿宋_GB2312" w:cs="仿宋_GB2312"/>
                <w:color w:val="555555"/>
                <w:kern w:val="0"/>
                <w:sz w:val="24"/>
                <w:szCs w:val="24"/>
              </w:rPr>
              <w:t>%，项目支出</w:t>
            </w:r>
            <w:r>
              <w:rPr>
                <w:rFonts w:hint="eastAsia" w:ascii="仿宋_GB2312" w:hAnsi="仿宋_GB2312" w:eastAsia="仿宋_GB2312" w:cs="仿宋_GB2312"/>
                <w:color w:val="555555"/>
                <w:kern w:val="0"/>
                <w:sz w:val="24"/>
                <w:szCs w:val="24"/>
                <w:lang w:val="en-US" w:eastAsia="zh-CN"/>
              </w:rPr>
              <w:t>286.50</w:t>
            </w:r>
            <w:r>
              <w:rPr>
                <w:rFonts w:hint="eastAsia" w:ascii="仿宋_GB2312" w:hAnsi="仿宋_GB2312" w:eastAsia="仿宋_GB2312" w:cs="仿宋_GB2312"/>
                <w:color w:val="555555"/>
                <w:kern w:val="0"/>
                <w:sz w:val="24"/>
                <w:szCs w:val="24"/>
              </w:rPr>
              <w:t>万元，占支出预算的</w:t>
            </w:r>
            <w:r>
              <w:rPr>
                <w:rFonts w:hint="eastAsia" w:ascii="仿宋_GB2312" w:hAnsi="仿宋_GB2312" w:eastAsia="仿宋_GB2312" w:cs="仿宋_GB2312"/>
                <w:color w:val="555555"/>
                <w:kern w:val="0"/>
                <w:sz w:val="24"/>
                <w:szCs w:val="24"/>
                <w:lang w:val="en-US" w:eastAsia="zh-CN"/>
              </w:rPr>
              <w:t>49.13</w:t>
            </w:r>
            <w:r>
              <w:rPr>
                <w:rFonts w:hint="eastAsia" w:ascii="仿宋_GB2312" w:hAnsi="仿宋_GB2312" w:eastAsia="仿宋_GB2312" w:cs="仿宋_GB2312"/>
                <w:color w:val="555555"/>
                <w:kern w:val="0"/>
                <w:sz w:val="24"/>
                <w:szCs w:val="24"/>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2、整体支出使用范围、方向和内容</w:t>
            </w:r>
          </w:p>
          <w:p>
            <w:pPr>
              <w:widowControl/>
              <w:spacing w:line="520" w:lineRule="atLeast"/>
              <w:ind w:firstLine="470"/>
              <w:jc w:val="left"/>
              <w:rPr>
                <w:rFonts w:hint="eastAsia" w:ascii="仿宋_GB2312" w:hAnsi="仿宋_GB2312" w:eastAsia="仿宋_GB2312" w:cs="仿宋_GB2312"/>
                <w:color w:val="555555"/>
                <w:kern w:val="0"/>
                <w:sz w:val="24"/>
                <w:szCs w:val="24"/>
                <w:lang w:val="en-US" w:eastAsia="zh-CN"/>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年度年初部门预算支出</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万元，其中基本支出</w:t>
            </w:r>
            <w:r>
              <w:rPr>
                <w:rFonts w:hint="eastAsia" w:ascii="仿宋_GB2312" w:hAnsi="仿宋_GB2312" w:eastAsia="仿宋_GB2312" w:cs="仿宋_GB2312"/>
                <w:color w:val="555555"/>
                <w:kern w:val="0"/>
                <w:sz w:val="24"/>
                <w:szCs w:val="24"/>
                <w:lang w:val="en-US" w:eastAsia="zh-CN"/>
              </w:rPr>
              <w:t>296.60</w:t>
            </w:r>
            <w:r>
              <w:rPr>
                <w:rFonts w:hint="eastAsia" w:ascii="仿宋_GB2312" w:hAnsi="仿宋_GB2312" w:eastAsia="仿宋_GB2312" w:cs="仿宋_GB2312"/>
                <w:color w:val="555555"/>
                <w:kern w:val="0"/>
                <w:sz w:val="24"/>
                <w:szCs w:val="24"/>
              </w:rPr>
              <w:t>万元，使用内容为人员经费和日常公用经费；项目支出</w:t>
            </w:r>
            <w:r>
              <w:rPr>
                <w:rFonts w:hint="eastAsia" w:ascii="仿宋_GB2312" w:hAnsi="仿宋_GB2312" w:eastAsia="仿宋_GB2312" w:cs="仿宋_GB2312"/>
                <w:color w:val="555555"/>
                <w:kern w:val="0"/>
                <w:sz w:val="24"/>
                <w:szCs w:val="24"/>
                <w:lang w:val="en-US" w:eastAsia="zh-CN"/>
              </w:rPr>
              <w:t>286.50</w:t>
            </w:r>
            <w:r>
              <w:rPr>
                <w:rFonts w:hint="eastAsia" w:ascii="仿宋_GB2312" w:hAnsi="仿宋_GB2312" w:eastAsia="仿宋_GB2312" w:cs="仿宋_GB2312"/>
                <w:color w:val="555555"/>
                <w:kern w:val="0"/>
                <w:sz w:val="24"/>
                <w:szCs w:val="24"/>
              </w:rPr>
              <w:t>万元，使用内容为：局机关老年教育老干部大学经费42.75万元，老干部活动经费</w:t>
            </w:r>
            <w:r>
              <w:rPr>
                <w:rFonts w:hint="eastAsia" w:ascii="仿宋_GB2312" w:hAnsi="仿宋_GB2312" w:eastAsia="仿宋_GB2312" w:cs="仿宋_GB2312"/>
                <w:color w:val="555555"/>
                <w:kern w:val="0"/>
                <w:sz w:val="24"/>
                <w:szCs w:val="24"/>
                <w:lang w:val="en-US" w:eastAsia="zh-CN"/>
              </w:rPr>
              <w:t>50</w:t>
            </w:r>
            <w:r>
              <w:rPr>
                <w:rFonts w:hint="eastAsia" w:ascii="仿宋_GB2312" w:hAnsi="仿宋_GB2312" w:eastAsia="仿宋_GB2312" w:cs="仿宋_GB2312"/>
                <w:color w:val="555555"/>
                <w:kern w:val="0"/>
                <w:sz w:val="24"/>
                <w:szCs w:val="24"/>
              </w:rPr>
              <w:t>万元、“四就近”工作经费</w:t>
            </w:r>
            <w:r>
              <w:rPr>
                <w:rFonts w:hint="eastAsia" w:ascii="仿宋_GB2312" w:hAnsi="仿宋_GB2312" w:eastAsia="仿宋_GB2312" w:cs="仿宋_GB2312"/>
                <w:color w:val="555555"/>
                <w:kern w:val="0"/>
                <w:sz w:val="24"/>
                <w:szCs w:val="24"/>
                <w:lang w:val="en-US" w:eastAsia="zh-CN"/>
              </w:rPr>
              <w:t>9.82</w:t>
            </w:r>
            <w:r>
              <w:rPr>
                <w:rFonts w:hint="eastAsia" w:ascii="仿宋_GB2312" w:hAnsi="仿宋_GB2312" w:eastAsia="仿宋_GB2312" w:cs="仿宋_GB2312"/>
                <w:color w:val="555555"/>
                <w:kern w:val="0"/>
                <w:sz w:val="24"/>
                <w:szCs w:val="24"/>
              </w:rPr>
              <w:t>万元、帮困资金</w:t>
            </w:r>
            <w:r>
              <w:rPr>
                <w:rFonts w:hint="eastAsia" w:ascii="仿宋_GB2312" w:hAnsi="仿宋_GB2312" w:eastAsia="仿宋_GB2312" w:cs="仿宋_GB2312"/>
                <w:color w:val="555555"/>
                <w:kern w:val="0"/>
                <w:sz w:val="24"/>
                <w:szCs w:val="24"/>
                <w:lang w:val="en-US" w:eastAsia="zh-CN"/>
              </w:rPr>
              <w:t>14.63</w:t>
            </w:r>
            <w:r>
              <w:rPr>
                <w:rFonts w:hint="eastAsia" w:ascii="仿宋_GB2312" w:hAnsi="仿宋_GB2312" w:eastAsia="仿宋_GB2312" w:cs="仿宋_GB2312"/>
                <w:color w:val="555555"/>
                <w:kern w:val="0"/>
                <w:sz w:val="24"/>
                <w:szCs w:val="24"/>
              </w:rPr>
              <w:t>万元、离退休党建网宣工作经费</w:t>
            </w:r>
            <w:r>
              <w:rPr>
                <w:rFonts w:hint="eastAsia" w:ascii="仿宋_GB2312" w:hAnsi="仿宋_GB2312" w:eastAsia="仿宋_GB2312" w:cs="仿宋_GB2312"/>
                <w:color w:val="555555"/>
                <w:kern w:val="0"/>
                <w:sz w:val="24"/>
                <w:szCs w:val="24"/>
                <w:lang w:val="en-US" w:eastAsia="zh-CN"/>
              </w:rPr>
              <w:t>19.80</w:t>
            </w:r>
            <w:r>
              <w:rPr>
                <w:rFonts w:hint="eastAsia" w:ascii="仿宋_GB2312" w:hAnsi="仿宋_GB2312" w:eastAsia="仿宋_GB2312" w:cs="仿宋_GB2312"/>
                <w:color w:val="555555"/>
                <w:kern w:val="0"/>
                <w:sz w:val="24"/>
                <w:szCs w:val="24"/>
              </w:rPr>
              <w:t>万元、金秋艺术团工作经费</w:t>
            </w:r>
            <w:r>
              <w:rPr>
                <w:rFonts w:hint="eastAsia" w:ascii="仿宋_GB2312" w:hAnsi="仿宋_GB2312" w:eastAsia="仿宋_GB2312" w:cs="仿宋_GB2312"/>
                <w:color w:val="555555"/>
                <w:kern w:val="0"/>
                <w:sz w:val="24"/>
                <w:szCs w:val="24"/>
                <w:lang w:val="en-US" w:eastAsia="zh-CN"/>
              </w:rPr>
              <w:t>5</w:t>
            </w:r>
            <w:r>
              <w:rPr>
                <w:rFonts w:hint="eastAsia" w:ascii="仿宋_GB2312" w:hAnsi="仿宋_GB2312" w:eastAsia="仿宋_GB2312" w:cs="仿宋_GB2312"/>
                <w:color w:val="555555"/>
                <w:kern w:val="0"/>
                <w:sz w:val="24"/>
                <w:szCs w:val="24"/>
              </w:rPr>
              <w:t>万元、非税征收成本</w:t>
            </w:r>
            <w:r>
              <w:rPr>
                <w:rFonts w:hint="eastAsia" w:ascii="仿宋_GB2312" w:hAnsi="仿宋_GB2312" w:eastAsia="仿宋_GB2312" w:cs="仿宋_GB2312"/>
                <w:color w:val="555555"/>
                <w:kern w:val="0"/>
                <w:sz w:val="24"/>
                <w:szCs w:val="24"/>
                <w:lang w:val="en-US" w:eastAsia="zh-CN"/>
              </w:rPr>
              <w:t>74.50</w:t>
            </w:r>
            <w:r>
              <w:rPr>
                <w:rFonts w:hint="eastAsia" w:ascii="仿宋_GB2312" w:hAnsi="仿宋_GB2312" w:eastAsia="仿宋_GB2312" w:cs="仿宋_GB2312"/>
                <w:color w:val="555555"/>
                <w:kern w:val="0"/>
                <w:sz w:val="24"/>
                <w:szCs w:val="24"/>
              </w:rPr>
              <w:t>万元、关工委工作经费</w:t>
            </w:r>
            <w:r>
              <w:rPr>
                <w:rFonts w:hint="eastAsia" w:ascii="仿宋_GB2312" w:hAnsi="仿宋_GB2312" w:eastAsia="仿宋_GB2312" w:cs="仿宋_GB2312"/>
                <w:color w:val="555555"/>
                <w:kern w:val="0"/>
                <w:sz w:val="24"/>
                <w:szCs w:val="24"/>
                <w:lang w:val="en-US" w:eastAsia="zh-CN"/>
              </w:rPr>
              <w:t>50</w:t>
            </w:r>
            <w:r>
              <w:rPr>
                <w:rFonts w:hint="eastAsia" w:ascii="仿宋_GB2312" w:hAnsi="仿宋_GB2312" w:eastAsia="仿宋_GB2312" w:cs="仿宋_GB2312"/>
                <w:color w:val="555555"/>
                <w:kern w:val="0"/>
                <w:sz w:val="24"/>
                <w:szCs w:val="24"/>
              </w:rPr>
              <w:t>万元、保健协会工作经费</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（二）年度总预算收支决算及财政预算收支决算情况</w:t>
            </w:r>
          </w:p>
          <w:p>
            <w:pPr>
              <w:pStyle w:val="18"/>
              <w:widowControl/>
              <w:numPr>
                <w:ilvl w:val="0"/>
                <w:numId w:val="4"/>
              </w:numPr>
              <w:spacing w:line="520" w:lineRule="atLeast"/>
              <w:ind w:firstLineChars="0"/>
              <w:jc w:val="left"/>
              <w:rPr>
                <w:rFonts w:hint="eastAsia" w:ascii="仿宋_GB2312" w:hAnsi="仿宋_GB2312" w:eastAsia="仿宋_GB2312" w:cs="仿宋_GB2312"/>
                <w:b/>
                <w:bCs/>
                <w:color w:val="555555"/>
                <w:kern w:val="0"/>
                <w:sz w:val="24"/>
                <w:szCs w:val="24"/>
              </w:rPr>
            </w:pPr>
            <w:r>
              <w:rPr>
                <w:rFonts w:hint="eastAsia" w:ascii="仿宋_GB2312" w:hAnsi="仿宋_GB2312" w:eastAsia="仿宋_GB2312" w:cs="仿宋_GB2312"/>
                <w:b/>
                <w:bCs/>
                <w:color w:val="555555"/>
                <w:kern w:val="0"/>
                <w:sz w:val="24"/>
                <w:szCs w:val="24"/>
              </w:rPr>
              <w:t>年度预算收入决算情况</w:t>
            </w:r>
          </w:p>
          <w:p>
            <w:pPr>
              <w:widowControl/>
              <w:spacing w:line="520" w:lineRule="atLeast"/>
              <w:jc w:val="left"/>
              <w:rPr>
                <w:rFonts w:hint="eastAsia" w:ascii="仿宋_GB2312" w:hAnsi="仿宋_GB2312" w:eastAsia="仿宋_GB2312" w:cs="仿宋_GB2312"/>
                <w:color w:val="555555"/>
                <w:kern w:val="0"/>
                <w:sz w:val="24"/>
                <w:szCs w:val="24"/>
              </w:rPr>
            </w:pPr>
          </w:p>
          <w:p>
            <w:pPr>
              <w:widowControl/>
              <w:spacing w:line="520" w:lineRule="atLeast"/>
              <w:jc w:val="left"/>
              <w:rPr>
                <w:rFonts w:hint="eastAsia" w:ascii="仿宋_GB2312" w:hAnsi="仿宋_GB2312" w:eastAsia="仿宋_GB2312" w:cs="仿宋_GB2312"/>
                <w:color w:val="555555"/>
                <w:kern w:val="0"/>
                <w:sz w:val="24"/>
                <w:szCs w:val="24"/>
              </w:rPr>
            </w:pPr>
          </w:p>
          <w:p>
            <w:pPr>
              <w:spacing w:line="560" w:lineRule="exact"/>
              <w:ind w:firstLine="480" w:firstLineChars="200"/>
              <w:rPr>
                <w:rFonts w:hint="eastAsia" w:ascii="仿宋_GB2312" w:hAnsi="仿宋_GB2312" w:eastAsia="仿宋_GB2312" w:cs="仿宋_GB2312"/>
                <w:color w:val="555555"/>
                <w:kern w:val="0"/>
                <w:sz w:val="24"/>
                <w:szCs w:val="24"/>
              </w:rPr>
            </w:pPr>
          </w:p>
          <w:tbl>
            <w:tblPr>
              <w:tblStyle w:val="7"/>
              <w:tblW w:w="10098" w:type="dxa"/>
              <w:tblInd w:w="108" w:type="dxa"/>
              <w:tblLayout w:type="fixed"/>
              <w:tblCellMar>
                <w:top w:w="15" w:type="dxa"/>
                <w:left w:w="15" w:type="dxa"/>
                <w:bottom w:w="15" w:type="dxa"/>
                <w:right w:w="15" w:type="dxa"/>
              </w:tblCellMar>
            </w:tblPr>
            <w:tblGrid>
              <w:gridCol w:w="51"/>
              <w:gridCol w:w="1989"/>
              <w:gridCol w:w="1642"/>
              <w:gridCol w:w="1499"/>
              <w:gridCol w:w="1831"/>
              <w:gridCol w:w="1356"/>
              <w:gridCol w:w="1680"/>
              <w:gridCol w:w="50"/>
            </w:tblGrid>
            <w:tr>
              <w:tblPrEx>
                <w:tblLayout w:type="fixed"/>
                <w:tblCellMar>
                  <w:top w:w="15" w:type="dxa"/>
                  <w:left w:w="15" w:type="dxa"/>
                  <w:bottom w:w="15" w:type="dxa"/>
                  <w:right w:w="15" w:type="dxa"/>
                </w:tblCellMar>
              </w:tblPrEx>
              <w:trPr>
                <w:trHeight w:val="420" w:hRule="atLeast"/>
              </w:trPr>
              <w:tc>
                <w:tcPr>
                  <w:tcW w:w="10048" w:type="dxa"/>
                  <w:gridSpan w:val="7"/>
                  <w:tcMar>
                    <w:top w:w="0" w:type="dxa"/>
                    <w:left w:w="15" w:type="dxa"/>
                    <w:bottom w:w="0" w:type="dxa"/>
                    <w:right w:w="15" w:type="dxa"/>
                  </w:tcMar>
                  <w:vAlign w:val="center"/>
                </w:tcPr>
                <w:p>
                  <w:pPr>
                    <w:widowControl/>
                    <w:spacing w:line="400" w:lineRule="atLeast"/>
                    <w:ind w:firstLine="3120" w:firstLineChars="13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财政拨款收入决算情况</w:t>
                  </w:r>
                </w:p>
              </w:tc>
              <w:tc>
                <w:tcPr>
                  <w:tcW w:w="50" w:type="dxa"/>
                  <w:vAlign w:val="center"/>
                </w:tcPr>
                <w:p>
                  <w:pPr>
                    <w:widowControl/>
                    <w:jc w:val="left"/>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预算单位名称</w:t>
                  </w:r>
                </w:p>
              </w:tc>
              <w:tc>
                <w:tcPr>
                  <w:tcW w:w="1642"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预算可用指标</w:t>
                  </w:r>
                </w:p>
              </w:tc>
              <w:tc>
                <w:tcPr>
                  <w:tcW w:w="149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w:t>
                  </w:r>
                </w:p>
              </w:tc>
              <w:tc>
                <w:tcPr>
                  <w:tcW w:w="1831"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本年指标结余</w:t>
                  </w:r>
                </w:p>
              </w:tc>
              <w:tc>
                <w:tcPr>
                  <w:tcW w:w="1356"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上年结余</w:t>
                  </w:r>
                </w:p>
              </w:tc>
              <w:tc>
                <w:tcPr>
                  <w:tcW w:w="1730"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结余</w:t>
                  </w:r>
                  <w:r>
                    <w:rPr>
                      <w:rFonts w:hint="eastAsia" w:ascii="仿宋_GB2312" w:hAnsi="仿宋_GB2312" w:eastAsia="仿宋_GB2312" w:cs="仿宋_GB2312"/>
                      <w:kern w:val="0"/>
                      <w:sz w:val="24"/>
                      <w:szCs w:val="24"/>
                      <w:lang w:eastAsia="zh-CN"/>
                    </w:rPr>
                    <w:t>减少</w:t>
                  </w: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老干部局部门</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ind w:firstLine="480" w:firstLineChars="200"/>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819.08</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ind w:firstLine="600" w:firstLineChars="25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267.98</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p>
              </w:tc>
            </w:tr>
            <w:tr>
              <w:tblPrEx>
                <w:tblLayout w:type="fixed"/>
                <w:tblCellMar>
                  <w:top w:w="15" w:type="dxa"/>
                  <w:left w:w="15" w:type="dxa"/>
                  <w:bottom w:w="15" w:type="dxa"/>
                  <w:right w:w="15" w:type="dxa"/>
                </w:tblCellMar>
              </w:tblPrEx>
              <w:trPr>
                <w:trHeight w:val="44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    计</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819.08</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267.98</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2、年度预算支出决算及结余情况</w:t>
            </w:r>
          </w:p>
          <w:tbl>
            <w:tblPr>
              <w:tblStyle w:val="7"/>
              <w:tblW w:w="10106" w:type="dxa"/>
              <w:tblInd w:w="113" w:type="dxa"/>
              <w:tblLayout w:type="fixed"/>
              <w:tblCellMar>
                <w:top w:w="15" w:type="dxa"/>
                <w:left w:w="15" w:type="dxa"/>
                <w:bottom w:w="15" w:type="dxa"/>
                <w:right w:w="15" w:type="dxa"/>
              </w:tblCellMar>
            </w:tblPr>
            <w:tblGrid>
              <w:gridCol w:w="2973"/>
              <w:gridCol w:w="4083"/>
              <w:gridCol w:w="3050"/>
            </w:tblGrid>
            <w:tr>
              <w:tblPrEx>
                <w:tblLayout w:type="fixed"/>
                <w:tblCellMar>
                  <w:top w:w="15" w:type="dxa"/>
                  <w:left w:w="15" w:type="dxa"/>
                  <w:bottom w:w="15" w:type="dxa"/>
                  <w:right w:w="15" w:type="dxa"/>
                </w:tblCellMar>
              </w:tblPrEx>
              <w:trPr>
                <w:trHeight w:val="1001" w:hRule="atLeast"/>
              </w:trPr>
              <w:tc>
                <w:tcPr>
                  <w:tcW w:w="2973"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比较项目</w:t>
                  </w:r>
                </w:p>
              </w:tc>
              <w:tc>
                <w:tcPr>
                  <w:tcW w:w="4083"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支出项目</w:t>
                  </w:r>
                </w:p>
              </w:tc>
              <w:tc>
                <w:tcPr>
                  <w:tcW w:w="30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局机关本级</w:t>
                  </w:r>
                </w:p>
              </w:tc>
            </w:tr>
            <w:tr>
              <w:tblPrEx>
                <w:tblLayout w:type="fixed"/>
                <w:tblCellMar>
                  <w:top w:w="15" w:type="dxa"/>
                  <w:left w:w="15" w:type="dxa"/>
                  <w:bottom w:w="15" w:type="dxa"/>
                  <w:right w:w="15" w:type="dxa"/>
                </w:tblCellMar>
              </w:tblPrEx>
              <w:trPr>
                <w:trHeight w:val="390"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预算指标</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ind w:left="143"/>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83"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决算金额</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590.60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414.45</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1005.05</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从上述数据反映：</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年度局本级预算可用指标</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万元，本年财政拨款</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val="en-US" w:eastAsia="zh-CN"/>
              </w:rPr>
              <w:t>0</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eastAsia="zh-CN"/>
              </w:rPr>
              <w:t>为</w:t>
            </w:r>
            <w:r>
              <w:rPr>
                <w:rFonts w:hint="eastAsia" w:ascii="仿宋_GB2312" w:hAnsi="仿宋_GB2312" w:eastAsia="仿宋_GB2312" w:cs="仿宋_GB2312"/>
                <w:color w:val="555555"/>
                <w:kern w:val="0"/>
                <w:sz w:val="24"/>
                <w:szCs w:val="24"/>
                <w:lang w:val="en-US" w:eastAsia="zh-CN"/>
              </w:rPr>
              <w:t>0的</w:t>
            </w:r>
            <w:r>
              <w:rPr>
                <w:rFonts w:hint="eastAsia" w:ascii="仿宋_GB2312" w:hAnsi="仿宋_GB2312" w:eastAsia="仿宋_GB2312" w:cs="仿宋_GB2312"/>
                <w:color w:val="555555"/>
                <w:kern w:val="0"/>
                <w:sz w:val="24"/>
                <w:szCs w:val="24"/>
              </w:rPr>
              <w:t>主要</w:t>
            </w:r>
            <w:r>
              <w:rPr>
                <w:rFonts w:hint="eastAsia" w:ascii="仿宋_GB2312" w:hAnsi="仿宋_GB2312" w:eastAsia="仿宋_GB2312" w:cs="仿宋_GB2312"/>
                <w:color w:val="555555"/>
                <w:kern w:val="0"/>
                <w:sz w:val="24"/>
                <w:szCs w:val="24"/>
                <w:lang w:eastAsia="zh-CN"/>
              </w:rPr>
              <w:t>原因是所有结余资金财政全部收回。</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三、</w:t>
            </w:r>
            <w:r>
              <w:rPr>
                <w:rFonts w:hint="eastAsia" w:ascii="仿宋_GB2312" w:hAnsi="仿宋_GB2312" w:eastAsia="仿宋_GB2312" w:cs="仿宋_GB2312"/>
                <w:b/>
                <w:bCs/>
                <w:color w:val="555555"/>
                <w:kern w:val="0"/>
                <w:sz w:val="24"/>
                <w:szCs w:val="24"/>
              </w:rPr>
              <w:t>部门整体支出管理及使用情况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（一）基本支出管理情况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我局基本支出的范围和主要用途包括部门的人员经费和日常公用经费。具体包括：工资福利支出、对个人和家庭的补助、商品和服务支出、其他资本性支出。基本支出的管理和使用情况如下：</w:t>
            </w:r>
          </w:p>
          <w:p>
            <w:pPr>
              <w:widowControl/>
              <w:spacing w:line="520" w:lineRule="atLeast"/>
              <w:ind w:firstLine="470"/>
              <w:jc w:val="left"/>
              <w:rPr>
                <w:rFonts w:hint="eastAsia" w:ascii="仿宋_GB2312" w:hAnsi="仿宋_GB2312" w:eastAsia="仿宋_GB2312" w:cs="仿宋_GB2312"/>
                <w:b/>
                <w:bCs/>
                <w:color w:val="555555"/>
                <w:kern w:val="0"/>
                <w:sz w:val="24"/>
                <w:szCs w:val="24"/>
              </w:rPr>
            </w:pP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1、基本支出本年预算指标情况</w:t>
            </w:r>
          </w:p>
          <w:tbl>
            <w:tblPr>
              <w:tblStyle w:val="7"/>
              <w:tblW w:w="10398" w:type="dxa"/>
              <w:tblInd w:w="113" w:type="dxa"/>
              <w:tblLayout w:type="fixed"/>
              <w:tblCellMar>
                <w:top w:w="15" w:type="dxa"/>
                <w:left w:w="15" w:type="dxa"/>
                <w:bottom w:w="15" w:type="dxa"/>
                <w:right w:w="15" w:type="dxa"/>
              </w:tblCellMar>
            </w:tblPr>
            <w:tblGrid>
              <w:gridCol w:w="2581"/>
              <w:gridCol w:w="4167"/>
              <w:gridCol w:w="3650"/>
            </w:tblGrid>
            <w:tr>
              <w:tblPrEx>
                <w:tblLayout w:type="fixed"/>
                <w:tblCellMar>
                  <w:top w:w="15" w:type="dxa"/>
                  <w:left w:w="15" w:type="dxa"/>
                  <w:bottom w:w="15" w:type="dxa"/>
                  <w:right w:w="15" w:type="dxa"/>
                </w:tblCellMar>
              </w:tblPrEx>
              <w:trPr>
                <w:trHeight w:val="820" w:hRule="atLeast"/>
              </w:trPr>
              <w:tc>
                <w:tcPr>
                  <w:tcW w:w="2581"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416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部门本年预算</w:t>
                  </w:r>
                </w:p>
              </w:tc>
              <w:tc>
                <w:tcPr>
                  <w:tcW w:w="36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合计</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235.55</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235.55</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335.17</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335.17</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12.38</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12.38</w:t>
                  </w:r>
                </w:p>
              </w:tc>
            </w:tr>
            <w:tr>
              <w:tblPrEx>
                <w:tblLayout w:type="fixed"/>
                <w:tblCellMar>
                  <w:top w:w="15" w:type="dxa"/>
                  <w:left w:w="15" w:type="dxa"/>
                  <w:bottom w:w="15" w:type="dxa"/>
                  <w:right w:w="15" w:type="dxa"/>
                </w:tblCellMar>
              </w:tblPrEx>
              <w:trPr>
                <w:trHeight w:val="392"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合计</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583.10</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2、本年基本支出预算执行情况</w:t>
            </w:r>
          </w:p>
          <w:tbl>
            <w:tblPr>
              <w:tblStyle w:val="7"/>
              <w:tblW w:w="10383" w:type="dxa"/>
              <w:tblInd w:w="113" w:type="dxa"/>
              <w:tblLayout w:type="fixed"/>
              <w:tblCellMar>
                <w:top w:w="15" w:type="dxa"/>
                <w:left w:w="15" w:type="dxa"/>
                <w:bottom w:w="15" w:type="dxa"/>
                <w:right w:w="15" w:type="dxa"/>
              </w:tblCellMar>
            </w:tblPr>
            <w:tblGrid>
              <w:gridCol w:w="2566"/>
              <w:gridCol w:w="7817"/>
            </w:tblGrid>
            <w:tr>
              <w:tblPrEx>
                <w:tblLayout w:type="fixed"/>
                <w:tblCellMar>
                  <w:top w:w="15" w:type="dxa"/>
                  <w:left w:w="15" w:type="dxa"/>
                  <w:bottom w:w="15" w:type="dxa"/>
                  <w:right w:w="15" w:type="dxa"/>
                </w:tblCellMar>
              </w:tblPrEx>
              <w:trPr>
                <w:trHeight w:val="780" w:hRule="atLeast"/>
              </w:trPr>
              <w:tc>
                <w:tcPr>
                  <w:tcW w:w="256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781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部门本年决算金额</w:t>
                  </w: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367.76</w:t>
                  </w: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597.97</w:t>
                  </w:r>
                </w:p>
              </w:tc>
            </w:tr>
            <w:tr>
              <w:tblPrEx>
                <w:tblLayout w:type="fixed"/>
                <w:tblCellMar>
                  <w:top w:w="15" w:type="dxa"/>
                  <w:left w:w="15" w:type="dxa"/>
                  <w:bottom w:w="15" w:type="dxa"/>
                  <w:right w:w="15" w:type="dxa"/>
                </w:tblCellMar>
              </w:tblPrEx>
              <w:trPr>
                <w:trHeight w:val="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129.95</w:t>
                  </w:r>
                </w:p>
              </w:tc>
            </w:tr>
            <w:tr>
              <w:tblPrEx>
                <w:tblLayout w:type="fixed"/>
                <w:tblCellMar>
                  <w:top w:w="15" w:type="dxa"/>
                  <w:left w:w="15" w:type="dxa"/>
                  <w:bottom w:w="15" w:type="dxa"/>
                  <w:right w:w="15" w:type="dxa"/>
                </w:tblCellMar>
              </w:tblPrEx>
              <w:trPr>
                <w:trHeight w:val="385"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1095.68</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从上表反映，我局基本支出预算超支</w:t>
            </w:r>
            <w:r>
              <w:rPr>
                <w:rFonts w:hint="eastAsia" w:ascii="仿宋_GB2312" w:hAnsi="仿宋_GB2312" w:eastAsia="仿宋_GB2312" w:cs="仿宋_GB2312"/>
                <w:color w:val="555555"/>
                <w:kern w:val="0"/>
                <w:sz w:val="24"/>
                <w:szCs w:val="24"/>
                <w:lang w:val="en-US" w:eastAsia="zh-CN"/>
              </w:rPr>
              <w:t>512.58</w:t>
            </w:r>
            <w:r>
              <w:rPr>
                <w:rFonts w:hint="eastAsia" w:ascii="仿宋_GB2312" w:hAnsi="仿宋_GB2312" w:eastAsia="仿宋_GB2312" w:cs="仿宋_GB2312"/>
                <w:color w:val="555555"/>
                <w:kern w:val="0"/>
                <w:sz w:val="24"/>
                <w:szCs w:val="24"/>
              </w:rPr>
              <w:t>万元，其中：工资福利支出超支</w:t>
            </w:r>
            <w:r>
              <w:rPr>
                <w:rFonts w:hint="eastAsia" w:ascii="仿宋_GB2312" w:hAnsi="仿宋_GB2312" w:eastAsia="仿宋_GB2312" w:cs="仿宋_GB2312"/>
                <w:color w:val="555555"/>
                <w:kern w:val="0"/>
                <w:sz w:val="24"/>
                <w:szCs w:val="24"/>
                <w:lang w:val="en-US" w:eastAsia="zh-CN"/>
              </w:rPr>
              <w:t>132.21</w:t>
            </w:r>
            <w:r>
              <w:rPr>
                <w:rFonts w:hint="eastAsia" w:ascii="仿宋_GB2312" w:hAnsi="仿宋_GB2312" w:eastAsia="仿宋_GB2312" w:cs="仿宋_GB2312"/>
                <w:color w:val="555555"/>
                <w:kern w:val="0"/>
                <w:sz w:val="24"/>
                <w:szCs w:val="24"/>
              </w:rPr>
              <w:t>万元，对个人和家庭的补助超支</w:t>
            </w:r>
            <w:r>
              <w:rPr>
                <w:rFonts w:hint="eastAsia" w:ascii="仿宋_GB2312" w:hAnsi="仿宋_GB2312" w:eastAsia="仿宋_GB2312" w:cs="仿宋_GB2312"/>
                <w:color w:val="555555"/>
                <w:kern w:val="0"/>
                <w:sz w:val="24"/>
                <w:szCs w:val="24"/>
                <w:lang w:val="en-US" w:eastAsia="zh-CN"/>
              </w:rPr>
              <w:t>117.57</w:t>
            </w:r>
            <w:r>
              <w:rPr>
                <w:rFonts w:hint="eastAsia" w:ascii="仿宋_GB2312" w:hAnsi="仿宋_GB2312" w:eastAsia="仿宋_GB2312" w:cs="仿宋_GB2312"/>
                <w:color w:val="555555"/>
                <w:kern w:val="0"/>
                <w:sz w:val="24"/>
                <w:szCs w:val="24"/>
              </w:rPr>
              <w:t>万元，商品和服务支出</w:t>
            </w:r>
            <w:r>
              <w:rPr>
                <w:rFonts w:hint="eastAsia" w:ascii="仿宋_GB2312" w:hAnsi="仿宋_GB2312" w:eastAsia="仿宋_GB2312" w:cs="仿宋_GB2312"/>
                <w:color w:val="555555"/>
                <w:kern w:val="0"/>
                <w:sz w:val="24"/>
                <w:szCs w:val="24"/>
                <w:lang w:eastAsia="zh-CN"/>
              </w:rPr>
              <w:t>超预算</w:t>
            </w:r>
            <w:r>
              <w:rPr>
                <w:rFonts w:hint="eastAsia" w:ascii="仿宋_GB2312" w:hAnsi="仿宋_GB2312" w:eastAsia="仿宋_GB2312" w:cs="仿宋_GB2312"/>
                <w:color w:val="555555"/>
                <w:kern w:val="0"/>
                <w:sz w:val="24"/>
                <w:szCs w:val="24"/>
                <w:lang w:val="en-US" w:eastAsia="zh-CN"/>
              </w:rPr>
              <w:t>262.8</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（二）“三公经费”支出使用和管理情况</w:t>
            </w: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tbl>
            <w:tblPr>
              <w:tblStyle w:val="7"/>
              <w:tblW w:w="10290" w:type="dxa"/>
              <w:tblInd w:w="133" w:type="dxa"/>
              <w:tblLayout w:type="fixed"/>
              <w:tblCellMar>
                <w:top w:w="15" w:type="dxa"/>
                <w:left w:w="15" w:type="dxa"/>
                <w:bottom w:w="15" w:type="dxa"/>
                <w:right w:w="15" w:type="dxa"/>
              </w:tblCellMar>
            </w:tblPr>
            <w:tblGrid>
              <w:gridCol w:w="3040"/>
              <w:gridCol w:w="3450"/>
              <w:gridCol w:w="3800"/>
            </w:tblGrid>
            <w:tr>
              <w:tblPrEx>
                <w:tblLayout w:type="fixed"/>
                <w:tblCellMar>
                  <w:top w:w="15" w:type="dxa"/>
                  <w:left w:w="15" w:type="dxa"/>
                  <w:bottom w:w="15" w:type="dxa"/>
                  <w:right w:w="15" w:type="dxa"/>
                </w:tblCellMar>
              </w:tblPrEx>
              <w:trPr>
                <w:trHeight w:val="780" w:hRule="atLeast"/>
              </w:trPr>
              <w:tc>
                <w:tcPr>
                  <w:tcW w:w="3040"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费用项目</w:t>
                  </w:r>
                </w:p>
              </w:tc>
              <w:tc>
                <w:tcPr>
                  <w:tcW w:w="34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2020</w:t>
                  </w:r>
                </w:p>
              </w:tc>
              <w:tc>
                <w:tcPr>
                  <w:tcW w:w="380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2021</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公务接待费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2.29</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1.88</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公车运行维护费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3.57</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3.26</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因公出国费用</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公务车购置费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5.86</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5.14</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1、20</w:t>
            </w:r>
            <w:r>
              <w:rPr>
                <w:rFonts w:hint="eastAsia" w:ascii="仿宋_GB2312" w:hAnsi="仿宋_GB2312" w:eastAsia="仿宋_GB2312" w:cs="仿宋_GB2312"/>
                <w:b/>
                <w:bCs/>
                <w:color w:val="555555"/>
                <w:kern w:val="0"/>
                <w:sz w:val="24"/>
                <w:szCs w:val="24"/>
                <w:lang w:val="en-US" w:eastAsia="zh-CN"/>
              </w:rPr>
              <w:t>21</w:t>
            </w:r>
            <w:r>
              <w:rPr>
                <w:rFonts w:hint="eastAsia" w:ascii="仿宋_GB2312" w:hAnsi="仿宋_GB2312" w:eastAsia="仿宋_GB2312" w:cs="仿宋_GB2312"/>
                <w:b/>
                <w:bCs/>
                <w:color w:val="555555"/>
                <w:kern w:val="0"/>
                <w:sz w:val="24"/>
                <w:szCs w:val="24"/>
              </w:rPr>
              <w:t>年“三公经费”预算情况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上述三公经费预算已在</w:t>
            </w:r>
            <w:r>
              <w:rPr>
                <w:rFonts w:hint="eastAsia" w:ascii="仿宋_GB2312" w:hAnsi="仿宋_GB2312" w:eastAsia="仿宋_GB2312" w:cs="仿宋_GB2312"/>
                <w:color w:val="555555"/>
                <w:kern w:val="0"/>
                <w:sz w:val="24"/>
                <w:szCs w:val="24"/>
                <w:lang w:eastAsia="zh-CN"/>
              </w:rPr>
              <w:t>老干部局</w:t>
            </w:r>
            <w:r>
              <w:rPr>
                <w:rFonts w:hint="eastAsia" w:ascii="仿宋_GB2312" w:hAnsi="仿宋_GB2312" w:eastAsia="仿宋_GB2312" w:cs="仿宋_GB2312"/>
                <w:color w:val="555555"/>
                <w:kern w:val="0"/>
                <w:sz w:val="24"/>
                <w:szCs w:val="24"/>
              </w:rPr>
              <w:t>网站上进行了公示（注：公示内容是全部的财政拨款资金）。</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2、三公经费预算执行情况</w:t>
            </w:r>
          </w:p>
          <w:p>
            <w:pPr>
              <w:widowControl/>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“三公经费”本年实际支出</w:t>
            </w:r>
            <w:r>
              <w:rPr>
                <w:rFonts w:hint="eastAsia" w:ascii="仿宋_GB2312" w:hAnsi="仿宋_GB2312" w:eastAsia="仿宋_GB2312" w:cs="仿宋_GB2312"/>
                <w:color w:val="555555"/>
                <w:kern w:val="0"/>
                <w:sz w:val="24"/>
                <w:szCs w:val="24"/>
                <w:lang w:val="en-US" w:eastAsia="zh-CN"/>
              </w:rPr>
              <w:t>5.14</w:t>
            </w:r>
            <w:r>
              <w:rPr>
                <w:rFonts w:hint="eastAsia" w:ascii="仿宋_GB2312" w:hAnsi="仿宋_GB2312" w:eastAsia="仿宋_GB2312" w:cs="仿宋_GB2312"/>
                <w:color w:val="555555"/>
                <w:kern w:val="0"/>
                <w:sz w:val="24"/>
                <w:szCs w:val="24"/>
              </w:rPr>
              <w:t>万元，总额控制较好。其中公务接待费实际支出</w:t>
            </w:r>
            <w:r>
              <w:rPr>
                <w:rFonts w:hint="eastAsia" w:ascii="仿宋_GB2312" w:hAnsi="仿宋_GB2312" w:eastAsia="仿宋_GB2312" w:cs="仿宋_GB2312"/>
                <w:color w:val="555555"/>
                <w:kern w:val="0"/>
                <w:sz w:val="24"/>
                <w:szCs w:val="24"/>
                <w:lang w:val="en-US" w:eastAsia="zh-CN"/>
              </w:rPr>
              <w:t>1.88</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比</w:t>
            </w:r>
            <w:r>
              <w:rPr>
                <w:rFonts w:hint="eastAsia" w:ascii="仿宋_GB2312" w:hAnsi="仿宋_GB2312" w:eastAsia="仿宋_GB2312" w:cs="仿宋_GB2312"/>
                <w:color w:val="555555"/>
                <w:kern w:val="0"/>
                <w:sz w:val="24"/>
                <w:szCs w:val="24"/>
              </w:rPr>
              <w:t>上年</w:t>
            </w:r>
            <w:r>
              <w:rPr>
                <w:rFonts w:hint="eastAsia" w:ascii="仿宋_GB2312" w:hAnsi="仿宋_GB2312" w:eastAsia="仿宋_GB2312" w:cs="仿宋_GB2312"/>
                <w:color w:val="555555"/>
                <w:kern w:val="0"/>
                <w:sz w:val="24"/>
                <w:szCs w:val="24"/>
                <w:lang w:eastAsia="zh-CN"/>
              </w:rPr>
              <w:t>减少了</w:t>
            </w:r>
            <w:r>
              <w:rPr>
                <w:rFonts w:hint="eastAsia" w:ascii="仿宋_GB2312" w:hAnsi="仿宋_GB2312" w:eastAsia="仿宋_GB2312" w:cs="仿宋_GB2312"/>
                <w:color w:val="555555"/>
                <w:kern w:val="0"/>
                <w:sz w:val="24"/>
                <w:szCs w:val="24"/>
                <w:lang w:val="en-US" w:eastAsia="zh-CN"/>
              </w:rPr>
              <w:t>0.41万元，降低了17.90%</w:t>
            </w:r>
            <w:r>
              <w:rPr>
                <w:rFonts w:hint="eastAsia" w:ascii="仿宋_GB2312" w:hAnsi="仿宋_GB2312" w:eastAsia="仿宋_GB2312" w:cs="仿宋_GB2312"/>
                <w:color w:val="555555"/>
                <w:kern w:val="0"/>
                <w:sz w:val="24"/>
                <w:szCs w:val="24"/>
              </w:rPr>
              <w:t>；公务用车运行维护费实际使用</w:t>
            </w:r>
            <w:r>
              <w:rPr>
                <w:rFonts w:hint="eastAsia" w:ascii="仿宋_GB2312" w:hAnsi="仿宋_GB2312" w:eastAsia="仿宋_GB2312" w:cs="仿宋_GB2312"/>
                <w:color w:val="555555"/>
                <w:kern w:val="0"/>
                <w:sz w:val="24"/>
                <w:szCs w:val="24"/>
                <w:lang w:val="en-US" w:eastAsia="zh-CN"/>
              </w:rPr>
              <w:t>3.26</w:t>
            </w:r>
            <w:r>
              <w:rPr>
                <w:rFonts w:hint="eastAsia" w:ascii="仿宋_GB2312" w:hAnsi="仿宋_GB2312" w:eastAsia="仿宋_GB2312" w:cs="仿宋_GB2312"/>
                <w:color w:val="555555"/>
                <w:kern w:val="0"/>
                <w:sz w:val="24"/>
                <w:szCs w:val="24"/>
              </w:rPr>
              <w:t>万元，比上年</w:t>
            </w:r>
            <w:r>
              <w:rPr>
                <w:rFonts w:hint="eastAsia" w:ascii="仿宋_GB2312" w:hAnsi="仿宋_GB2312" w:eastAsia="仿宋_GB2312" w:cs="仿宋_GB2312"/>
                <w:color w:val="555555"/>
                <w:kern w:val="0"/>
                <w:sz w:val="24"/>
                <w:szCs w:val="24"/>
                <w:lang w:eastAsia="zh-CN"/>
              </w:rPr>
              <w:t>减少了</w:t>
            </w:r>
            <w:r>
              <w:rPr>
                <w:rFonts w:hint="eastAsia" w:ascii="仿宋_GB2312" w:hAnsi="仿宋_GB2312" w:eastAsia="仿宋_GB2312" w:cs="仿宋_GB2312"/>
                <w:color w:val="555555"/>
                <w:kern w:val="0"/>
                <w:sz w:val="24"/>
                <w:szCs w:val="24"/>
                <w:lang w:val="en-US" w:eastAsia="zh-CN"/>
              </w:rPr>
              <w:t>0.31万元，</w:t>
            </w:r>
            <w:r>
              <w:rPr>
                <w:rFonts w:hint="eastAsia" w:ascii="仿宋_GB2312" w:hAnsi="仿宋_GB2312" w:eastAsia="仿宋_GB2312" w:cs="仿宋_GB2312"/>
                <w:color w:val="555555"/>
                <w:kern w:val="0"/>
                <w:sz w:val="24"/>
                <w:szCs w:val="24"/>
              </w:rPr>
              <w:t>降低</w:t>
            </w:r>
            <w:r>
              <w:rPr>
                <w:rFonts w:hint="eastAsia" w:ascii="仿宋_GB2312" w:hAnsi="仿宋_GB2312" w:eastAsia="仿宋_GB2312" w:cs="仿宋_GB2312"/>
                <w:color w:val="555555"/>
                <w:kern w:val="0"/>
                <w:sz w:val="24"/>
                <w:szCs w:val="24"/>
                <w:lang w:val="en-US" w:eastAsia="zh-CN"/>
              </w:rPr>
              <w:t>8.6</w:t>
            </w:r>
            <w:r>
              <w:rPr>
                <w:rFonts w:hint="eastAsia" w:ascii="仿宋_GB2312" w:hAnsi="仿宋_GB2312" w:eastAsia="仿宋_GB2312" w:cs="仿宋_GB2312"/>
                <w:color w:val="555555"/>
                <w:kern w:val="0"/>
                <w:sz w:val="24"/>
                <w:szCs w:val="24"/>
              </w:rPr>
              <w:t>%</w:t>
            </w:r>
            <w:r>
              <w:rPr>
                <w:rFonts w:hint="eastAsia" w:ascii="仿宋_GB2312" w:hAnsi="仿宋_GB2312" w:eastAsia="仿宋_GB2312" w:cs="仿宋_GB2312"/>
                <w:color w:val="555555"/>
                <w:kern w:val="0"/>
                <w:sz w:val="24"/>
                <w:szCs w:val="24"/>
                <w:lang w:eastAsia="zh-CN"/>
              </w:rPr>
              <w:t>。</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公务接待费本年人均</w:t>
            </w:r>
            <w:r>
              <w:rPr>
                <w:rFonts w:hint="eastAsia" w:ascii="仿宋_GB2312" w:hAnsi="仿宋_GB2312" w:eastAsia="仿宋_GB2312" w:cs="仿宋_GB2312"/>
                <w:color w:val="555555"/>
                <w:kern w:val="0"/>
                <w:sz w:val="24"/>
                <w:szCs w:val="24"/>
                <w:lang w:val="en-US" w:eastAsia="zh-CN"/>
              </w:rPr>
              <w:t>0.10</w:t>
            </w:r>
            <w:r>
              <w:rPr>
                <w:rFonts w:hint="eastAsia" w:ascii="仿宋_GB2312" w:hAnsi="仿宋_GB2312" w:eastAsia="仿宋_GB2312" w:cs="仿宋_GB2312"/>
                <w:color w:val="555555"/>
                <w:kern w:val="0"/>
                <w:sz w:val="24"/>
                <w:szCs w:val="24"/>
              </w:rPr>
              <w:t>万元；本年在使用公车</w:t>
            </w:r>
            <w:r>
              <w:rPr>
                <w:rFonts w:hint="eastAsia" w:ascii="仿宋_GB2312" w:hAnsi="仿宋_GB2312" w:eastAsia="仿宋_GB2312" w:cs="仿宋_GB2312"/>
                <w:color w:val="555555"/>
                <w:kern w:val="0"/>
                <w:sz w:val="24"/>
                <w:szCs w:val="24"/>
                <w:lang w:val="en-US" w:eastAsia="zh-CN"/>
              </w:rPr>
              <w:t>1</w:t>
            </w:r>
            <w:r>
              <w:rPr>
                <w:rFonts w:hint="eastAsia" w:ascii="仿宋_GB2312" w:hAnsi="仿宋_GB2312" w:eastAsia="仿宋_GB2312" w:cs="仿宋_GB2312"/>
                <w:color w:val="555555"/>
                <w:kern w:val="0"/>
                <w:sz w:val="24"/>
                <w:szCs w:val="24"/>
              </w:rPr>
              <w:t>台，公车运行维护费平均每台</w:t>
            </w:r>
            <w:r>
              <w:rPr>
                <w:rFonts w:hint="eastAsia" w:ascii="仿宋_GB2312" w:hAnsi="仿宋_GB2312" w:eastAsia="仿宋_GB2312" w:cs="仿宋_GB2312"/>
                <w:color w:val="555555"/>
                <w:kern w:val="0"/>
                <w:sz w:val="24"/>
                <w:szCs w:val="24"/>
                <w:lang w:val="en-US" w:eastAsia="zh-CN"/>
              </w:rPr>
              <w:t>3.26</w:t>
            </w:r>
            <w:r>
              <w:rPr>
                <w:rFonts w:hint="eastAsia" w:ascii="仿宋_GB2312" w:hAnsi="仿宋_GB2312" w:eastAsia="仿宋_GB2312" w:cs="仿宋_GB2312"/>
                <w:color w:val="555555"/>
                <w:kern w:val="0"/>
                <w:sz w:val="24"/>
                <w:szCs w:val="24"/>
              </w:rPr>
              <w:t>万元/台。</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3、与上年比较，三公经费控制情况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与上年比较，</w:t>
            </w:r>
            <w:r>
              <w:rPr>
                <w:rFonts w:hint="eastAsia" w:ascii="仿宋_GB2312" w:hAnsi="仿宋_GB2312" w:eastAsia="仿宋_GB2312" w:cs="仿宋_GB2312"/>
                <w:color w:val="555555"/>
                <w:kern w:val="0"/>
                <w:sz w:val="24"/>
                <w:szCs w:val="24"/>
                <w:lang w:eastAsia="zh-CN"/>
              </w:rPr>
              <w:t>三公经费</w:t>
            </w:r>
            <w:r>
              <w:rPr>
                <w:rFonts w:hint="eastAsia" w:ascii="仿宋_GB2312" w:hAnsi="仿宋_GB2312" w:eastAsia="仿宋_GB2312" w:cs="仿宋_GB2312"/>
                <w:color w:val="555555"/>
                <w:kern w:val="0"/>
                <w:sz w:val="24"/>
                <w:szCs w:val="24"/>
              </w:rPr>
              <w:t>控制较好。</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（三）专项支出管理和使用情况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1、专项资金预算投入、实际投入情况</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（1）本年预算投入</w:t>
            </w:r>
            <w:r>
              <w:rPr>
                <w:rFonts w:hint="eastAsia" w:ascii="仿宋_GB2312" w:hAnsi="仿宋_GB2312" w:eastAsia="仿宋_GB2312" w:cs="仿宋_GB2312"/>
                <w:color w:val="555555"/>
                <w:kern w:val="0"/>
                <w:sz w:val="28"/>
                <w:szCs w:val="28"/>
                <w:lang w:val="en-US" w:eastAsia="zh-CN"/>
              </w:rPr>
              <w:t>286.50</w:t>
            </w:r>
            <w:r>
              <w:rPr>
                <w:rFonts w:hint="eastAsia" w:ascii="仿宋_GB2312" w:hAnsi="仿宋_GB2312" w:eastAsia="仿宋_GB2312" w:cs="仿宋_GB2312"/>
                <w:color w:val="555555"/>
                <w:kern w:val="0"/>
                <w:sz w:val="24"/>
                <w:szCs w:val="24"/>
              </w:rPr>
              <w:t>万元，实际投入</w:t>
            </w:r>
            <w:r>
              <w:rPr>
                <w:rFonts w:hint="eastAsia" w:ascii="仿宋_GB2312" w:hAnsi="仿宋_GB2312" w:eastAsia="仿宋_GB2312" w:cs="仿宋_GB2312"/>
                <w:color w:val="555555"/>
                <w:kern w:val="0"/>
                <w:sz w:val="24"/>
                <w:szCs w:val="24"/>
                <w:lang w:val="en-US" w:eastAsia="zh-CN"/>
              </w:rPr>
              <w:t>414.45</w:t>
            </w:r>
            <w:r>
              <w:rPr>
                <w:rFonts w:hint="eastAsia" w:ascii="仿宋_GB2312" w:hAnsi="仿宋_GB2312" w:eastAsia="仿宋_GB2312" w:cs="仿宋_GB2312"/>
                <w:color w:val="555555"/>
                <w:kern w:val="0"/>
                <w:sz w:val="24"/>
                <w:szCs w:val="24"/>
              </w:rPr>
              <w:t>万元。</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2、专项资金管理情况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对专项资金的管理我局遵循专款专用、单独核算的管理原则；专项项目的申报严格按照财政资金管理的要求进行，专项资金财政拨款到位后及时进行了项目的开展和资金的投入。</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我局对专项资金的管理按照项目支出涉及的经济科目的明细项目，根据财务管理办法的相关制度执行。</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四、部门专项组织实施情况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资金中涉及的政府采购事项，我局严格按照</w:t>
            </w:r>
            <w:r>
              <w:rPr>
                <w:rFonts w:hint="eastAsia" w:ascii="仿宋_GB2312" w:hAnsi="仿宋_GB2312" w:eastAsia="仿宋_GB2312" w:cs="仿宋_GB2312"/>
                <w:color w:val="555555"/>
                <w:kern w:val="0"/>
                <w:sz w:val="24"/>
                <w:szCs w:val="24"/>
                <w:lang w:eastAsia="zh-CN"/>
              </w:rPr>
              <w:t>市</w:t>
            </w:r>
            <w:r>
              <w:rPr>
                <w:rFonts w:hint="eastAsia" w:ascii="仿宋_GB2312" w:hAnsi="仿宋_GB2312" w:eastAsia="仿宋_GB2312" w:cs="仿宋_GB2312"/>
                <w:color w:val="555555"/>
                <w:kern w:val="0"/>
                <w:sz w:val="24"/>
                <w:szCs w:val="24"/>
              </w:rPr>
              <w:t>财政</w:t>
            </w:r>
            <w:r>
              <w:rPr>
                <w:rFonts w:hint="eastAsia" w:ascii="仿宋_GB2312" w:hAnsi="仿宋_GB2312" w:eastAsia="仿宋_GB2312" w:cs="仿宋_GB2312"/>
                <w:color w:val="555555"/>
                <w:kern w:val="0"/>
                <w:sz w:val="24"/>
                <w:szCs w:val="24"/>
                <w:lang w:eastAsia="zh-CN"/>
              </w:rPr>
              <w:t>局</w:t>
            </w:r>
            <w:r>
              <w:rPr>
                <w:rFonts w:hint="eastAsia" w:ascii="仿宋_GB2312" w:hAnsi="仿宋_GB2312" w:eastAsia="仿宋_GB2312" w:cs="仿宋_GB2312"/>
                <w:color w:val="555555"/>
                <w:kern w:val="0"/>
                <w:sz w:val="24"/>
                <w:szCs w:val="24"/>
              </w:rPr>
              <w:t>采购要求进行审批，同时严格合同的签订，落实采购物资和服务的验收，做好资金支付的审核审批手续。</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五、部门整体支出绩效情况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年，根据局年初工作规划和重点性工作，较好的完成了年度工作目标。通过加强预算收支的管理，不断建立健全内部管理制度，梳理内部管理流程，部门整体支出管理情况得到了提升。根据前面对20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年度部门整体支出状况的概述和分析，部门整体支出绩效情况如下：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（一）经济性评价方面</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1、本年预算配置控制较好，财政供养人员控制在预算编制以内，编制内在职人员控制在预算编制以内；三公经费预算总额较上年减少。</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预算执行方面，除专项预算的追加和政策性工资绩效预算的追加外，支出总额控制在预算总额以内；转移支付在收到专项资金时及时进行了拨付；不存在截留或滞留专项资金情况；三公经费总额和财政拨款支出三公经费总体控制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预算管理方面，制度执行总体较为有效，仍需进一步强化；资金使用管理需进一步加强。</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资产管理方面建立了资产管理制度，定期进行了盘点和资产清理，总体执行较好。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根据部门整体支出绩效评价指标体系，本局20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年度评价得分9</w:t>
            </w:r>
            <w:r>
              <w:rPr>
                <w:rFonts w:hint="eastAsia" w:ascii="仿宋_GB2312" w:hAnsi="仿宋_GB2312" w:eastAsia="仿宋_GB2312" w:cs="仿宋_GB2312"/>
                <w:color w:val="555555"/>
                <w:kern w:val="0"/>
                <w:sz w:val="24"/>
                <w:szCs w:val="24"/>
                <w:lang w:val="en-US" w:eastAsia="zh-CN"/>
              </w:rPr>
              <w:t>8</w:t>
            </w:r>
            <w:r>
              <w:rPr>
                <w:rFonts w:hint="eastAsia" w:ascii="仿宋_GB2312" w:hAnsi="仿宋_GB2312" w:eastAsia="仿宋_GB2312" w:cs="仿宋_GB2312"/>
                <w:color w:val="555555"/>
                <w:kern w:val="0"/>
                <w:sz w:val="24"/>
                <w:szCs w:val="24"/>
              </w:rPr>
              <w:t>分。</w:t>
            </w:r>
          </w:p>
          <w:p>
            <w:pPr>
              <w:widowControl/>
              <w:spacing w:line="60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lang w:eastAsia="zh-CN"/>
              </w:rPr>
              <w:t>六、</w:t>
            </w:r>
            <w:r>
              <w:rPr>
                <w:rFonts w:hint="eastAsia" w:ascii="仿宋_GB2312" w:hAnsi="仿宋_GB2312" w:eastAsia="仿宋_GB2312" w:cs="仿宋_GB2312"/>
                <w:b/>
                <w:bCs/>
                <w:color w:val="555555"/>
                <w:kern w:val="0"/>
                <w:sz w:val="24"/>
                <w:szCs w:val="24"/>
              </w:rPr>
              <w:t>存在的主要问题</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通过前述对我局整体支出情况的分析，反映出目前在整体支出的预算编制、执行和管理过程中，依然存在一些问题和不足；针对这些不足，我局将积极采取改进措施，持续改进，不断规范和强化管理。</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七、改进措施：</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针对上述存在的问题及我局整体支出管理工作的需要，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555555"/>
                <w:kern w:val="0"/>
                <w:sz w:val="24"/>
                <w:szCs w:val="24"/>
              </w:rPr>
              <w:t> </w:t>
            </w:r>
          </w:p>
          <w:p>
            <w:pPr>
              <w:spacing w:line="560" w:lineRule="exact"/>
              <w:ind w:firstLine="480" w:firstLineChars="200"/>
              <w:rPr>
                <w:rFonts w:hint="eastAsia" w:ascii="仿宋_GB2312" w:hAnsi="仿宋_GB2312" w:eastAsia="仿宋_GB2312" w:cs="仿宋_GB2312"/>
                <w:bCs/>
                <w:sz w:val="24"/>
                <w:szCs w:val="24"/>
              </w:rPr>
            </w:pPr>
          </w:p>
          <w:p>
            <w:pPr>
              <w:rPr>
                <w:rFonts w:hint="eastAsia" w:ascii="仿宋_GB2312" w:hAnsi="仿宋_GB2312" w:eastAsia="仿宋_GB2312" w:cs="仿宋_GB2312"/>
                <w:bCs/>
                <w:sz w:val="24"/>
                <w:szCs w:val="24"/>
              </w:rPr>
            </w:pPr>
          </w:p>
        </w:tc>
      </w:tr>
    </w:tbl>
    <w:p>
      <w:pPr>
        <w:spacing w:line="348" w:lineRule="auto"/>
        <w:rPr>
          <w:rFonts w:hint="eastAsia" w:ascii="仿宋_GB2312" w:hAnsi="仿宋_GB2312" w:eastAsia="仿宋_GB2312" w:cs="仿宋_GB2312"/>
          <w:bCs/>
          <w:sz w:val="24"/>
          <w:szCs w:val="24"/>
        </w:rPr>
      </w:pPr>
    </w:p>
    <w:p>
      <w:pPr>
        <w:rPr>
          <w:rFonts w:ascii="黑体" w:hAnsi="黑体" w:eastAsia="黑体"/>
          <w:sz w:val="28"/>
          <w:szCs w:val="28"/>
        </w:rPr>
      </w:pPr>
      <w:r>
        <w:rPr>
          <w:rFonts w:hint="eastAsia" w:ascii="仿宋_GB2312" w:hAnsi="仿宋_GB2312" w:eastAsia="仿宋_GB2312" w:cs="仿宋_GB2312"/>
          <w:bCs/>
          <w:sz w:val="24"/>
          <w:szCs w:val="24"/>
        </w:rPr>
        <w:br w:type="page"/>
      </w:r>
      <w:r>
        <w:rPr>
          <w:rFonts w:hint="eastAsia" w:ascii="黑体" w:hAnsi="黑体" w:eastAsia="黑体"/>
          <w:sz w:val="28"/>
          <w:szCs w:val="28"/>
        </w:rPr>
        <w:t>附件3-1</w:t>
      </w:r>
    </w:p>
    <w:p>
      <w:pPr>
        <w:spacing w:beforeLines="100" w:afterLines="100"/>
        <w:jc w:val="center"/>
        <w:rPr>
          <w:rFonts w:ascii="方正小标宋简体" w:eastAsia="方正小标宋简体"/>
          <w:sz w:val="28"/>
          <w:szCs w:val="28"/>
        </w:rPr>
      </w:pPr>
      <w:r>
        <w:rPr>
          <w:rFonts w:hint="eastAsia" w:ascii="方正小标宋简体" w:eastAsia="方正小标宋简体"/>
          <w:sz w:val="28"/>
          <w:szCs w:val="28"/>
        </w:rPr>
        <w:t>部门整体支出绩效评价评分表</w:t>
      </w: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21"/>
                <w:szCs w:val="21"/>
              </w:rPr>
            </w:pPr>
            <w:r>
              <w:rPr>
                <w:rFonts w:hint="eastAsia" w:ascii="仿宋_GB2312" w:hAnsi="宋体" w:eastAsia="仿宋_GB2312" w:cs="宋体"/>
                <w:b/>
                <w:bCs/>
                <w:spacing w:val="-10"/>
                <w:kern w:val="0"/>
                <w:sz w:val="21"/>
                <w:szCs w:val="21"/>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  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预算配置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以100%为标准。在职人员控制率≦100%，计5分；每超过一个百分点扣0.5分，扣完为止。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“三公经费”变动率≦0,计5分；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预算执行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春节前下达全部专项资金的50%；6月底前所有专项资金指标全部下达完。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以100%为标准。三公经费控制率≦100%，计6分；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①已制定或具有预算资金管理办法，内部财务管理制度、会计核算制度等管理制度，1分；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②相关管理制度合法、合规、完整，1分；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资金使用</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①支出符合国家财经法规和财务管理制度规定以及有关专项资金管理办法的规定；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②资金拨付有完整的审批程序和手续；</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③项目支出按规定经过评估论证；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④支出符合部门预算批复的用途；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spacing w:val="-6"/>
                <w:kern w:val="0"/>
                <w:sz w:val="21"/>
                <w:szCs w:val="21"/>
              </w:rPr>
              <w:t>⑤资金使用无截留、挤占、挪用、虚列支出等情况。</w:t>
            </w:r>
            <w:r>
              <w:rPr>
                <w:rFonts w:hint="eastAsia" w:ascii="仿宋_GB2312" w:hAnsi="仿宋_GB2312" w:eastAsia="仿宋_GB2312" w:cs="仿宋_GB2312"/>
                <w:spacing w:val="-6"/>
                <w:kern w:val="0"/>
                <w:sz w:val="21"/>
                <w:szCs w:val="21"/>
              </w:rPr>
              <w:br w:type="textWrapping"/>
            </w:r>
            <w:r>
              <w:rPr>
                <w:rFonts w:hint="eastAsia" w:ascii="仿宋_GB2312" w:hAnsi="仿宋_GB2312" w:eastAsia="仿宋_GB2312" w:cs="仿宋_GB2312"/>
                <w:spacing w:val="-6"/>
                <w:kern w:val="0"/>
                <w:sz w:val="21"/>
                <w:szCs w:val="21"/>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①按规定内容公开预决算信息，1分；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②按规定时限公开预决算信息，0.5分；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③基础数据信息和会计信息资料真实，0.5分；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④基础数据信息和会计信息资料完整，0.5分；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政府采购执行率等于100%的，得3分；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公务卡刷卡率达50％以上的，得3分。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①已制定或具有资产管理制度，且相关资产管理制度合法、合规、完整，2分；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1"/>
          <w:szCs w:val="21"/>
        </w:rPr>
      </w:pP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2"/>
                <w:kern w:val="0"/>
                <w:sz w:val="21"/>
                <w:szCs w:val="21"/>
              </w:rPr>
            </w:pPr>
            <w:r>
              <w:rPr>
                <w:rFonts w:hint="eastAsia" w:ascii="仿宋_GB2312" w:hAnsi="仿宋_GB2312" w:eastAsia="仿宋_GB2312" w:cs="仿宋_GB2312"/>
                <w:b/>
                <w:bCs/>
                <w:spacing w:val="-12"/>
                <w:kern w:val="0"/>
                <w:sz w:val="21"/>
                <w:szCs w:val="21"/>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①资产保存完整；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②资产配置合理；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③资产处置规范； </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④资产账务管理合规，帐实相符；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⑤资产有偿使用及处置收入及时足额上缴；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固定资产</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职责履行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  果</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履职效益</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此三项指标为设置部门整体支出绩效评价指标时必须考虑的共性要素。</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95%（含）以上计5分；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85%（含）-95%，计3分；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75%（含）-85%，计1分；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spacing w:val="-8"/>
                <w:kern w:val="0"/>
                <w:sz w:val="21"/>
                <w:szCs w:val="21"/>
              </w:rPr>
            </w:pPr>
            <w:r>
              <w:rPr>
                <w:rFonts w:hint="eastAsia" w:ascii="仿宋_GB2312" w:hAnsi="仿宋_GB2312" w:eastAsia="仿宋_GB2312" w:cs="仿宋_GB2312"/>
                <w:b/>
                <w:bCs/>
                <w:spacing w:val="-8"/>
                <w:kern w:val="0"/>
                <w:sz w:val="21"/>
                <w:szCs w:val="21"/>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r>
    </w:tbl>
    <w:p>
      <w:pPr>
        <w:spacing w:beforeLines="5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20B49"/>
    <w:multiLevelType w:val="singleLevel"/>
    <w:tmpl w:val="97F20B49"/>
    <w:lvl w:ilvl="0" w:tentative="0">
      <w:start w:val="1"/>
      <w:numFmt w:val="decimal"/>
      <w:lvlText w:val="%1."/>
      <w:lvlJc w:val="left"/>
      <w:pPr>
        <w:tabs>
          <w:tab w:val="left" w:pos="312"/>
        </w:tabs>
      </w:p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013EA974"/>
    <w:multiLevelType w:val="singleLevel"/>
    <w:tmpl w:val="013EA974"/>
    <w:lvl w:ilvl="0" w:tentative="0">
      <w:start w:val="1"/>
      <w:numFmt w:val="decimal"/>
      <w:lvlText w:val="%1."/>
      <w:lvlJc w:val="left"/>
      <w:pPr>
        <w:tabs>
          <w:tab w:val="left" w:pos="312"/>
        </w:tabs>
      </w:pPr>
    </w:lvl>
  </w:abstractNum>
  <w:abstractNum w:abstractNumId="3">
    <w:nsid w:val="12B151E0"/>
    <w:multiLevelType w:val="multilevel"/>
    <w:tmpl w:val="12B151E0"/>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jc4YTc1MTljYmFjMjgwNDAyZTg0NzBjZWIyM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2B04745"/>
    <w:rsid w:val="046A5127"/>
    <w:rsid w:val="04C60CD6"/>
    <w:rsid w:val="05C64171"/>
    <w:rsid w:val="06DB1A3A"/>
    <w:rsid w:val="07C01E40"/>
    <w:rsid w:val="07FE71BC"/>
    <w:rsid w:val="08BC6C28"/>
    <w:rsid w:val="0AF45818"/>
    <w:rsid w:val="0BA318C2"/>
    <w:rsid w:val="0DA95E3F"/>
    <w:rsid w:val="0DBB6BE3"/>
    <w:rsid w:val="12B7345F"/>
    <w:rsid w:val="14A3675D"/>
    <w:rsid w:val="16C95493"/>
    <w:rsid w:val="17B12897"/>
    <w:rsid w:val="183B4201"/>
    <w:rsid w:val="190B143C"/>
    <w:rsid w:val="1BED3C75"/>
    <w:rsid w:val="1C0F288E"/>
    <w:rsid w:val="1C941EAB"/>
    <w:rsid w:val="203B58B5"/>
    <w:rsid w:val="20AA343C"/>
    <w:rsid w:val="20CC0D44"/>
    <w:rsid w:val="238E6A8A"/>
    <w:rsid w:val="244042FB"/>
    <w:rsid w:val="25BD7C4A"/>
    <w:rsid w:val="28151A88"/>
    <w:rsid w:val="2818512F"/>
    <w:rsid w:val="2B7C5C0D"/>
    <w:rsid w:val="2C710A1F"/>
    <w:rsid w:val="2C881C3E"/>
    <w:rsid w:val="2D426ED6"/>
    <w:rsid w:val="2F4876EE"/>
    <w:rsid w:val="30127AD2"/>
    <w:rsid w:val="312718BF"/>
    <w:rsid w:val="31FF5799"/>
    <w:rsid w:val="32125E21"/>
    <w:rsid w:val="32420FD5"/>
    <w:rsid w:val="329500B2"/>
    <w:rsid w:val="38E057F5"/>
    <w:rsid w:val="393255D3"/>
    <w:rsid w:val="394F2CDC"/>
    <w:rsid w:val="3A6B2449"/>
    <w:rsid w:val="3CC31B35"/>
    <w:rsid w:val="3D7E4E71"/>
    <w:rsid w:val="3D9372DA"/>
    <w:rsid w:val="44B44C7A"/>
    <w:rsid w:val="47A71AC7"/>
    <w:rsid w:val="480C3243"/>
    <w:rsid w:val="4830163E"/>
    <w:rsid w:val="487730CC"/>
    <w:rsid w:val="4A406E15"/>
    <w:rsid w:val="4FFD6DC7"/>
    <w:rsid w:val="51147780"/>
    <w:rsid w:val="52E12409"/>
    <w:rsid w:val="591E4096"/>
    <w:rsid w:val="59C97EB4"/>
    <w:rsid w:val="5B67521E"/>
    <w:rsid w:val="5BD3252A"/>
    <w:rsid w:val="5C1017F7"/>
    <w:rsid w:val="5F794984"/>
    <w:rsid w:val="628F2710"/>
    <w:rsid w:val="64F32289"/>
    <w:rsid w:val="663951BC"/>
    <w:rsid w:val="69356BFB"/>
    <w:rsid w:val="69B6259A"/>
    <w:rsid w:val="6A2D1866"/>
    <w:rsid w:val="6EDE22C6"/>
    <w:rsid w:val="6F4D73F1"/>
    <w:rsid w:val="71593474"/>
    <w:rsid w:val="727E5584"/>
    <w:rsid w:val="776F6854"/>
    <w:rsid w:val="79270F41"/>
    <w:rsid w:val="7A6D211F"/>
    <w:rsid w:val="7BED75DA"/>
    <w:rsid w:val="7D6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7178</Words>
  <Characters>7798</Characters>
  <Lines>78</Lines>
  <Paragraphs>21</Paragraphs>
  <TotalTime>14</TotalTime>
  <ScaleCrop>false</ScaleCrop>
  <LinksUpToDate>false</LinksUpToDate>
  <CharactersWithSpaces>8443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lenovo</cp:lastModifiedBy>
  <cp:lastPrinted>2021-06-23T07:00:00Z</cp:lastPrinted>
  <dcterms:modified xsi:type="dcterms:W3CDTF">2023-05-17T11:57:33Z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AE600170BE794E35BFDCFE4D7467A837</vt:lpwstr>
  </property>
</Properties>
</file>