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舒体" w:hAnsi="方正舒体" w:eastAsia="方正舒体" w:cs="方正舒体"/>
          <w:sz w:val="44"/>
          <w:szCs w:val="44"/>
        </w:rPr>
      </w:pPr>
    </w:p>
    <w:p>
      <w:pPr>
        <w:jc w:val="center"/>
        <w:rPr>
          <w:rFonts w:hint="eastAsia" w:ascii="方正舒体" w:hAnsi="方正舒体" w:eastAsia="方正舒体" w:cs="方正舒体"/>
          <w:sz w:val="44"/>
          <w:szCs w:val="44"/>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w:t>
      </w:r>
      <w:r>
        <w:rPr>
          <w:rFonts w:hint="eastAsia" w:asciiTheme="majorEastAsia" w:hAnsiTheme="majorEastAsia" w:eastAsiaTheme="majorEastAsia" w:cstheme="majorEastAsia"/>
          <w:sz w:val="44"/>
          <w:szCs w:val="44"/>
          <w:lang w:val="en-US" w:eastAsia="zh-CN"/>
        </w:rPr>
        <w:t>2</w:t>
      </w:r>
      <w:r>
        <w:rPr>
          <w:rFonts w:hint="eastAsia" w:asciiTheme="majorEastAsia" w:hAnsiTheme="majorEastAsia" w:eastAsiaTheme="majorEastAsia" w:cstheme="majorEastAsia"/>
          <w:sz w:val="44"/>
          <w:szCs w:val="44"/>
        </w:rPr>
        <w:t>年度</w:t>
      </w:r>
      <w:r>
        <w:rPr>
          <w:rFonts w:hint="eastAsia" w:asciiTheme="majorEastAsia" w:hAnsiTheme="majorEastAsia" w:eastAsiaTheme="majorEastAsia" w:cstheme="majorEastAsia"/>
          <w:sz w:val="44"/>
          <w:szCs w:val="44"/>
          <w:lang w:val="en-US" w:eastAsia="zh-CN"/>
        </w:rPr>
        <w:t>住房和城乡建设局</w:t>
      </w:r>
      <w:r>
        <w:rPr>
          <w:rFonts w:hint="eastAsia" w:asciiTheme="majorEastAsia" w:hAnsiTheme="majorEastAsia" w:eastAsiaTheme="majorEastAsia" w:cstheme="majorEastAsia"/>
          <w:sz w:val="44"/>
          <w:szCs w:val="44"/>
        </w:rPr>
        <w:t>部门整体支出</w:t>
      </w:r>
    </w:p>
    <w:p>
      <w:pPr>
        <w:jc w:val="center"/>
        <w:rPr>
          <w:rFonts w:hint="eastAsia" w:asciiTheme="majorEastAsia" w:hAnsiTheme="majorEastAsia" w:eastAsiaTheme="majorEastAsia" w:cstheme="majorEastAsia"/>
          <w:sz w:val="52"/>
          <w:szCs w:val="52"/>
        </w:rPr>
      </w:pPr>
      <w:r>
        <w:rPr>
          <w:rFonts w:hint="eastAsia" w:asciiTheme="majorEastAsia" w:hAnsiTheme="majorEastAsia" w:eastAsiaTheme="majorEastAsia" w:cstheme="majorEastAsia"/>
          <w:sz w:val="52"/>
          <w:szCs w:val="52"/>
        </w:rPr>
        <w:t>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ind w:firstLine="2160" w:firstLineChars="600"/>
        <w:jc w:val="both"/>
        <w:rPr>
          <w:rFonts w:hint="default" w:ascii="Times New Roman" w:hAnsi="Times New Roman" w:eastAsia="仿宋_GB2312" w:cs="Times New Roman"/>
          <w:sz w:val="36"/>
          <w:szCs w:val="36"/>
          <w:u w:val="single"/>
        </w:rPr>
      </w:pPr>
      <w:r>
        <w:rPr>
          <w:rFonts w:hint="eastAsia" w:ascii="Times New Roman" w:hAnsi="Times New Roman" w:eastAsia="仿宋_GB2312" w:cs="Times New Roman"/>
          <w:sz w:val="36"/>
          <w:szCs w:val="36"/>
          <w:lang w:val="en-US" w:eastAsia="zh-CN"/>
        </w:rPr>
        <w:t>岳阳市</w:t>
      </w:r>
      <w:r>
        <w:rPr>
          <w:rFonts w:hint="default" w:ascii="Times New Roman" w:hAnsi="Times New Roman" w:eastAsia="仿宋_GB2312" w:cs="Times New Roman"/>
          <w:sz w:val="36"/>
          <w:szCs w:val="36"/>
        </w:rPr>
        <w:t>住房和城乡建设局：</w:t>
      </w:r>
      <w:r>
        <w:rPr>
          <w:rFonts w:hint="default" w:ascii="Times New Roman" w:hAnsi="Times New Roman" w:eastAsia="仿宋_GB2312" w:cs="Times New Roman"/>
          <w:sz w:val="36"/>
          <w:szCs w:val="36"/>
          <w:u w:val="single"/>
        </w:rPr>
        <w:t>（盖章）</w:t>
      </w:r>
    </w:p>
    <w:p>
      <w:pPr>
        <w:spacing w:line="600" w:lineRule="exact"/>
        <w:jc w:val="center"/>
        <w:rPr>
          <w:rFonts w:hint="eastAsia" w:ascii="Times New Roman" w:hAnsi="Times New Roman" w:eastAsia="仿宋_GB2312" w:cs="Times New Roman"/>
          <w:sz w:val="36"/>
          <w:szCs w:val="36"/>
          <w:lang w:val="en-US" w:eastAsia="zh-CN"/>
        </w:rPr>
        <w:sectPr>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pPr>
      <w:r>
        <w:rPr>
          <w:rFonts w:hint="eastAsia" w:eastAsia="楷体_GB2312" w:cs="Times New Roman"/>
          <w:sz w:val="36"/>
          <w:szCs w:val="36"/>
          <w:lang w:val="en-US" w:eastAsia="zh-CN"/>
        </w:rPr>
        <w:t xml:space="preserve"> </w:t>
      </w:r>
      <w:r>
        <w:rPr>
          <w:rFonts w:hint="eastAsia" w:ascii="Times New Roman" w:hAnsi="Times New Roman" w:eastAsia="仿宋_GB2312" w:cs="Times New Roman"/>
          <w:sz w:val="36"/>
          <w:szCs w:val="36"/>
          <w:lang w:val="en-US" w:eastAsia="zh-CN"/>
        </w:rPr>
        <w:t xml:space="preserve">  二0二三</w:t>
      </w:r>
      <w:r>
        <w:rPr>
          <w:rFonts w:hint="default" w:ascii="Times New Roman" w:hAnsi="Times New Roman" w:eastAsia="仿宋_GB2312" w:cs="Times New Roman"/>
          <w:sz w:val="36"/>
          <w:szCs w:val="36"/>
          <w:lang w:val="en-US" w:eastAsia="zh-CN"/>
        </w:rPr>
        <w:t>年</w:t>
      </w:r>
      <w:r>
        <w:rPr>
          <w:rFonts w:hint="eastAsia" w:ascii="Times New Roman" w:hAnsi="Times New Roman" w:eastAsia="仿宋_GB2312" w:cs="Times New Roman"/>
          <w:sz w:val="36"/>
          <w:szCs w:val="36"/>
          <w:lang w:val="en-US" w:eastAsia="zh-CN"/>
        </w:rPr>
        <w:t>七</w:t>
      </w:r>
      <w:r>
        <w:rPr>
          <w:rFonts w:hint="default" w:ascii="Times New Roman" w:hAnsi="Times New Roman" w:eastAsia="仿宋_GB2312" w:cs="Times New Roman"/>
          <w:sz w:val="36"/>
          <w:szCs w:val="36"/>
          <w:lang w:val="en-US" w:eastAsia="zh-CN"/>
        </w:rPr>
        <w:t>月</w:t>
      </w:r>
      <w:r>
        <w:rPr>
          <w:rFonts w:hint="eastAsia" w:ascii="Times New Roman" w:hAnsi="Times New Roman" w:eastAsia="仿宋_GB2312" w:cs="Times New Roman"/>
          <w:sz w:val="36"/>
          <w:szCs w:val="36"/>
          <w:lang w:val="en-US" w:eastAsia="zh-CN"/>
        </w:rPr>
        <w:t>八</w:t>
      </w:r>
      <w:r>
        <w:rPr>
          <w:rFonts w:hint="default" w:ascii="Times New Roman" w:hAnsi="Times New Roman" w:eastAsia="仿宋_GB2312" w:cs="Times New Roman"/>
          <w:sz w:val="36"/>
          <w:szCs w:val="36"/>
          <w:lang w:val="en-US" w:eastAsia="zh-CN"/>
        </w:rPr>
        <w:t>日</w:t>
      </w:r>
    </w:p>
    <w:p>
      <w:pPr>
        <w:jc w:val="center"/>
        <w:rPr>
          <w:rFonts w:hint="eastAsia" w:ascii="方正舒体" w:hAnsi="方正舒体" w:eastAsia="方正舒体" w:cs="方正舒体"/>
          <w:sz w:val="44"/>
          <w:szCs w:val="44"/>
        </w:rPr>
      </w:pPr>
    </w:p>
    <w:p>
      <w:pPr>
        <w:jc w:val="center"/>
        <w:rPr>
          <w:rFonts w:hint="eastAsia" w:ascii="汉仪润圆-65简" w:hAnsi="汉仪润圆-65简" w:eastAsia="汉仪润圆-65简" w:cs="汉仪润圆-65简"/>
          <w:sz w:val="44"/>
          <w:szCs w:val="44"/>
        </w:rPr>
      </w:pPr>
      <w:r>
        <w:rPr>
          <w:rFonts w:hint="eastAsia" w:ascii="汉仪润圆-65简" w:hAnsi="汉仪润圆-65简" w:eastAsia="汉仪润圆-65简" w:cs="汉仪润圆-65简"/>
          <w:sz w:val="44"/>
          <w:szCs w:val="44"/>
        </w:rPr>
        <w:t>202</w:t>
      </w:r>
      <w:r>
        <w:rPr>
          <w:rFonts w:hint="eastAsia" w:ascii="汉仪润圆-65简" w:hAnsi="汉仪润圆-65简" w:eastAsia="汉仪润圆-65简" w:cs="汉仪润圆-65简"/>
          <w:sz w:val="44"/>
          <w:szCs w:val="44"/>
          <w:lang w:val="en-US" w:eastAsia="zh-CN"/>
        </w:rPr>
        <w:t>2</w:t>
      </w:r>
      <w:r>
        <w:rPr>
          <w:rFonts w:hint="eastAsia" w:ascii="汉仪润圆-65简" w:hAnsi="汉仪润圆-65简" w:eastAsia="汉仪润圆-65简" w:cs="汉仪润圆-65简"/>
          <w:sz w:val="44"/>
          <w:szCs w:val="44"/>
        </w:rPr>
        <w:t>年度</w:t>
      </w:r>
      <w:r>
        <w:rPr>
          <w:rFonts w:hint="eastAsia" w:ascii="汉仪润圆-65简" w:hAnsi="汉仪润圆-65简" w:eastAsia="汉仪润圆-65简" w:cs="汉仪润圆-65简"/>
          <w:sz w:val="44"/>
          <w:szCs w:val="44"/>
          <w:lang w:val="en-US" w:eastAsia="zh-CN"/>
        </w:rPr>
        <w:t>住房和城乡建设局</w:t>
      </w:r>
      <w:r>
        <w:rPr>
          <w:rFonts w:hint="eastAsia" w:ascii="汉仪润圆-65简" w:hAnsi="汉仪润圆-65简" w:eastAsia="汉仪润圆-65简" w:cs="汉仪润圆-65简"/>
          <w:sz w:val="44"/>
          <w:szCs w:val="44"/>
        </w:rPr>
        <w:t>部门整体支出</w:t>
      </w:r>
    </w:p>
    <w:p>
      <w:pPr>
        <w:jc w:val="center"/>
        <w:rPr>
          <w:rFonts w:hint="eastAsia" w:ascii="汉仪润圆-65简" w:hAnsi="汉仪润圆-65简" w:eastAsia="汉仪润圆-65简" w:cs="汉仪润圆-65简"/>
          <w:sz w:val="44"/>
          <w:szCs w:val="44"/>
        </w:rPr>
      </w:pPr>
      <w:r>
        <w:rPr>
          <w:rFonts w:hint="eastAsia" w:ascii="汉仪润圆-65简" w:hAnsi="汉仪润圆-65简" w:eastAsia="汉仪润圆-65简" w:cs="汉仪润圆-65简"/>
          <w:sz w:val="44"/>
          <w:szCs w:val="44"/>
        </w:rPr>
        <w:t>绩效自评报告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部门（单位）基本情</w:t>
      </w:r>
      <w:r>
        <w:rPr>
          <w:rFonts w:hint="eastAsia" w:ascii="Times New Roman" w:hAnsi="Times New Roman" w:eastAsia="黑体" w:cs="Times New Roman"/>
          <w:sz w:val="32"/>
          <w:szCs w:val="32"/>
          <w:lang w:val="en-US" w:eastAsia="zh-CN"/>
        </w:rPr>
        <w:t>况</w:t>
      </w:r>
    </w:p>
    <w:p>
      <w:pPr>
        <w:pStyle w:val="24"/>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岳阳市住房和城乡建设局属全额预算拨款的正处级行政单位。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2022年度内设办公室、综合调研室(新型城镇化办公室)、行政审批科、住房保障科、房地产市场监管科、房屋和物业管理科、勘察设计管理科、建设工程招标投标管理办公室、建设市场管理科(岳阳市人民政府清理拖欠工程款 领导小组办公室)、信息和信用监管科、建筑节能与科技科、质量安全管理科、建设工程消防管理科、村镇建设科、城市建设科、历史文化名城保护管理科、供排水管理科(海绵城市建设办公室)、政策法规科、工程技术科、信访科、人事科、计财审计科等22个职能科室。</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下设市建设工程质量安全监督站、市住房保障服务中心、市城市建设档案馆、市房地产市场服务中心、市污水处理监督中心、市绿色建筑产业发展服务中心、市城乡建设事务中心（由原市国有土地房屋征收中心、市建设工程造价站、市城市建设科学研究中心、市城建项目管理中心、市建筑市场服务中心等5家年初独立预算单位于年中合并成立）等7个二级独立核算事业单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根据“三定方案”，2022年度全局系统核编396人，实有人数404人，其中局机关编制57人，实有在岗人员76人。</w:t>
      </w:r>
    </w:p>
    <w:p>
      <w:pPr>
        <w:pStyle w:val="24"/>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主要职能职责</w:t>
      </w:r>
    </w:p>
    <w:p>
      <w:pPr>
        <w:pStyle w:val="6"/>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贯彻落实有关住房和城乡建设的法律法规、规章和政策;拟订住房和城乡建设行业地方性法规、规章草案、规范性文件;研究拟订住房和城乡建设发展战略、产业政策、改革方案和中长期规划及年度计划并组织实施;牵头组织推进城市智慧化建设和新型城市化发展战略;组织推进行业诚信体系建设和管理;负责市本级住房和城乡建设行政执法工作;负责监督指导各县市区住房和城乡建设行政执法工作;负责编制城市建设行业专业规划;负责住房和城乡建设行业综合统计;指导 和协调各县市区住房和城乡建设管理工作。</w:t>
      </w:r>
    </w:p>
    <w:p>
      <w:pPr>
        <w:pStyle w:val="6"/>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负责全市市政基础(公用)设施建设的行业管理和城建计划;牵头负责城市地下管线建设统筹和数据管理;负责住宅专项维修资金缴存管理和城市基础设施建设配套费的征收管理。</w:t>
      </w:r>
    </w:p>
    <w:p>
      <w:pPr>
        <w:pStyle w:val="6"/>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建立和完善住房保障体系，研究拟订全市住房保障政策并监督实施;指导监督全市住房保障工作。</w:t>
      </w:r>
    </w:p>
    <w:p>
      <w:pPr>
        <w:pStyle w:val="6"/>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负责全市房地产市场监督管理，规范房地产市场秩序。</w:t>
      </w:r>
    </w:p>
    <w:p>
      <w:pPr>
        <w:pStyle w:val="6"/>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负责全市建筑市场监督管理。</w:t>
      </w:r>
    </w:p>
    <w:p>
      <w:pPr>
        <w:pStyle w:val="3"/>
        <w:bidi w:val="0"/>
        <w:rPr>
          <w:rFonts w:hint="default"/>
          <w:lang w:val="en-US" w:eastAsia="zh-CN"/>
        </w:rPr>
      </w:pPr>
      <w:r>
        <w:rPr>
          <w:rFonts w:hint="eastAsia"/>
          <w:lang w:val="en-US" w:eastAsia="zh-CN"/>
        </w:rPr>
        <w:t xml:space="preserve">    6.负责全市房屋建筑和市政基础设施的工程质量、安 全生产、文明施工的监督管理。</w:t>
      </w:r>
    </w:p>
    <w:p>
      <w:pPr>
        <w:pStyle w:val="6"/>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负责建设工程消防设计审查、消防验收及竣工验收消防备案、抽查工作;按照法定职权负责消防行政执法工作， 对建设工程消防设计审查验收过程中的违法违规行为进行行政处罚。</w:t>
      </w:r>
    </w:p>
    <w:p>
      <w:pPr>
        <w:keepNext w:val="0"/>
        <w:keepLines w:val="0"/>
        <w:pageBreakBefore w:val="0"/>
        <w:widowControl w:val="0"/>
        <w:kinsoku/>
        <w:wordWrap/>
        <w:overflowPunct/>
        <w:topLinePunct w:val="0"/>
        <w:autoSpaceDE/>
        <w:bidi w:val="0"/>
        <w:adjustRightInd/>
        <w:snapToGrid/>
        <w:spacing w:line="580" w:lineRule="exact"/>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 xml:space="preserve">    8</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负责绿色建筑、建筑节能和建设科技成果应用推广。</w:t>
      </w:r>
    </w:p>
    <w:p>
      <w:pPr>
        <w:keepNext w:val="0"/>
        <w:keepLines w:val="0"/>
        <w:pageBreakBefore w:val="0"/>
        <w:widowControl w:val="0"/>
        <w:kinsoku/>
        <w:wordWrap/>
        <w:overflowPunct/>
        <w:topLinePunct w:val="0"/>
        <w:autoSpaceDE/>
        <w:bidi w:val="0"/>
        <w:adjustRightInd/>
        <w:snapToGrid/>
        <w:spacing w:line="580" w:lineRule="exact"/>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9</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负责全市建设工程勘察设计市场的监督管理。</w:t>
      </w:r>
    </w:p>
    <w:p>
      <w:pPr>
        <w:keepNext w:val="0"/>
        <w:keepLines w:val="0"/>
        <w:pageBreakBefore w:val="0"/>
        <w:widowControl w:val="0"/>
        <w:kinsoku/>
        <w:wordWrap/>
        <w:overflowPunct/>
        <w:topLinePunct w:val="0"/>
        <w:autoSpaceDE/>
        <w:bidi w:val="0"/>
        <w:adjustRightInd/>
        <w:snapToGrid/>
        <w:spacing w:line="580" w:lineRule="exact"/>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10</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负责村镇建设的指导和历史文化名城(镇、村)保 护的监督管理。</w:t>
      </w:r>
    </w:p>
    <w:p>
      <w:pPr>
        <w:keepNext w:val="0"/>
        <w:keepLines w:val="0"/>
        <w:pageBreakBefore w:val="0"/>
        <w:widowControl w:val="0"/>
        <w:kinsoku/>
        <w:wordWrap/>
        <w:overflowPunct/>
        <w:topLinePunct w:val="0"/>
        <w:autoSpaceDE/>
        <w:bidi w:val="0"/>
        <w:adjustRightInd/>
        <w:snapToGrid/>
        <w:spacing w:line="580" w:lineRule="exact"/>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11</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负责城市供水、排水和海绵城市建设的监督管理。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lang w:val="en-US" w:eastAsia="zh-CN"/>
        </w:rPr>
      </w:pPr>
      <w:r>
        <w:rPr>
          <w:rFonts w:hint="eastAsia" w:ascii="Times New Roman" w:hAnsi="Times New Roman" w:eastAsia="仿宋_GB2312" w:cs="Times New Roman"/>
          <w:color w:val="000000"/>
          <w:kern w:val="0"/>
          <w:sz w:val="32"/>
          <w:szCs w:val="32"/>
          <w:lang w:val="en-US" w:eastAsia="zh-CN"/>
        </w:rPr>
        <w:t>12</w:t>
      </w:r>
      <w:r>
        <w:rPr>
          <w:rFonts w:hint="eastAsia"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承办市委、市政府交办的其他事项。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imes New Roman" w:hAnsi="Times New Roman" w:eastAsia="黑体" w:cs="Times New Roman"/>
          <w:sz w:val="32"/>
          <w:szCs w:val="32"/>
          <w:lang w:val="en-US" w:eastAsia="zh-CN"/>
        </w:rPr>
        <w:t>二、一般公共预算支出情况</w:t>
      </w:r>
    </w:p>
    <w:p>
      <w:pPr>
        <w:keepNext w:val="0"/>
        <w:keepLines w:val="0"/>
        <w:pageBreakBefore w:val="0"/>
        <w:widowControl/>
        <w:kinsoku/>
        <w:wordWrap/>
        <w:overflowPunct/>
        <w:topLinePunct w:val="0"/>
        <w:autoSpaceDE/>
        <w:autoSpaceDN/>
        <w:bidi w:val="0"/>
        <w:adjustRightInd/>
        <w:snapToGrid/>
        <w:spacing w:line="580" w:lineRule="exact"/>
        <w:ind w:left="319" w:leftChars="152" w:firstLine="320" w:firstLineChars="100"/>
        <w:jc w:val="both"/>
        <w:textAlignment w:val="auto"/>
        <w:rPr>
          <w:rFonts w:hint="eastAsia"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根据2022年</w:t>
      </w:r>
      <w:r>
        <w:rPr>
          <w:rFonts w:hint="eastAsia" w:eastAsia="仿宋_GB2312" w:cs="Times New Roman"/>
          <w:color w:val="000000"/>
          <w:kern w:val="0"/>
          <w:sz w:val="32"/>
          <w:szCs w:val="32"/>
          <w:lang w:val="en-US" w:eastAsia="zh-CN" w:bidi="ar-SA"/>
        </w:rPr>
        <w:t>度</w:t>
      </w:r>
      <w:r>
        <w:rPr>
          <w:rFonts w:hint="eastAsia" w:ascii="Times New Roman" w:hAnsi="Times New Roman" w:eastAsia="仿宋_GB2312" w:cs="Times New Roman"/>
          <w:color w:val="000000"/>
          <w:kern w:val="0"/>
          <w:sz w:val="32"/>
          <w:szCs w:val="32"/>
          <w:lang w:val="en-US" w:eastAsia="zh-CN" w:bidi="ar-SA"/>
        </w:rPr>
        <w:t>决算情况，市</w:t>
      </w:r>
      <w:r>
        <w:rPr>
          <w:rFonts w:hint="eastAsia" w:eastAsia="仿宋_GB2312" w:cs="Times New Roman"/>
          <w:color w:val="000000"/>
          <w:kern w:val="0"/>
          <w:sz w:val="32"/>
          <w:szCs w:val="32"/>
          <w:lang w:val="en-US" w:eastAsia="zh-CN" w:bidi="ar-SA"/>
        </w:rPr>
        <w:t>住房和城乡建设</w:t>
      </w:r>
      <w:r>
        <w:rPr>
          <w:rFonts w:hint="eastAsia" w:ascii="Times New Roman" w:hAnsi="Times New Roman" w:eastAsia="仿宋_GB2312" w:cs="Times New Roman"/>
          <w:color w:val="000000"/>
          <w:kern w:val="0"/>
          <w:sz w:val="32"/>
          <w:szCs w:val="32"/>
          <w:lang w:val="en-US" w:eastAsia="zh-CN" w:bidi="ar-SA"/>
        </w:rPr>
        <w:t>局有</w:t>
      </w:r>
      <w:r>
        <w:rPr>
          <w:rFonts w:hint="eastAsia" w:eastAsia="仿宋_GB2312" w:cs="Times New Roman"/>
          <w:color w:val="000000"/>
          <w:kern w:val="0"/>
          <w:sz w:val="32"/>
          <w:szCs w:val="32"/>
          <w:lang w:val="en-US" w:eastAsia="zh-CN" w:bidi="ar-SA"/>
        </w:rPr>
        <w:t>8个</w:t>
      </w: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bidi="ar-SA"/>
        </w:rPr>
        <w:t>决算单位，分别为：</w:t>
      </w:r>
      <w:r>
        <w:rPr>
          <w:rFonts w:hint="eastAsia" w:ascii="Times New Roman" w:hAnsi="Times New Roman" w:eastAsia="仿宋_GB2312" w:cs="Times New Roman"/>
          <w:color w:val="000000"/>
          <w:kern w:val="0"/>
          <w:sz w:val="32"/>
          <w:szCs w:val="32"/>
          <w:lang w:val="en-US" w:eastAsia="zh-CN" w:bidi="ar-SA"/>
        </w:rPr>
        <w:t>市</w:t>
      </w:r>
      <w:r>
        <w:rPr>
          <w:rFonts w:hint="eastAsia" w:eastAsia="仿宋_GB2312" w:cs="Times New Roman"/>
          <w:color w:val="000000"/>
          <w:kern w:val="0"/>
          <w:sz w:val="32"/>
          <w:szCs w:val="32"/>
          <w:lang w:val="en-US" w:eastAsia="zh-CN" w:bidi="ar-SA"/>
        </w:rPr>
        <w:t>住房和城乡建设</w:t>
      </w:r>
      <w:r>
        <w:rPr>
          <w:rFonts w:hint="eastAsia" w:ascii="Times New Roman" w:hAnsi="Times New Roman" w:eastAsia="仿宋_GB2312" w:cs="Times New Roman"/>
          <w:color w:val="000000"/>
          <w:kern w:val="0"/>
          <w:sz w:val="32"/>
          <w:szCs w:val="32"/>
          <w:lang w:val="en-US" w:eastAsia="zh-CN" w:bidi="ar-SA"/>
        </w:rPr>
        <w:t>局本级</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rPr>
        <w:t>市建设工程质量安全监督站、市住房保障服务中心、市城乡建设事务中心</w:t>
      </w:r>
      <w:r>
        <w:rPr>
          <w:rFonts w:hint="eastAsia"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市城市建设档案馆、市房地产市场服务中心、市污水处理监督中心、市绿色建筑产业发展服务中心</w:t>
      </w:r>
      <w:r>
        <w:rPr>
          <w:rFonts w:hint="eastAsia" w:eastAsia="仿宋_GB2312" w:cs="Times New Roman"/>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eastAsia="楷体_GB2312" w:cs="Times New Roman"/>
          <w:b/>
          <w:kern w:val="2"/>
          <w:sz w:val="32"/>
          <w:szCs w:val="32"/>
          <w:lang w:val="en-US" w:eastAsia="zh-CN" w:bidi="ar-SA"/>
        </w:rPr>
      </w:pPr>
      <w:r>
        <w:rPr>
          <w:rFonts w:hint="eastAsia" w:eastAsia="楷体_GB2312" w:cs="Times New Roman"/>
          <w:b/>
          <w:kern w:val="2"/>
          <w:sz w:val="32"/>
          <w:szCs w:val="32"/>
          <w:lang w:val="en-US" w:eastAsia="zh-CN" w:bidi="ar-SA"/>
        </w:rPr>
        <w:t>部门收支</w:t>
      </w:r>
      <w:r>
        <w:rPr>
          <w:rFonts w:hint="eastAsia" w:ascii="Times New Roman" w:hAnsi="Times New Roman" w:eastAsia="楷体_GB2312" w:cs="Times New Roman"/>
          <w:b/>
          <w:kern w:val="2"/>
          <w:sz w:val="32"/>
          <w:szCs w:val="32"/>
          <w:lang w:val="en-US" w:eastAsia="zh-CN" w:bidi="ar-SA"/>
        </w:rPr>
        <w:t>总体情况</w:t>
      </w:r>
      <w:r>
        <w:rPr>
          <w:rFonts w:hint="eastAsia" w:eastAsia="楷体_GB2312" w:cs="Times New Roman"/>
          <w:b/>
          <w:kern w:val="2"/>
          <w:sz w:val="32"/>
          <w:szCs w:val="32"/>
          <w:lang w:val="en-US" w:eastAsia="zh-CN" w:bidi="ar-SA"/>
        </w:rPr>
        <w:t>如下：</w:t>
      </w:r>
    </w:p>
    <w:p>
      <w:pPr>
        <w:pStyle w:val="2"/>
        <w:rPr>
          <w:rFonts w:hint="eastAsia" w:eastAsia="楷体_GB2312" w:cs="Times New Roman"/>
          <w:b/>
          <w:kern w:val="2"/>
          <w:sz w:val="32"/>
          <w:szCs w:val="32"/>
          <w:lang w:val="en-US" w:eastAsia="zh-CN" w:bidi="ar-SA"/>
        </w:rPr>
      </w:pPr>
    </w:p>
    <w:p>
      <w:pPr>
        <w:pStyle w:val="2"/>
        <w:rPr>
          <w:rFonts w:hint="eastAsia" w:eastAsia="楷体_GB2312" w:cs="Times New Roman"/>
          <w:b/>
          <w:kern w:val="2"/>
          <w:sz w:val="32"/>
          <w:szCs w:val="32"/>
          <w:lang w:val="en-US" w:eastAsia="zh-CN" w:bidi="ar-SA"/>
        </w:rPr>
      </w:pPr>
    </w:p>
    <w:p>
      <w:pPr>
        <w:pStyle w:val="2"/>
        <w:rPr>
          <w:rFonts w:hint="eastAsia" w:eastAsia="楷体_GB2312" w:cs="Times New Roman"/>
          <w:b/>
          <w:kern w:val="2"/>
          <w:sz w:val="32"/>
          <w:szCs w:val="32"/>
          <w:lang w:val="en-US" w:eastAsia="zh-CN" w:bidi="ar-SA"/>
        </w:rPr>
      </w:pPr>
    </w:p>
    <w:p>
      <w:pPr>
        <w:pStyle w:val="2"/>
        <w:rPr>
          <w:rFonts w:hint="eastAsia" w:eastAsia="楷体_GB2312" w:cs="Times New Roman"/>
          <w:b/>
          <w:kern w:val="2"/>
          <w:sz w:val="32"/>
          <w:szCs w:val="32"/>
          <w:lang w:val="en-US" w:eastAsia="zh-CN" w:bidi="ar-SA"/>
        </w:rPr>
      </w:pPr>
    </w:p>
    <w:p>
      <w:pPr>
        <w:pStyle w:val="2"/>
        <w:rPr>
          <w:rFonts w:hint="default" w:eastAsia="楷体_GB2312" w:cs="Times New Roman"/>
          <w:b/>
          <w:kern w:val="2"/>
          <w:sz w:val="32"/>
          <w:szCs w:val="32"/>
          <w:lang w:val="en-US" w:eastAsia="zh-CN" w:bidi="ar-SA"/>
        </w:rPr>
      </w:pPr>
    </w:p>
    <w:tbl>
      <w:tblPr>
        <w:tblStyle w:val="14"/>
        <w:tblpPr w:leftFromText="180" w:rightFromText="180" w:vertAnchor="text" w:horzAnchor="page" w:tblpX="762" w:tblpY="571"/>
        <w:tblOverlap w:val="never"/>
        <w:tblW w:w="106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2"/>
        <w:gridCol w:w="984"/>
        <w:gridCol w:w="770"/>
        <w:gridCol w:w="946"/>
        <w:gridCol w:w="800"/>
        <w:gridCol w:w="984"/>
        <w:gridCol w:w="939"/>
        <w:gridCol w:w="923"/>
        <w:gridCol w:w="854"/>
        <w:gridCol w:w="1000"/>
        <w:gridCol w:w="784"/>
        <w:gridCol w:w="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_GB2312" w:hAnsi="宋体" w:eastAsia="仿宋_GB2312" w:cs="仿宋_GB2312"/>
                <w:b/>
                <w:bCs/>
                <w:i w:val="0"/>
                <w:iCs w:val="0"/>
                <w:color w:val="000000"/>
                <w:sz w:val="20"/>
                <w:szCs w:val="20"/>
                <w:u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收入合计</w:t>
            </w:r>
          </w:p>
        </w:tc>
        <w:tc>
          <w:tcPr>
            <w:tcW w:w="2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其中：</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支出合计</w:t>
            </w:r>
          </w:p>
        </w:tc>
        <w:tc>
          <w:tcPr>
            <w:tcW w:w="37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其中：</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_GB2312" w:hAnsi="宋体" w:eastAsia="仿宋_GB2312" w:cs="仿宋_GB2312"/>
                <w:b/>
                <w:bCs/>
                <w:i w:val="0"/>
                <w:iCs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_GB2312" w:hAnsi="宋体" w:eastAsia="仿宋_GB2312" w:cs="仿宋_GB2312"/>
                <w:b/>
                <w:bCs/>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上年结转</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公共财政拨款</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其他收入</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_GB2312" w:hAnsi="宋体" w:eastAsia="仿宋_GB2312" w:cs="仿宋_GB2312"/>
                <w:b/>
                <w:bCs/>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基本支出</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人员支出</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公用支出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项目支出</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当年结余</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累计结余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岳阳市住房和城乡建设局</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20,857.95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720.19</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19,651.09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486.67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20,374.29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8,844.33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7,657.31</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1,187.02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11,529.96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-236.53</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483.66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1.局机关（本级）</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8,442.75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554.87</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7,598.17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289.71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8,073.24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2,713.00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2,169.95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543.05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5,360.24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-185.36</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2.岳阳市场住房保障服务中心</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7,106.61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134.26</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6,905.92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66.43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7,106.61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1,533.14</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1,273.34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259.8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5,573.47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-134.26</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3.岳阳市污水处理监督中心</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606.21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606.19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605.76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407.65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376.34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31.31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198.12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0.44</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4.岳阳市绿色建筑产业发展服务中心</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188.39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182.27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188.39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188.39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129.15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59.24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5.岳阳市建筑工程质量安全监督站</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2,276.50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2,157.91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118.59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2,162.78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2,155.17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2,027.76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127.41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113.72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6.岳阳市房地产市场服务中心</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253.89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253.24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253.89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217.99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200.74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35.9</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7.岳阳市城乡建设事务中心</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1,479.80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1,464.08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1,479.80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1,273.03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1,153.98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119.05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206.77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8.岳阳市城乡建设档案馆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503.8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483.31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503.8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355.97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326.04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29.92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147.84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bl>
    <w:p>
      <w:pPr>
        <w:pStyle w:val="2"/>
        <w:keepNext w:val="0"/>
        <w:keepLines w:val="0"/>
        <w:pageBreakBefore w:val="0"/>
        <w:kinsoku/>
        <w:wordWrap/>
        <w:overflowPunct/>
        <w:topLinePunct w:val="0"/>
        <w:autoSpaceDE/>
        <w:autoSpaceDN/>
        <w:bidi w:val="0"/>
        <w:adjustRightInd/>
        <w:snapToGrid/>
        <w:spacing w:line="200" w:lineRule="exact"/>
        <w:ind w:left="0" w:leftChars="0" w:firstLine="0" w:firstLineChars="0"/>
        <w:rPr>
          <w:rFonts w:hint="eastAsia" w:eastAsia="仿宋_GB2312" w:cs="Times New Roman"/>
          <w:color w:val="000000"/>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b/>
          <w:bCs/>
          <w:color w:val="000000"/>
          <w:kern w:val="0"/>
          <w:sz w:val="32"/>
          <w:szCs w:val="32"/>
          <w:lang w:val="en-US" w:eastAsia="zh-CN"/>
        </w:rPr>
      </w:pPr>
      <w:r>
        <w:rPr>
          <w:rFonts w:hint="eastAsia" w:eastAsia="仿宋_GB2312" w:cs="Times New Roman"/>
          <w:b/>
          <w:bCs/>
          <w:color w:val="000000"/>
          <w:kern w:val="0"/>
          <w:sz w:val="32"/>
          <w:szCs w:val="32"/>
          <w:lang w:val="en-US" w:eastAsia="zh-CN"/>
        </w:rPr>
        <w:t>（一）</w:t>
      </w:r>
      <w:r>
        <w:rPr>
          <w:rFonts w:hint="eastAsia" w:ascii="Times New Roman" w:hAnsi="Times New Roman" w:eastAsia="仿宋_GB2312" w:cs="Times New Roman"/>
          <w:b/>
          <w:bCs/>
          <w:color w:val="000000"/>
          <w:kern w:val="0"/>
          <w:sz w:val="32"/>
          <w:szCs w:val="32"/>
          <w:lang w:val="en-US" w:eastAsia="zh-CN"/>
        </w:rPr>
        <w:t>基本支出情况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2022年局</w:t>
      </w:r>
      <w:r>
        <w:rPr>
          <w:rFonts w:hint="eastAsia" w:eastAsia="仿宋_GB2312" w:cs="Times New Roman"/>
          <w:b w:val="0"/>
          <w:bCs w:val="0"/>
          <w:color w:val="000000"/>
          <w:kern w:val="0"/>
          <w:sz w:val="32"/>
          <w:szCs w:val="32"/>
          <w:lang w:val="en-US" w:eastAsia="zh-CN"/>
        </w:rPr>
        <w:t>本级</w:t>
      </w:r>
      <w:r>
        <w:rPr>
          <w:rFonts w:hint="eastAsia" w:ascii="Times New Roman" w:hAnsi="Times New Roman" w:eastAsia="仿宋_GB2312" w:cs="Times New Roman"/>
          <w:b w:val="0"/>
          <w:bCs w:val="0"/>
          <w:color w:val="000000"/>
          <w:kern w:val="0"/>
          <w:sz w:val="32"/>
          <w:szCs w:val="32"/>
          <w:lang w:val="en-US" w:eastAsia="zh-CN"/>
        </w:rPr>
        <w:t>基本支出</w:t>
      </w:r>
      <w:r>
        <w:rPr>
          <w:rFonts w:hint="default" w:ascii="Times New Roman" w:hAnsi="Times New Roman" w:eastAsia="仿宋_GB2312" w:cs="Times New Roman"/>
          <w:b w:val="0"/>
          <w:bCs w:val="0"/>
          <w:color w:val="000000"/>
          <w:kern w:val="0"/>
          <w:sz w:val="32"/>
          <w:szCs w:val="32"/>
          <w:lang w:val="en-US" w:eastAsia="zh-CN"/>
        </w:rPr>
        <w:t>2,713.00</w:t>
      </w:r>
      <w:r>
        <w:rPr>
          <w:rFonts w:hint="eastAsia" w:ascii="Times New Roman" w:hAnsi="Times New Roman" w:eastAsia="仿宋_GB2312" w:cs="Times New Roman"/>
          <w:b w:val="0"/>
          <w:bCs w:val="0"/>
          <w:color w:val="000000"/>
          <w:kern w:val="0"/>
          <w:sz w:val="32"/>
          <w:szCs w:val="32"/>
          <w:lang w:val="en-US" w:eastAsia="zh-CN"/>
        </w:rPr>
        <w:t>万元，其中：人员经费支出</w:t>
      </w:r>
      <w:r>
        <w:rPr>
          <w:rFonts w:hint="default" w:ascii="Times New Roman" w:hAnsi="Times New Roman" w:eastAsia="仿宋_GB2312" w:cs="Times New Roman"/>
          <w:b w:val="0"/>
          <w:bCs w:val="0"/>
          <w:color w:val="000000"/>
          <w:kern w:val="0"/>
          <w:sz w:val="32"/>
          <w:szCs w:val="32"/>
          <w:lang w:val="en-US" w:eastAsia="zh-CN"/>
        </w:rPr>
        <w:t xml:space="preserve">2,169.95 </w:t>
      </w:r>
      <w:r>
        <w:rPr>
          <w:rFonts w:hint="eastAsia" w:ascii="Times New Roman" w:hAnsi="Times New Roman" w:eastAsia="仿宋_GB2312" w:cs="Times New Roman"/>
          <w:b w:val="0"/>
          <w:bCs w:val="0"/>
          <w:color w:val="000000"/>
          <w:kern w:val="0"/>
          <w:sz w:val="32"/>
          <w:szCs w:val="32"/>
          <w:lang w:val="en-US" w:eastAsia="zh-CN"/>
        </w:rPr>
        <w:t>万元，占基本支出79.98%;公用经费支出</w:t>
      </w:r>
      <w:r>
        <w:rPr>
          <w:rFonts w:hint="default" w:ascii="Times New Roman" w:hAnsi="Times New Roman" w:eastAsia="仿宋_GB2312" w:cs="Times New Roman"/>
          <w:b w:val="0"/>
          <w:bCs w:val="0"/>
          <w:color w:val="000000"/>
          <w:kern w:val="0"/>
          <w:sz w:val="32"/>
          <w:szCs w:val="32"/>
          <w:lang w:val="en-US" w:eastAsia="zh-CN"/>
        </w:rPr>
        <w:t xml:space="preserve">543.05 </w:t>
      </w:r>
      <w:r>
        <w:rPr>
          <w:rFonts w:hint="eastAsia" w:ascii="Times New Roman" w:hAnsi="Times New Roman" w:eastAsia="仿宋_GB2312" w:cs="Times New Roman"/>
          <w:b w:val="0"/>
          <w:bCs w:val="0"/>
          <w:color w:val="000000"/>
          <w:kern w:val="0"/>
          <w:sz w:val="32"/>
          <w:szCs w:val="32"/>
          <w:lang w:val="en-US" w:eastAsia="zh-CN"/>
        </w:rPr>
        <w:t>万元,占基本支出20.02%。具体支出项目如下：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①工资福利支出1543.88元，其中：支付职工</w:t>
      </w:r>
      <w:r>
        <w:rPr>
          <w:rFonts w:hint="eastAsia" w:eastAsia="仿宋_GB2312" w:cs="Times New Roman"/>
          <w:b w:val="0"/>
          <w:bCs w:val="0"/>
          <w:color w:val="000000"/>
          <w:kern w:val="0"/>
          <w:sz w:val="32"/>
          <w:szCs w:val="32"/>
          <w:lang w:val="en-US" w:eastAsia="zh-CN"/>
        </w:rPr>
        <w:t>基本</w:t>
      </w:r>
      <w:r>
        <w:rPr>
          <w:rFonts w:hint="eastAsia" w:ascii="Times New Roman" w:hAnsi="Times New Roman" w:eastAsia="仿宋_GB2312" w:cs="Times New Roman"/>
          <w:b w:val="0"/>
          <w:bCs w:val="0"/>
          <w:color w:val="000000"/>
          <w:kern w:val="0"/>
          <w:sz w:val="32"/>
          <w:szCs w:val="32"/>
          <w:lang w:val="en-US" w:eastAsia="zh-CN"/>
        </w:rPr>
        <w:t>工资444.82万元、津补贴247.95万元、奖金421.75万元、伙食补助费72万元、机关事业单位基本养老保险缴费104.28万元、职工基本医疗保险缴费57.14万元、其他社会保障缴费61.09万元、住房公积金57.89万元、医疗费76.22万元、其他工资福利支出0.73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②对个人和家庭补助支出6</w:t>
      </w:r>
      <w:r>
        <w:rPr>
          <w:rFonts w:hint="eastAsia" w:eastAsia="仿宋_GB2312" w:cs="Times New Roman"/>
          <w:b w:val="0"/>
          <w:bCs w:val="0"/>
          <w:color w:val="000000"/>
          <w:kern w:val="0"/>
          <w:sz w:val="32"/>
          <w:szCs w:val="32"/>
          <w:lang w:val="en-US" w:eastAsia="zh-CN"/>
        </w:rPr>
        <w:t>26</w:t>
      </w:r>
      <w:r>
        <w:rPr>
          <w:rFonts w:hint="eastAsia" w:ascii="Times New Roman" w:hAnsi="Times New Roman" w:eastAsia="仿宋_GB2312" w:cs="Times New Roman"/>
          <w:b w:val="0"/>
          <w:bCs w:val="0"/>
          <w:color w:val="000000"/>
          <w:kern w:val="0"/>
          <w:sz w:val="32"/>
          <w:szCs w:val="32"/>
          <w:lang w:val="en-US" w:eastAsia="zh-CN"/>
        </w:rPr>
        <w:t>.08万元，其中主要支付离休费22.78万元、退休费420.75万元、抚恤费75.22万元、医疗费补助</w:t>
      </w:r>
      <w:r>
        <w:rPr>
          <w:rFonts w:hint="eastAsia" w:eastAsia="仿宋_GB2312" w:cs="Times New Roman"/>
          <w:b w:val="0"/>
          <w:bCs w:val="0"/>
          <w:color w:val="000000"/>
          <w:kern w:val="0"/>
          <w:sz w:val="32"/>
          <w:szCs w:val="32"/>
          <w:lang w:val="en-US" w:eastAsia="zh-CN"/>
        </w:rPr>
        <w:t>74</w:t>
      </w:r>
      <w:r>
        <w:rPr>
          <w:rFonts w:hint="eastAsia" w:ascii="Times New Roman" w:hAnsi="Times New Roman" w:eastAsia="仿宋_GB2312" w:cs="Times New Roman"/>
          <w:b w:val="0"/>
          <w:bCs w:val="0"/>
          <w:color w:val="000000"/>
          <w:kern w:val="0"/>
          <w:sz w:val="32"/>
          <w:szCs w:val="32"/>
          <w:lang w:val="en-US" w:eastAsia="zh-CN"/>
        </w:rPr>
        <w:t>.21万元、奖励金2.61万元、其他对个人和家庭的补助30.51万元。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③商品和服务支出</w:t>
      </w:r>
      <w:r>
        <w:rPr>
          <w:rFonts w:hint="eastAsia" w:eastAsia="仿宋_GB2312" w:cs="Times New Roman"/>
          <w:b w:val="0"/>
          <w:bCs w:val="0"/>
          <w:color w:val="000000"/>
          <w:kern w:val="0"/>
          <w:sz w:val="32"/>
          <w:szCs w:val="32"/>
          <w:lang w:val="en-US" w:eastAsia="zh-CN"/>
        </w:rPr>
        <w:t>524</w:t>
      </w:r>
      <w:r>
        <w:rPr>
          <w:rFonts w:hint="eastAsia" w:ascii="Times New Roman" w:hAnsi="Times New Roman" w:eastAsia="仿宋_GB2312" w:cs="Times New Roman"/>
          <w:b w:val="0"/>
          <w:bCs w:val="0"/>
          <w:color w:val="000000"/>
          <w:kern w:val="0"/>
          <w:sz w:val="32"/>
          <w:szCs w:val="32"/>
          <w:lang w:val="en-US" w:eastAsia="zh-CN"/>
        </w:rPr>
        <w:t>.</w:t>
      </w:r>
      <w:r>
        <w:rPr>
          <w:rFonts w:hint="eastAsia" w:eastAsia="仿宋_GB2312" w:cs="Times New Roman"/>
          <w:b w:val="0"/>
          <w:bCs w:val="0"/>
          <w:color w:val="000000"/>
          <w:kern w:val="0"/>
          <w:sz w:val="32"/>
          <w:szCs w:val="32"/>
          <w:lang w:val="en-US" w:eastAsia="zh-CN"/>
        </w:rPr>
        <w:t>41</w:t>
      </w:r>
      <w:r>
        <w:rPr>
          <w:rFonts w:hint="eastAsia" w:ascii="Times New Roman" w:hAnsi="Times New Roman" w:eastAsia="仿宋_GB2312" w:cs="Times New Roman"/>
          <w:b w:val="0"/>
          <w:bCs w:val="0"/>
          <w:color w:val="000000"/>
          <w:kern w:val="0"/>
          <w:sz w:val="32"/>
          <w:szCs w:val="32"/>
          <w:lang w:val="en-US" w:eastAsia="zh-CN"/>
        </w:rPr>
        <w:t>万元，主要用于办公费</w:t>
      </w:r>
      <w:r>
        <w:rPr>
          <w:rFonts w:hint="eastAsia" w:eastAsia="仿宋_GB2312" w:cs="Times New Roman"/>
          <w:b w:val="0"/>
          <w:bCs w:val="0"/>
          <w:color w:val="000000"/>
          <w:kern w:val="0"/>
          <w:sz w:val="32"/>
          <w:szCs w:val="32"/>
          <w:lang w:val="en-US" w:eastAsia="zh-CN"/>
        </w:rPr>
        <w:t>10</w:t>
      </w:r>
      <w:r>
        <w:rPr>
          <w:rFonts w:hint="eastAsia" w:ascii="Times New Roman" w:hAnsi="Times New Roman" w:eastAsia="仿宋_GB2312" w:cs="Times New Roman"/>
          <w:b w:val="0"/>
          <w:bCs w:val="0"/>
          <w:color w:val="000000"/>
          <w:kern w:val="0"/>
          <w:sz w:val="32"/>
          <w:szCs w:val="32"/>
          <w:lang w:val="en-US" w:eastAsia="zh-CN"/>
        </w:rPr>
        <w:t>.</w:t>
      </w:r>
      <w:r>
        <w:rPr>
          <w:rFonts w:hint="eastAsia" w:eastAsia="仿宋_GB2312" w:cs="Times New Roman"/>
          <w:b w:val="0"/>
          <w:bCs w:val="0"/>
          <w:color w:val="000000"/>
          <w:kern w:val="0"/>
          <w:sz w:val="32"/>
          <w:szCs w:val="32"/>
          <w:lang w:val="en-US" w:eastAsia="zh-CN"/>
        </w:rPr>
        <w:t>73</w:t>
      </w:r>
      <w:r>
        <w:rPr>
          <w:rFonts w:hint="eastAsia" w:ascii="Times New Roman" w:hAnsi="Times New Roman" w:eastAsia="仿宋_GB2312" w:cs="Times New Roman"/>
          <w:b w:val="0"/>
          <w:bCs w:val="0"/>
          <w:color w:val="000000"/>
          <w:kern w:val="0"/>
          <w:sz w:val="32"/>
          <w:szCs w:val="32"/>
          <w:lang w:val="en-US" w:eastAsia="zh-CN"/>
        </w:rPr>
        <w:t>万元、咨询费</w:t>
      </w:r>
      <w:r>
        <w:rPr>
          <w:rFonts w:hint="eastAsia" w:eastAsia="仿宋_GB2312" w:cs="Times New Roman"/>
          <w:b w:val="0"/>
          <w:bCs w:val="0"/>
          <w:color w:val="000000"/>
          <w:kern w:val="0"/>
          <w:sz w:val="32"/>
          <w:szCs w:val="32"/>
          <w:lang w:val="en-US" w:eastAsia="zh-CN"/>
        </w:rPr>
        <w:t>0</w:t>
      </w:r>
      <w:r>
        <w:rPr>
          <w:rFonts w:hint="eastAsia" w:ascii="Times New Roman" w:hAnsi="Times New Roman" w:eastAsia="仿宋_GB2312" w:cs="Times New Roman"/>
          <w:b w:val="0"/>
          <w:bCs w:val="0"/>
          <w:color w:val="000000"/>
          <w:kern w:val="0"/>
          <w:sz w:val="32"/>
          <w:szCs w:val="32"/>
          <w:lang w:val="en-US" w:eastAsia="zh-CN"/>
        </w:rPr>
        <w:t>.</w:t>
      </w:r>
      <w:r>
        <w:rPr>
          <w:rFonts w:hint="eastAsia" w:eastAsia="仿宋_GB2312" w:cs="Times New Roman"/>
          <w:b w:val="0"/>
          <w:bCs w:val="0"/>
          <w:color w:val="000000"/>
          <w:kern w:val="0"/>
          <w:sz w:val="32"/>
          <w:szCs w:val="32"/>
          <w:lang w:val="en-US" w:eastAsia="zh-CN"/>
        </w:rPr>
        <w:t>48</w:t>
      </w:r>
      <w:r>
        <w:rPr>
          <w:rFonts w:hint="eastAsia" w:ascii="Times New Roman" w:hAnsi="Times New Roman" w:eastAsia="仿宋_GB2312" w:cs="Times New Roman"/>
          <w:b w:val="0"/>
          <w:bCs w:val="0"/>
          <w:color w:val="000000"/>
          <w:kern w:val="0"/>
          <w:sz w:val="32"/>
          <w:szCs w:val="32"/>
          <w:lang w:val="en-US" w:eastAsia="zh-CN"/>
        </w:rPr>
        <w:t>万元、水电费</w:t>
      </w:r>
      <w:r>
        <w:rPr>
          <w:rFonts w:hint="eastAsia" w:eastAsia="仿宋_GB2312" w:cs="Times New Roman"/>
          <w:b w:val="0"/>
          <w:bCs w:val="0"/>
          <w:color w:val="000000"/>
          <w:kern w:val="0"/>
          <w:sz w:val="32"/>
          <w:szCs w:val="32"/>
          <w:lang w:val="en-US" w:eastAsia="zh-CN"/>
        </w:rPr>
        <w:t>95</w:t>
      </w:r>
      <w:r>
        <w:rPr>
          <w:rFonts w:hint="eastAsia" w:ascii="Times New Roman" w:hAnsi="Times New Roman" w:eastAsia="仿宋_GB2312" w:cs="Times New Roman"/>
          <w:b w:val="0"/>
          <w:bCs w:val="0"/>
          <w:color w:val="000000"/>
          <w:kern w:val="0"/>
          <w:sz w:val="32"/>
          <w:szCs w:val="32"/>
          <w:lang w:val="en-US" w:eastAsia="zh-CN"/>
        </w:rPr>
        <w:t>.</w:t>
      </w:r>
      <w:r>
        <w:rPr>
          <w:rFonts w:hint="eastAsia" w:eastAsia="仿宋_GB2312" w:cs="Times New Roman"/>
          <w:b w:val="0"/>
          <w:bCs w:val="0"/>
          <w:color w:val="000000"/>
          <w:kern w:val="0"/>
          <w:sz w:val="32"/>
          <w:szCs w:val="32"/>
          <w:lang w:val="en-US" w:eastAsia="zh-CN"/>
        </w:rPr>
        <w:t>32</w:t>
      </w:r>
      <w:r>
        <w:rPr>
          <w:rFonts w:hint="eastAsia" w:ascii="Times New Roman" w:hAnsi="Times New Roman" w:eastAsia="仿宋_GB2312" w:cs="Times New Roman"/>
          <w:b w:val="0"/>
          <w:bCs w:val="0"/>
          <w:color w:val="000000"/>
          <w:kern w:val="0"/>
          <w:sz w:val="32"/>
          <w:szCs w:val="32"/>
          <w:lang w:val="en-US" w:eastAsia="zh-CN"/>
        </w:rPr>
        <w:t>万元、邮电费14.81万元、</w:t>
      </w:r>
      <w:r>
        <w:rPr>
          <w:rFonts w:hint="eastAsia" w:eastAsia="仿宋_GB2312" w:cs="Times New Roman"/>
          <w:b w:val="0"/>
          <w:bCs w:val="0"/>
          <w:color w:val="000000"/>
          <w:kern w:val="0"/>
          <w:sz w:val="32"/>
          <w:szCs w:val="32"/>
          <w:lang w:val="en-US" w:eastAsia="zh-CN"/>
        </w:rPr>
        <w:t>取暖费10万元、</w:t>
      </w:r>
      <w:r>
        <w:rPr>
          <w:rFonts w:hint="eastAsia" w:ascii="Times New Roman" w:hAnsi="Times New Roman" w:eastAsia="仿宋_GB2312" w:cs="Times New Roman"/>
          <w:b w:val="0"/>
          <w:bCs w:val="0"/>
          <w:color w:val="000000"/>
          <w:kern w:val="0"/>
          <w:sz w:val="32"/>
          <w:szCs w:val="32"/>
          <w:lang w:val="en-US" w:eastAsia="zh-CN"/>
        </w:rPr>
        <w:t>物业管理费</w:t>
      </w:r>
      <w:r>
        <w:rPr>
          <w:rFonts w:hint="eastAsia" w:eastAsia="仿宋_GB2312" w:cs="Times New Roman"/>
          <w:b w:val="0"/>
          <w:bCs w:val="0"/>
          <w:color w:val="000000"/>
          <w:kern w:val="0"/>
          <w:sz w:val="32"/>
          <w:szCs w:val="32"/>
          <w:lang w:val="en-US" w:eastAsia="zh-CN"/>
        </w:rPr>
        <w:t>97</w:t>
      </w:r>
      <w:r>
        <w:rPr>
          <w:rFonts w:hint="eastAsia" w:ascii="Times New Roman" w:hAnsi="Times New Roman" w:eastAsia="仿宋_GB2312" w:cs="Times New Roman"/>
          <w:b w:val="0"/>
          <w:bCs w:val="0"/>
          <w:color w:val="000000"/>
          <w:kern w:val="0"/>
          <w:sz w:val="32"/>
          <w:szCs w:val="32"/>
          <w:lang w:val="en-US" w:eastAsia="zh-CN"/>
        </w:rPr>
        <w:t>.7</w:t>
      </w:r>
      <w:r>
        <w:rPr>
          <w:rFonts w:hint="eastAsia" w:eastAsia="仿宋_GB2312" w:cs="Times New Roman"/>
          <w:b w:val="0"/>
          <w:bCs w:val="0"/>
          <w:color w:val="000000"/>
          <w:kern w:val="0"/>
          <w:sz w:val="32"/>
          <w:szCs w:val="32"/>
          <w:lang w:val="en-US" w:eastAsia="zh-CN"/>
        </w:rPr>
        <w:t>0</w:t>
      </w:r>
      <w:r>
        <w:rPr>
          <w:rFonts w:hint="eastAsia" w:ascii="Times New Roman" w:hAnsi="Times New Roman" w:eastAsia="仿宋_GB2312" w:cs="Times New Roman"/>
          <w:b w:val="0"/>
          <w:bCs w:val="0"/>
          <w:color w:val="000000"/>
          <w:kern w:val="0"/>
          <w:sz w:val="32"/>
          <w:szCs w:val="32"/>
          <w:lang w:val="en-US" w:eastAsia="zh-CN"/>
        </w:rPr>
        <w:t>万元、差旅费1.0</w:t>
      </w:r>
      <w:r>
        <w:rPr>
          <w:rFonts w:hint="eastAsia" w:eastAsia="仿宋_GB2312" w:cs="Times New Roman"/>
          <w:b w:val="0"/>
          <w:bCs w:val="0"/>
          <w:color w:val="000000"/>
          <w:kern w:val="0"/>
          <w:sz w:val="32"/>
          <w:szCs w:val="32"/>
          <w:lang w:val="en-US" w:eastAsia="zh-CN"/>
        </w:rPr>
        <w:t>9</w:t>
      </w:r>
      <w:r>
        <w:rPr>
          <w:rFonts w:hint="eastAsia" w:ascii="Times New Roman" w:hAnsi="Times New Roman" w:eastAsia="仿宋_GB2312" w:cs="Times New Roman"/>
          <w:b w:val="0"/>
          <w:bCs w:val="0"/>
          <w:color w:val="000000"/>
          <w:kern w:val="0"/>
          <w:sz w:val="32"/>
          <w:szCs w:val="32"/>
          <w:lang w:val="en-US" w:eastAsia="zh-CN"/>
        </w:rPr>
        <w:t>万元、维修（护）费53.43万元、租赁费</w:t>
      </w:r>
      <w:r>
        <w:rPr>
          <w:rFonts w:hint="eastAsia" w:eastAsia="仿宋_GB2312" w:cs="Times New Roman"/>
          <w:b w:val="0"/>
          <w:bCs w:val="0"/>
          <w:color w:val="000000"/>
          <w:kern w:val="0"/>
          <w:sz w:val="32"/>
          <w:szCs w:val="32"/>
          <w:lang w:val="en-US" w:eastAsia="zh-CN"/>
        </w:rPr>
        <w:t>3</w:t>
      </w:r>
      <w:r>
        <w:rPr>
          <w:rFonts w:hint="eastAsia" w:ascii="Times New Roman" w:hAnsi="Times New Roman" w:eastAsia="仿宋_GB2312" w:cs="Times New Roman"/>
          <w:b w:val="0"/>
          <w:bCs w:val="0"/>
          <w:color w:val="000000"/>
          <w:kern w:val="0"/>
          <w:sz w:val="32"/>
          <w:szCs w:val="32"/>
          <w:lang w:val="en-US" w:eastAsia="zh-CN"/>
        </w:rPr>
        <w:t>.</w:t>
      </w:r>
      <w:r>
        <w:rPr>
          <w:rFonts w:hint="eastAsia" w:eastAsia="仿宋_GB2312" w:cs="Times New Roman"/>
          <w:b w:val="0"/>
          <w:bCs w:val="0"/>
          <w:color w:val="000000"/>
          <w:kern w:val="0"/>
          <w:sz w:val="32"/>
          <w:szCs w:val="32"/>
          <w:lang w:val="en-US" w:eastAsia="zh-CN"/>
        </w:rPr>
        <w:t>72</w:t>
      </w:r>
      <w:r>
        <w:rPr>
          <w:rFonts w:hint="eastAsia" w:ascii="Times New Roman" w:hAnsi="Times New Roman" w:eastAsia="仿宋_GB2312" w:cs="Times New Roman"/>
          <w:b w:val="0"/>
          <w:bCs w:val="0"/>
          <w:color w:val="000000"/>
          <w:kern w:val="0"/>
          <w:sz w:val="32"/>
          <w:szCs w:val="32"/>
          <w:lang w:val="en-US" w:eastAsia="zh-CN"/>
        </w:rPr>
        <w:t>万元、培训费</w:t>
      </w:r>
      <w:r>
        <w:rPr>
          <w:rFonts w:hint="eastAsia" w:eastAsia="仿宋_GB2312" w:cs="Times New Roman"/>
          <w:b w:val="0"/>
          <w:bCs w:val="0"/>
          <w:color w:val="000000"/>
          <w:kern w:val="0"/>
          <w:sz w:val="32"/>
          <w:szCs w:val="32"/>
          <w:lang w:val="en-US" w:eastAsia="zh-CN"/>
        </w:rPr>
        <w:t>0</w:t>
      </w:r>
      <w:r>
        <w:rPr>
          <w:rFonts w:hint="eastAsia" w:ascii="Times New Roman" w:hAnsi="Times New Roman" w:eastAsia="仿宋_GB2312" w:cs="Times New Roman"/>
          <w:b w:val="0"/>
          <w:bCs w:val="0"/>
          <w:color w:val="000000"/>
          <w:kern w:val="0"/>
          <w:sz w:val="32"/>
          <w:szCs w:val="32"/>
          <w:lang w:val="en-US" w:eastAsia="zh-CN"/>
        </w:rPr>
        <w:t>.52万元、劳务费</w:t>
      </w:r>
      <w:r>
        <w:rPr>
          <w:rFonts w:hint="eastAsia" w:eastAsia="仿宋_GB2312" w:cs="Times New Roman"/>
          <w:b w:val="0"/>
          <w:bCs w:val="0"/>
          <w:color w:val="000000"/>
          <w:kern w:val="0"/>
          <w:sz w:val="32"/>
          <w:szCs w:val="32"/>
          <w:lang w:val="en-US" w:eastAsia="zh-CN"/>
        </w:rPr>
        <w:t>65</w:t>
      </w:r>
      <w:r>
        <w:rPr>
          <w:rFonts w:hint="eastAsia" w:ascii="Times New Roman" w:hAnsi="Times New Roman" w:eastAsia="仿宋_GB2312" w:cs="Times New Roman"/>
          <w:b w:val="0"/>
          <w:bCs w:val="0"/>
          <w:color w:val="000000"/>
          <w:kern w:val="0"/>
          <w:sz w:val="32"/>
          <w:szCs w:val="32"/>
          <w:lang w:val="en-US" w:eastAsia="zh-CN"/>
        </w:rPr>
        <w:t>.</w:t>
      </w:r>
      <w:r>
        <w:rPr>
          <w:rFonts w:hint="eastAsia" w:eastAsia="仿宋_GB2312" w:cs="Times New Roman"/>
          <w:b w:val="0"/>
          <w:bCs w:val="0"/>
          <w:color w:val="000000"/>
          <w:kern w:val="0"/>
          <w:sz w:val="32"/>
          <w:szCs w:val="32"/>
          <w:lang w:val="en-US" w:eastAsia="zh-CN"/>
        </w:rPr>
        <w:t>4</w:t>
      </w:r>
      <w:r>
        <w:rPr>
          <w:rFonts w:hint="eastAsia" w:ascii="Times New Roman" w:hAnsi="Times New Roman" w:eastAsia="仿宋_GB2312" w:cs="Times New Roman"/>
          <w:b w:val="0"/>
          <w:bCs w:val="0"/>
          <w:color w:val="000000"/>
          <w:kern w:val="0"/>
          <w:sz w:val="32"/>
          <w:szCs w:val="32"/>
          <w:lang w:val="en-US" w:eastAsia="zh-CN"/>
        </w:rPr>
        <w:t>6万元、工会经费59.97万元、福利费2.65万元、公务用车运行费6.</w:t>
      </w:r>
      <w:r>
        <w:rPr>
          <w:rFonts w:hint="eastAsia" w:eastAsia="仿宋_GB2312" w:cs="Times New Roman"/>
          <w:b w:val="0"/>
          <w:bCs w:val="0"/>
          <w:color w:val="000000"/>
          <w:kern w:val="0"/>
          <w:sz w:val="32"/>
          <w:szCs w:val="32"/>
          <w:lang w:val="en-US" w:eastAsia="zh-CN"/>
        </w:rPr>
        <w:t>19</w:t>
      </w:r>
      <w:r>
        <w:rPr>
          <w:rFonts w:hint="eastAsia" w:ascii="Times New Roman" w:hAnsi="Times New Roman" w:eastAsia="仿宋_GB2312" w:cs="Times New Roman"/>
          <w:b w:val="0"/>
          <w:bCs w:val="0"/>
          <w:color w:val="000000"/>
          <w:kern w:val="0"/>
          <w:sz w:val="32"/>
          <w:szCs w:val="32"/>
          <w:lang w:val="en-US" w:eastAsia="zh-CN"/>
        </w:rPr>
        <w:t>万元、其他交通费用78.17万元、其他商品和服务支出2</w:t>
      </w:r>
      <w:r>
        <w:rPr>
          <w:rFonts w:hint="eastAsia" w:eastAsia="仿宋_GB2312" w:cs="Times New Roman"/>
          <w:b w:val="0"/>
          <w:bCs w:val="0"/>
          <w:color w:val="000000"/>
          <w:kern w:val="0"/>
          <w:sz w:val="32"/>
          <w:szCs w:val="32"/>
          <w:lang w:val="en-US" w:eastAsia="zh-CN"/>
        </w:rPr>
        <w:t>4</w:t>
      </w:r>
      <w:r>
        <w:rPr>
          <w:rFonts w:hint="eastAsia" w:ascii="Times New Roman" w:hAnsi="Times New Roman" w:eastAsia="仿宋_GB2312" w:cs="Times New Roman"/>
          <w:b w:val="0"/>
          <w:bCs w:val="0"/>
          <w:color w:val="000000"/>
          <w:kern w:val="0"/>
          <w:sz w:val="32"/>
          <w:szCs w:val="32"/>
          <w:lang w:val="en-US" w:eastAsia="zh-CN"/>
        </w:rPr>
        <w:t>.</w:t>
      </w:r>
      <w:r>
        <w:rPr>
          <w:rFonts w:hint="eastAsia" w:eastAsia="仿宋_GB2312" w:cs="Times New Roman"/>
          <w:b w:val="0"/>
          <w:bCs w:val="0"/>
          <w:color w:val="000000"/>
          <w:kern w:val="0"/>
          <w:sz w:val="32"/>
          <w:szCs w:val="32"/>
          <w:lang w:val="en-US" w:eastAsia="zh-CN"/>
        </w:rPr>
        <w:t>16</w:t>
      </w:r>
      <w:r>
        <w:rPr>
          <w:rFonts w:hint="eastAsia" w:ascii="Times New Roman" w:hAnsi="Times New Roman" w:eastAsia="仿宋_GB2312" w:cs="Times New Roman"/>
          <w:b w:val="0"/>
          <w:bCs w:val="0"/>
          <w:color w:val="000000"/>
          <w:kern w:val="0"/>
          <w:sz w:val="32"/>
          <w:szCs w:val="32"/>
          <w:lang w:val="en-US" w:eastAsia="zh-CN"/>
        </w:rPr>
        <w:t>万元等机关运转费用支出。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④资本性支出</w:t>
      </w:r>
      <w:r>
        <w:rPr>
          <w:rFonts w:hint="eastAsia" w:eastAsia="仿宋_GB2312" w:cs="Times New Roman"/>
          <w:b w:val="0"/>
          <w:bCs w:val="0"/>
          <w:color w:val="000000"/>
          <w:kern w:val="0"/>
          <w:sz w:val="32"/>
          <w:szCs w:val="32"/>
          <w:lang w:val="en-US" w:eastAsia="zh-CN"/>
        </w:rPr>
        <w:t>18</w:t>
      </w:r>
      <w:r>
        <w:rPr>
          <w:rFonts w:hint="eastAsia" w:ascii="Times New Roman" w:hAnsi="Times New Roman" w:eastAsia="仿宋_GB2312" w:cs="Times New Roman"/>
          <w:b w:val="0"/>
          <w:bCs w:val="0"/>
          <w:color w:val="000000"/>
          <w:kern w:val="0"/>
          <w:sz w:val="32"/>
          <w:szCs w:val="32"/>
          <w:lang w:val="en-US" w:eastAsia="zh-CN"/>
        </w:rPr>
        <w:t>.</w:t>
      </w:r>
      <w:r>
        <w:rPr>
          <w:rFonts w:hint="eastAsia" w:eastAsia="仿宋_GB2312" w:cs="Times New Roman"/>
          <w:b w:val="0"/>
          <w:bCs w:val="0"/>
          <w:color w:val="000000"/>
          <w:kern w:val="0"/>
          <w:sz w:val="32"/>
          <w:szCs w:val="32"/>
          <w:lang w:val="en-US" w:eastAsia="zh-CN"/>
        </w:rPr>
        <w:t>63</w:t>
      </w:r>
      <w:r>
        <w:rPr>
          <w:rFonts w:hint="eastAsia" w:ascii="Times New Roman" w:hAnsi="Times New Roman" w:eastAsia="仿宋_GB2312" w:cs="Times New Roman"/>
          <w:b w:val="0"/>
          <w:bCs w:val="0"/>
          <w:color w:val="000000"/>
          <w:kern w:val="0"/>
          <w:sz w:val="32"/>
          <w:szCs w:val="32"/>
          <w:lang w:val="en-US" w:eastAsia="zh-CN"/>
        </w:rPr>
        <w:t>万元,主要用于</w:t>
      </w:r>
      <w:r>
        <w:rPr>
          <w:rFonts w:hint="eastAsia" w:eastAsia="仿宋_GB2312" w:cs="Times New Roman"/>
          <w:b w:val="0"/>
          <w:bCs w:val="0"/>
          <w:color w:val="000000"/>
          <w:kern w:val="0"/>
          <w:sz w:val="32"/>
          <w:szCs w:val="32"/>
          <w:lang w:val="en-US" w:eastAsia="zh-CN"/>
        </w:rPr>
        <w:t>办公设备购置10</w:t>
      </w:r>
      <w:r>
        <w:rPr>
          <w:rFonts w:hint="eastAsia" w:ascii="Times New Roman" w:hAnsi="Times New Roman" w:eastAsia="仿宋_GB2312" w:cs="Times New Roman"/>
          <w:b w:val="0"/>
          <w:bCs w:val="0"/>
          <w:color w:val="000000"/>
          <w:kern w:val="0"/>
          <w:sz w:val="32"/>
          <w:szCs w:val="32"/>
          <w:lang w:val="en-US" w:eastAsia="zh-CN"/>
        </w:rPr>
        <w:t>.</w:t>
      </w:r>
      <w:r>
        <w:rPr>
          <w:rFonts w:hint="eastAsia" w:eastAsia="仿宋_GB2312" w:cs="Times New Roman"/>
          <w:b w:val="0"/>
          <w:bCs w:val="0"/>
          <w:color w:val="000000"/>
          <w:kern w:val="0"/>
          <w:sz w:val="32"/>
          <w:szCs w:val="32"/>
          <w:lang w:val="en-US" w:eastAsia="zh-CN"/>
        </w:rPr>
        <w:t>83</w:t>
      </w:r>
      <w:r>
        <w:rPr>
          <w:rFonts w:hint="eastAsia" w:ascii="Times New Roman" w:hAnsi="Times New Roman" w:eastAsia="仿宋_GB2312" w:cs="Times New Roman"/>
          <w:b w:val="0"/>
          <w:bCs w:val="0"/>
          <w:color w:val="000000"/>
          <w:kern w:val="0"/>
          <w:sz w:val="32"/>
          <w:szCs w:val="32"/>
          <w:lang w:val="en-US" w:eastAsia="zh-CN"/>
        </w:rPr>
        <w:t>万元、</w:t>
      </w:r>
      <w:r>
        <w:rPr>
          <w:rFonts w:hint="eastAsia" w:eastAsia="仿宋_GB2312" w:cs="Times New Roman"/>
          <w:b w:val="0"/>
          <w:bCs w:val="0"/>
          <w:color w:val="000000"/>
          <w:kern w:val="0"/>
          <w:sz w:val="32"/>
          <w:szCs w:val="32"/>
          <w:lang w:val="en-US" w:eastAsia="zh-CN"/>
        </w:rPr>
        <w:t>信息网络及软件购置更新7</w:t>
      </w:r>
      <w:r>
        <w:rPr>
          <w:rFonts w:hint="eastAsia" w:ascii="Times New Roman" w:hAnsi="Times New Roman" w:eastAsia="仿宋_GB2312" w:cs="Times New Roman"/>
          <w:b w:val="0"/>
          <w:bCs w:val="0"/>
          <w:color w:val="000000"/>
          <w:kern w:val="0"/>
          <w:sz w:val="32"/>
          <w:szCs w:val="32"/>
          <w:lang w:val="en-US" w:eastAsia="zh-CN"/>
        </w:rPr>
        <w:t>.</w:t>
      </w:r>
      <w:r>
        <w:rPr>
          <w:rFonts w:hint="eastAsia" w:eastAsia="仿宋_GB2312" w:cs="Times New Roman"/>
          <w:b w:val="0"/>
          <w:bCs w:val="0"/>
          <w:color w:val="000000"/>
          <w:kern w:val="0"/>
          <w:sz w:val="32"/>
          <w:szCs w:val="32"/>
          <w:lang w:val="en-US" w:eastAsia="zh-CN"/>
        </w:rPr>
        <w:t>8</w:t>
      </w:r>
      <w:r>
        <w:rPr>
          <w:rFonts w:hint="eastAsia" w:ascii="Times New Roman" w:hAnsi="Times New Roman" w:eastAsia="仿宋_GB2312" w:cs="Times New Roman"/>
          <w:b w:val="0"/>
          <w:bCs w:val="0"/>
          <w:color w:val="000000"/>
          <w:kern w:val="0"/>
          <w:sz w:val="32"/>
          <w:szCs w:val="32"/>
          <w:lang w:val="en-US" w:eastAsia="zh-CN"/>
        </w:rPr>
        <w:t>0万元。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321" w:firstLineChars="100"/>
        <w:jc w:val="both"/>
        <w:textAlignment w:val="auto"/>
        <w:rPr>
          <w:rFonts w:hint="eastAsia" w:ascii="Times New Roman" w:hAnsi="Times New Roman" w:eastAsia="仿宋_GB2312" w:cs="Times New Roman"/>
          <w:b/>
          <w:bCs/>
          <w:color w:val="000000"/>
          <w:kern w:val="0"/>
          <w:sz w:val="32"/>
          <w:szCs w:val="32"/>
          <w:lang w:val="en-US" w:eastAsia="zh-CN"/>
        </w:rPr>
      </w:pPr>
      <w:r>
        <w:rPr>
          <w:rFonts w:hint="eastAsia" w:eastAsia="仿宋_GB2312" w:cs="Times New Roman"/>
          <w:b/>
          <w:bCs/>
          <w:color w:val="000000"/>
          <w:kern w:val="0"/>
          <w:sz w:val="32"/>
          <w:szCs w:val="32"/>
          <w:lang w:val="en-US" w:eastAsia="zh-CN"/>
        </w:rPr>
        <w:t>（二）项目</w:t>
      </w:r>
      <w:r>
        <w:rPr>
          <w:rFonts w:hint="eastAsia" w:ascii="Times New Roman" w:hAnsi="Times New Roman" w:eastAsia="仿宋_GB2312" w:cs="Times New Roman"/>
          <w:b/>
          <w:bCs/>
          <w:color w:val="000000"/>
          <w:kern w:val="0"/>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bidi="ar-SA"/>
        </w:rPr>
      </w:pPr>
      <w:r>
        <w:rPr>
          <w:rFonts w:hint="eastAsia" w:eastAsia="仿宋_GB2312" w:cs="Times New Roman"/>
          <w:b w:val="0"/>
          <w:bCs w:val="0"/>
          <w:color w:val="000000"/>
          <w:kern w:val="0"/>
          <w:sz w:val="32"/>
          <w:szCs w:val="32"/>
          <w:lang w:val="en-US" w:eastAsia="zh-CN" w:bidi="ar-SA"/>
        </w:rPr>
        <w:t>2022年初局本级特定目标类项目支出预算853万元，年中调整为5360.24万元</w:t>
      </w:r>
      <w:r>
        <w:rPr>
          <w:rFonts w:hint="eastAsia" w:ascii="Times New Roman" w:hAnsi="Times New Roman" w:eastAsia="仿宋_GB2312" w:cs="Times New Roman"/>
          <w:b w:val="0"/>
          <w:bCs w:val="0"/>
          <w:color w:val="000000"/>
          <w:kern w:val="0"/>
          <w:sz w:val="32"/>
          <w:szCs w:val="32"/>
          <w:lang w:val="en-US" w:eastAsia="zh-CN" w:bidi="ar-SA"/>
        </w:rPr>
        <w:t>，</w:t>
      </w:r>
      <w:r>
        <w:rPr>
          <w:rFonts w:hint="eastAsia" w:eastAsia="仿宋_GB2312" w:cs="Times New Roman"/>
          <w:b w:val="0"/>
          <w:bCs w:val="0"/>
          <w:color w:val="000000"/>
          <w:kern w:val="0"/>
          <w:sz w:val="32"/>
          <w:szCs w:val="32"/>
          <w:lang w:val="en-US" w:eastAsia="zh-CN" w:bidi="ar-SA"/>
        </w:rPr>
        <w:t>其中</w:t>
      </w:r>
      <w:r>
        <w:rPr>
          <w:rFonts w:hint="eastAsia" w:ascii="Times New Roman" w:hAnsi="Times New Roman" w:eastAsia="仿宋_GB2312" w:cs="Times New Roman"/>
          <w:b w:val="0"/>
          <w:bCs w:val="0"/>
          <w:color w:val="000000"/>
          <w:kern w:val="0"/>
          <w:sz w:val="32"/>
          <w:szCs w:val="32"/>
          <w:lang w:val="en-US" w:eastAsia="zh-CN" w:bidi="ar-SA"/>
        </w:rPr>
        <w:t>一般公共预算财政拨款5155.3万元，</w:t>
      </w:r>
      <w:r>
        <w:rPr>
          <w:rFonts w:hint="eastAsia" w:eastAsia="仿宋_GB2312" w:cs="Times New Roman"/>
          <w:b w:val="0"/>
          <w:bCs w:val="0"/>
          <w:color w:val="auto"/>
          <w:kern w:val="0"/>
          <w:sz w:val="32"/>
          <w:szCs w:val="32"/>
          <w:lang w:val="en-US" w:eastAsia="zh-CN" w:bidi="ar-SA"/>
        </w:rPr>
        <w:t>专户资金204.94万元。</w:t>
      </w:r>
      <w:r>
        <w:rPr>
          <w:rFonts w:hint="eastAsia" w:ascii="Times New Roman" w:hAnsi="Times New Roman" w:eastAsia="仿宋_GB2312" w:cs="Times New Roman"/>
          <w:b w:val="0"/>
          <w:bCs w:val="0"/>
          <w:color w:val="000000"/>
          <w:kern w:val="0"/>
          <w:sz w:val="32"/>
          <w:szCs w:val="32"/>
          <w:lang w:val="en-US" w:eastAsia="zh-CN" w:bidi="ar-SA"/>
        </w:rPr>
        <w:t>具体支出项目如下：建设事务管理经费353.33万元</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采石场及砂石公司专项补助10.62万元、施工图审查299.94万元、可再生能源、绿色建筑产业发展配套资金5.42万元、经济适用住房货币补贴162</w:t>
      </w:r>
      <w:r>
        <w:rPr>
          <w:rFonts w:hint="eastAsia" w:eastAsia="仿宋_GB2312" w:cs="Times New Roman"/>
          <w:b w:val="0"/>
          <w:bCs w:val="0"/>
          <w:color w:val="000000"/>
          <w:kern w:val="0"/>
          <w:sz w:val="32"/>
          <w:szCs w:val="32"/>
          <w:lang w:val="en-US" w:eastAsia="zh-CN" w:bidi="ar-SA"/>
        </w:rPr>
        <w:t>.00</w:t>
      </w:r>
      <w:r>
        <w:rPr>
          <w:rFonts w:hint="eastAsia" w:ascii="Times New Roman" w:hAnsi="Times New Roman" w:eastAsia="仿宋_GB2312" w:cs="Times New Roman"/>
          <w:b w:val="0"/>
          <w:bCs w:val="0"/>
          <w:color w:val="000000"/>
          <w:kern w:val="0"/>
          <w:sz w:val="32"/>
          <w:szCs w:val="32"/>
          <w:lang w:val="en-US" w:eastAsia="zh-CN" w:bidi="ar-SA"/>
        </w:rPr>
        <w:t>万元、历史文化名城专项85.5</w:t>
      </w:r>
      <w:r>
        <w:rPr>
          <w:rFonts w:hint="eastAsia" w:eastAsia="仿宋_GB2312" w:cs="Times New Roman"/>
          <w:b w:val="0"/>
          <w:bCs w:val="0"/>
          <w:color w:val="000000"/>
          <w:kern w:val="0"/>
          <w:sz w:val="32"/>
          <w:szCs w:val="32"/>
          <w:lang w:val="en-US" w:eastAsia="zh-CN" w:bidi="ar-SA"/>
        </w:rPr>
        <w:t>0</w:t>
      </w:r>
      <w:r>
        <w:rPr>
          <w:rFonts w:hint="eastAsia" w:ascii="Times New Roman" w:hAnsi="Times New Roman" w:eastAsia="仿宋_GB2312" w:cs="Times New Roman"/>
          <w:b w:val="0"/>
          <w:bCs w:val="0"/>
          <w:color w:val="000000"/>
          <w:kern w:val="0"/>
          <w:sz w:val="32"/>
          <w:szCs w:val="32"/>
          <w:lang w:val="en-US" w:eastAsia="zh-CN" w:bidi="ar-SA"/>
        </w:rPr>
        <w:t>万元，城市管网及污水处理补助1</w:t>
      </w:r>
      <w:r>
        <w:rPr>
          <w:rFonts w:hint="eastAsia" w:eastAsia="仿宋_GB2312" w:cs="Times New Roman"/>
          <w:b w:val="0"/>
          <w:bCs w:val="0"/>
          <w:color w:val="000000"/>
          <w:kern w:val="0"/>
          <w:sz w:val="32"/>
          <w:szCs w:val="32"/>
          <w:lang w:val="en-US" w:eastAsia="zh-CN" w:bidi="ar-SA"/>
        </w:rPr>
        <w:t>,389.4</w:t>
      </w:r>
      <w:r>
        <w:rPr>
          <w:rFonts w:hint="eastAsia" w:ascii="Times New Roman" w:hAnsi="Times New Roman" w:eastAsia="仿宋_GB2312" w:cs="Times New Roman"/>
          <w:b w:val="0"/>
          <w:bCs w:val="0"/>
          <w:color w:val="000000"/>
          <w:kern w:val="0"/>
          <w:sz w:val="32"/>
          <w:szCs w:val="32"/>
          <w:lang w:val="en-US" w:eastAsia="zh-CN" w:bidi="ar-SA"/>
        </w:rPr>
        <w:t>.00万元、城建项目库59.8万元、求索西路项目1</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120.79万元(发展改革委安排的基建项目</w:t>
      </w:r>
      <w:r>
        <w:rPr>
          <w:rFonts w:hint="eastAsia" w:eastAsia="仿宋_GB2312" w:cs="Times New Roman"/>
          <w:b w:val="0"/>
          <w:bCs w:val="0"/>
          <w:color w:val="000000"/>
          <w:kern w:val="0"/>
          <w:sz w:val="32"/>
          <w:szCs w:val="32"/>
          <w:lang w:val="en-US" w:eastAsia="zh-CN" w:bidi="ar-SA"/>
        </w:rPr>
        <w:t>1</w:t>
      </w:r>
      <w:r>
        <w:rPr>
          <w:rFonts w:hint="eastAsia" w:ascii="Times New Roman" w:hAnsi="Times New Roman" w:eastAsia="仿宋_GB2312" w:cs="Times New Roman"/>
          <w:b w:val="0"/>
          <w:bCs w:val="0"/>
          <w:color w:val="000000"/>
          <w:kern w:val="0"/>
          <w:sz w:val="32"/>
          <w:szCs w:val="32"/>
          <w:lang w:val="en-US" w:eastAsia="zh-CN" w:bidi="ar-SA"/>
        </w:rPr>
        <w:t>个)、工程建设项目审批制度改革专项40.42万元、改制企业社保医保资金1</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527.03万元、城乡建设引导资金40.9万元、居民自建房安全专项整治工作经费60.16万元</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可再生能源示范城市</w:t>
      </w:r>
      <w:r>
        <w:rPr>
          <w:rFonts w:hint="eastAsia" w:eastAsia="仿宋_GB2312" w:cs="Times New Roman"/>
          <w:b w:val="0"/>
          <w:bCs w:val="0"/>
          <w:color w:val="000000"/>
          <w:kern w:val="0"/>
          <w:sz w:val="32"/>
          <w:szCs w:val="32"/>
          <w:lang w:val="en-US" w:eastAsia="zh-CN" w:bidi="ar-SA"/>
        </w:rPr>
        <w:t>补助资金</w:t>
      </w:r>
      <w:r>
        <w:rPr>
          <w:rFonts w:hint="eastAsia" w:ascii="Times New Roman" w:hAnsi="Times New Roman" w:eastAsia="仿宋_GB2312" w:cs="Times New Roman"/>
          <w:b w:val="0"/>
          <w:bCs w:val="0"/>
          <w:color w:val="000000"/>
          <w:kern w:val="0"/>
          <w:sz w:val="32"/>
          <w:szCs w:val="32"/>
          <w:lang w:val="en-US" w:eastAsia="zh-CN" w:bidi="ar-SA"/>
        </w:rPr>
        <w:t>204.94万元</w:t>
      </w:r>
      <w:r>
        <w:rPr>
          <w:rFonts w:hint="eastAsia" w:eastAsia="仿宋_GB2312" w:cs="Times New Roman"/>
          <w:b w:val="0"/>
          <w:bCs w:val="0"/>
          <w:color w:val="000000"/>
          <w:kern w:val="0"/>
          <w:sz w:val="32"/>
          <w:szCs w:val="32"/>
          <w:lang w:val="en-US" w:eastAsia="zh-CN" w:bidi="ar-SA"/>
        </w:rPr>
        <w:t>（专户资金）</w:t>
      </w:r>
      <w:r>
        <w:rPr>
          <w:rFonts w:hint="eastAsia" w:ascii="Times New Roman" w:hAnsi="Times New Roman" w:eastAsia="仿宋_GB2312" w:cs="Times New Roman"/>
          <w:b w:val="0"/>
          <w:bCs w:val="0"/>
          <w:color w:val="000000"/>
          <w:kern w:val="0"/>
          <w:sz w:val="32"/>
          <w:szCs w:val="32"/>
          <w:lang w:val="en-US" w:eastAsia="zh-CN" w:bidi="ar-SA"/>
        </w:rPr>
        <w:t>。</w:t>
      </w:r>
    </w:p>
    <w:p>
      <w:pPr>
        <w:pStyle w:val="24"/>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_GB2312" w:cs="Times New Roman"/>
          <w:kern w:val="0"/>
          <w:sz w:val="28"/>
          <w:szCs w:val="28"/>
          <w:lang w:val="en-US" w:eastAsia="zh-CN" w:bidi="ar"/>
        </w:rPr>
      </w:pPr>
      <w:r>
        <w:rPr>
          <w:rFonts w:hint="eastAsia" w:ascii="仿宋" w:hAnsi="仿宋" w:eastAsia="仿宋_GB2312" w:cs="Times New Roman"/>
          <w:kern w:val="0"/>
          <w:sz w:val="28"/>
          <w:szCs w:val="28"/>
          <w:lang w:val="en-US" w:eastAsia="zh-CN" w:bidi="ar"/>
        </w:rPr>
        <w:t>无</w:t>
      </w:r>
    </w:p>
    <w:p>
      <w:pPr>
        <w:pStyle w:val="24"/>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_GB2312" w:cs="Times New Roman"/>
          <w:kern w:val="0"/>
          <w:sz w:val="28"/>
          <w:szCs w:val="28"/>
          <w:lang w:val="en-US" w:eastAsia="zh-CN" w:bidi="ar"/>
        </w:rPr>
      </w:pPr>
      <w:r>
        <w:rPr>
          <w:rFonts w:hint="eastAsia" w:ascii="仿宋" w:hAnsi="仿宋" w:eastAsia="仿宋_GB2312" w:cs="Times New Roman"/>
          <w:kern w:val="0"/>
          <w:sz w:val="28"/>
          <w:szCs w:val="28"/>
          <w:lang w:val="en-US" w:eastAsia="zh-CN" w:bidi="ar"/>
        </w:rPr>
        <w:t>无</w:t>
      </w:r>
    </w:p>
    <w:p>
      <w:pPr>
        <w:pStyle w:val="24"/>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_GB2312" w:cs="Times New Roman"/>
          <w:kern w:val="0"/>
          <w:sz w:val="28"/>
          <w:szCs w:val="28"/>
          <w:lang w:val="en-US" w:eastAsia="zh-CN" w:bidi="ar"/>
        </w:rPr>
      </w:pPr>
      <w:r>
        <w:rPr>
          <w:rFonts w:hint="eastAsia" w:ascii="仿宋" w:hAnsi="仿宋" w:eastAsia="仿宋_GB2312" w:cs="Times New Roman"/>
          <w:kern w:val="0"/>
          <w:sz w:val="28"/>
          <w:szCs w:val="28"/>
          <w:lang w:val="en-US" w:eastAsia="zh-CN" w:bidi="ar"/>
        </w:rPr>
        <w:t>无</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kern w:val="2"/>
          <w:sz w:val="32"/>
          <w:szCs w:val="32"/>
          <w:lang w:val="en-US" w:eastAsia="zh-CN" w:bidi="ar-SA"/>
        </w:rPr>
      </w:pPr>
      <w:r>
        <w:rPr>
          <w:rFonts w:hint="eastAsia" w:eastAsia="黑体" w:cs="Times New Roman"/>
          <w:kern w:val="2"/>
          <w:sz w:val="32"/>
          <w:szCs w:val="32"/>
          <w:lang w:val="en-US" w:eastAsia="zh-CN" w:bidi="ar-SA"/>
        </w:rPr>
        <w:t>六、部门</w:t>
      </w:r>
      <w:r>
        <w:rPr>
          <w:rFonts w:hint="eastAsia" w:ascii="Times New Roman" w:hAnsi="Times New Roman" w:eastAsia="黑体" w:cs="Times New Roman"/>
          <w:kern w:val="2"/>
          <w:sz w:val="32"/>
          <w:szCs w:val="32"/>
          <w:lang w:val="en-US" w:eastAsia="zh-CN" w:bidi="ar-SA"/>
        </w:rPr>
        <w:t>整体支出绩效情况</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111" w:leftChars="0" w:firstLine="321" w:firstLineChars="0"/>
        <w:jc w:val="both"/>
        <w:textAlignment w:val="auto"/>
        <w:rPr>
          <w:rFonts w:hint="eastAsia" w:eastAsia="楷体_GB2312" w:cs="Times New Roman"/>
          <w:b/>
          <w:kern w:val="2"/>
          <w:sz w:val="32"/>
          <w:szCs w:val="32"/>
          <w:lang w:val="en-US" w:eastAsia="zh-CN" w:bidi="ar-SA"/>
        </w:rPr>
      </w:pPr>
      <w:r>
        <w:rPr>
          <w:rFonts w:hint="eastAsia" w:eastAsia="楷体_GB2312" w:cs="Times New Roman"/>
          <w:b/>
          <w:kern w:val="2"/>
          <w:sz w:val="32"/>
          <w:szCs w:val="32"/>
          <w:lang w:val="en-US" w:eastAsia="zh-CN" w:bidi="ar-SA"/>
        </w:rPr>
        <w:t>总体目标：</w:t>
      </w:r>
    </w:p>
    <w:p>
      <w:pPr>
        <w:keepNext w:val="0"/>
        <w:keepLines w:val="0"/>
        <w:pageBreakBefore w:val="0"/>
        <w:widowControl/>
        <w:kinsoku/>
        <w:wordWrap/>
        <w:overflowPunct/>
        <w:topLinePunct w:val="0"/>
        <w:autoSpaceDE/>
        <w:autoSpaceDN/>
        <w:bidi w:val="0"/>
        <w:adjustRightInd/>
        <w:snapToGrid/>
        <w:spacing w:line="580" w:lineRule="exact"/>
        <w:ind w:firstLine="320" w:firstLineChars="100"/>
        <w:jc w:val="both"/>
        <w:textAlignment w:val="auto"/>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1、突出抓好城市更新工程，进一步加强住房保障及老旧小区改造工作。</w:t>
      </w:r>
    </w:p>
    <w:p>
      <w:pPr>
        <w:keepNext w:val="0"/>
        <w:keepLines w:val="0"/>
        <w:pageBreakBefore w:val="0"/>
        <w:widowControl/>
        <w:kinsoku/>
        <w:wordWrap/>
        <w:overflowPunct/>
        <w:topLinePunct w:val="0"/>
        <w:autoSpaceDE/>
        <w:autoSpaceDN/>
        <w:bidi w:val="0"/>
        <w:adjustRightInd/>
        <w:snapToGrid/>
        <w:spacing w:line="580" w:lineRule="exact"/>
        <w:ind w:firstLine="320" w:firstLineChars="100"/>
        <w:jc w:val="both"/>
        <w:textAlignment w:val="auto"/>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2、突出抓好市政设施工程，进一步加速东风湖新区建设、城市道路建设、电力管廊建设；推进海绵城市建设及三峡项目二期工程建设；推进城乡污水处理管网搞工程建设，提高污水收集处理能力。</w:t>
      </w:r>
    </w:p>
    <w:p>
      <w:pPr>
        <w:keepNext w:val="0"/>
        <w:keepLines w:val="0"/>
        <w:pageBreakBefore w:val="0"/>
        <w:widowControl/>
        <w:kinsoku/>
        <w:wordWrap/>
        <w:overflowPunct/>
        <w:topLinePunct w:val="0"/>
        <w:autoSpaceDE/>
        <w:autoSpaceDN/>
        <w:bidi w:val="0"/>
        <w:adjustRightInd/>
        <w:snapToGrid/>
        <w:spacing w:line="580" w:lineRule="exact"/>
        <w:ind w:firstLine="320" w:firstLineChars="100"/>
        <w:jc w:val="both"/>
        <w:textAlignment w:val="auto"/>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3、突出抓好安全管理工程，开展住建领域质量安全提升专项行动，确保建设项目安全；加强农村危房改造工作，提升农村建房能力和水平。</w:t>
      </w:r>
    </w:p>
    <w:p>
      <w:pPr>
        <w:keepNext w:val="0"/>
        <w:keepLines w:val="0"/>
        <w:pageBreakBefore w:val="0"/>
        <w:widowControl/>
        <w:kinsoku/>
        <w:wordWrap/>
        <w:overflowPunct/>
        <w:topLinePunct w:val="0"/>
        <w:autoSpaceDE/>
        <w:autoSpaceDN/>
        <w:bidi w:val="0"/>
        <w:adjustRightInd/>
        <w:snapToGrid/>
        <w:spacing w:line="580" w:lineRule="exact"/>
        <w:ind w:firstLine="320" w:firstLineChars="100"/>
        <w:jc w:val="both"/>
        <w:textAlignment w:val="auto"/>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4、突出抓好房地产市场稳控，健全多元化纠纷解决机制，稳妥处理房地产领域涉稳遗留问题；开展整治规范房地产市场秩序，促进房地产市场健康有序发展。</w:t>
      </w:r>
    </w:p>
    <w:p>
      <w:pPr>
        <w:keepNext w:val="0"/>
        <w:keepLines w:val="0"/>
        <w:pageBreakBefore w:val="0"/>
        <w:widowControl/>
        <w:kinsoku/>
        <w:wordWrap/>
        <w:overflowPunct/>
        <w:topLinePunct w:val="0"/>
        <w:autoSpaceDE/>
        <w:autoSpaceDN/>
        <w:bidi w:val="0"/>
        <w:adjustRightInd/>
        <w:snapToGrid/>
        <w:spacing w:line="580" w:lineRule="exact"/>
        <w:ind w:firstLine="320" w:firstLineChars="100"/>
        <w:jc w:val="both"/>
        <w:textAlignment w:val="auto"/>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5、提升建设管理效能，探索建筑工程质量评价制度，加大扬尘治理力度，推进标准化、精细化示范工地创建；加强招投标行业监管，打击围标串标等违法维规行为，规范工程招投标行为。</w:t>
      </w:r>
    </w:p>
    <w:p>
      <w:pPr>
        <w:keepNext w:val="0"/>
        <w:keepLines w:val="0"/>
        <w:pageBreakBefore w:val="0"/>
        <w:widowControl/>
        <w:kinsoku/>
        <w:wordWrap/>
        <w:overflowPunct/>
        <w:topLinePunct w:val="0"/>
        <w:autoSpaceDE/>
        <w:autoSpaceDN/>
        <w:bidi w:val="0"/>
        <w:adjustRightInd/>
        <w:snapToGrid/>
        <w:spacing w:line="580" w:lineRule="exact"/>
        <w:ind w:firstLine="321" w:firstLineChars="100"/>
        <w:jc w:val="both"/>
        <w:textAlignment w:val="auto"/>
        <w:rPr>
          <w:rFonts w:hint="default" w:eastAsia="楷体_GB2312" w:cs="Times New Roman"/>
          <w:b/>
          <w:kern w:val="2"/>
          <w:sz w:val="32"/>
          <w:szCs w:val="32"/>
          <w:lang w:val="en-US" w:eastAsia="zh-CN" w:bidi="ar-SA"/>
        </w:rPr>
      </w:pPr>
      <w:r>
        <w:rPr>
          <w:rFonts w:hint="eastAsia" w:eastAsia="楷体_GB2312" w:cs="Times New Roman"/>
          <w:b/>
          <w:kern w:val="2"/>
          <w:sz w:val="32"/>
          <w:szCs w:val="32"/>
          <w:lang w:val="en-US" w:eastAsia="zh-CN" w:bidi="ar-SA"/>
        </w:rPr>
        <w:t>（二）年度绩效目标及完成情况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w:t>
      </w:r>
      <w:r>
        <w:rPr>
          <w:rFonts w:hint="eastAsia" w:ascii="Times New Roman" w:hAnsi="Times New Roman" w:eastAsia="仿宋_GB2312" w:cs="Times New Roman"/>
          <w:b/>
          <w:bCs/>
          <w:color w:val="000000"/>
          <w:kern w:val="0"/>
          <w:sz w:val="32"/>
          <w:szCs w:val="32"/>
          <w:lang w:val="en-US" w:eastAsia="zh-CN" w:bidi="ar-SA"/>
        </w:rPr>
        <w:t>产出数量 （定量、定性指标）</w:t>
      </w:r>
    </w:p>
    <w:p>
      <w:pPr>
        <w:keepNext w:val="0"/>
        <w:keepLines w:val="0"/>
        <w:pageBreakBefore w:val="0"/>
        <w:widowControl w:val="0"/>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w:t>
      </w:r>
      <w:r>
        <w:rPr>
          <w:rFonts w:hint="eastAsia" w:eastAsia="仿宋_GB2312" w:cs="Times New Roman"/>
          <w:b w:val="0"/>
          <w:bCs w:val="0"/>
          <w:color w:val="000000"/>
          <w:kern w:val="0"/>
          <w:sz w:val="32"/>
          <w:szCs w:val="32"/>
          <w:lang w:val="en-US" w:eastAsia="zh-CN" w:bidi="ar-SA"/>
        </w:rPr>
        <w:t>1</w:t>
      </w:r>
      <w:r>
        <w:rPr>
          <w:rFonts w:hint="eastAsia" w:ascii="Times New Roman" w:hAnsi="Times New Roman" w:eastAsia="仿宋_GB2312" w:cs="Times New Roman"/>
          <w:b w:val="0"/>
          <w:bCs w:val="0"/>
          <w:color w:val="000000"/>
          <w:kern w:val="0"/>
          <w:sz w:val="32"/>
          <w:szCs w:val="32"/>
          <w:lang w:val="en-US" w:eastAsia="zh-CN" w:bidi="ar-SA"/>
        </w:rPr>
        <w:t>）产业经济稳定与发展方面</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：计划完成建筑业建安产值700亿元，新开工房屋600万平方米、绿色装配式建筑项目104个，二是计划完成房地产投资200亿元，房地产相关税收入库30亿元，新建商品房销售面积350万平方米。</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完成情况：全市在库“四上”建筑企业339家，新开工房屋建筑总面积615.1万平方米，实施绿色装配式建筑项目104个，总面积234.5万平方米，占全市新开工房屋建筑面积比例为38.1%，居全省第一；二是全年完成房地产投资204.69亿元，房地产相关税收入库32.66亿元，新建商品房销售面积396.63万平方米。</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w:t>
      </w:r>
      <w:r>
        <w:rPr>
          <w:rFonts w:hint="eastAsia" w:eastAsia="仿宋_GB2312" w:cs="Times New Roman"/>
          <w:b w:val="0"/>
          <w:bCs w:val="0"/>
          <w:color w:val="000000"/>
          <w:kern w:val="0"/>
          <w:sz w:val="32"/>
          <w:szCs w:val="32"/>
          <w:lang w:val="en-US" w:eastAsia="zh-CN" w:bidi="ar-SA"/>
        </w:rPr>
        <w:t>2</w:t>
      </w:r>
      <w:r>
        <w:rPr>
          <w:rFonts w:hint="eastAsia" w:ascii="Times New Roman" w:hAnsi="Times New Roman" w:eastAsia="仿宋_GB2312" w:cs="Times New Roman"/>
          <w:b w:val="0"/>
          <w:bCs w:val="0"/>
          <w:color w:val="000000"/>
          <w:kern w:val="0"/>
          <w:sz w:val="32"/>
          <w:szCs w:val="32"/>
          <w:lang w:val="en-US" w:eastAsia="zh-CN" w:bidi="ar-SA"/>
        </w:rPr>
        <w:t>）市政基础设施提质升级方面</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：计划中心城区PPP项目完成排水主管网200公里、雨污分流改造900公顷；计划完成供水管网改造78.24公里；计划海绵城市创建争取中央奖补资金10亿元；计划溯源路、开发中路工程建设完工，完成18条背街小巷改造。</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default" w:asciiTheme="minorEastAsia" w:hAnsiTheme="minorEastAsia" w:eastAsiaTheme="minorEastAsia" w:cstheme="minorEastAsia"/>
          <w:bCs/>
          <w:color w:val="auto"/>
          <w:kern w:val="2"/>
          <w:sz w:val="24"/>
          <w:szCs w:val="24"/>
          <w:highlight w:val="none"/>
          <w:lang w:val="en-US" w:eastAsia="zh-CN" w:bidi="ar-SA"/>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bCs/>
          <w:color w:val="000000"/>
          <w:kern w:val="0"/>
          <w:sz w:val="32"/>
          <w:szCs w:val="32"/>
          <w:lang w:val="en-US" w:eastAsia="zh-CN" w:bidi="ar-SA"/>
        </w:rPr>
        <w:t>一是</w:t>
      </w:r>
      <w:r>
        <w:rPr>
          <w:rFonts w:hint="eastAsia" w:ascii="Times New Roman" w:hAnsi="Times New Roman" w:eastAsia="仿宋_GB2312" w:cs="Times New Roman"/>
          <w:b w:val="0"/>
          <w:bCs w:val="0"/>
          <w:color w:val="000000"/>
          <w:kern w:val="0"/>
          <w:sz w:val="32"/>
          <w:szCs w:val="32"/>
          <w:lang w:val="en-US" w:eastAsia="zh-CN" w:bidi="ar-SA"/>
        </w:rPr>
        <w:t>中心城区PPP项目一期、二期完成排水主管网201.3公里、雨污分流改造958.2公顷，全国20个海绵示范城市绩效评价中，岳阳市被评为A档；</w:t>
      </w:r>
      <w:r>
        <w:rPr>
          <w:rFonts w:hint="eastAsia" w:ascii="Times New Roman" w:hAnsi="Times New Roman" w:eastAsia="仿宋_GB2312" w:cs="Times New Roman"/>
          <w:b/>
          <w:bCs/>
          <w:color w:val="000000"/>
          <w:kern w:val="0"/>
          <w:sz w:val="32"/>
          <w:szCs w:val="32"/>
          <w:lang w:val="en-US" w:eastAsia="zh-CN" w:bidi="ar-SA"/>
        </w:rPr>
        <w:t>二是</w:t>
      </w:r>
      <w:r>
        <w:rPr>
          <w:rFonts w:hint="eastAsia" w:ascii="Times New Roman" w:hAnsi="Times New Roman" w:eastAsia="仿宋_GB2312" w:cs="Times New Roman"/>
          <w:b w:val="0"/>
          <w:bCs w:val="0"/>
          <w:color w:val="000000"/>
          <w:kern w:val="0"/>
          <w:sz w:val="32"/>
          <w:szCs w:val="32"/>
          <w:lang w:val="en-US" w:eastAsia="zh-CN" w:bidi="ar-SA"/>
        </w:rPr>
        <w:t>供水提质改造方面完成供水管网改造78.24公里，完成省定任务的148.2%；</w:t>
      </w:r>
      <w:r>
        <w:rPr>
          <w:rFonts w:hint="eastAsia" w:ascii="Times New Roman" w:hAnsi="Times New Roman" w:eastAsia="仿宋_GB2312" w:cs="Times New Roman"/>
          <w:b/>
          <w:bCs/>
          <w:color w:val="000000"/>
          <w:kern w:val="0"/>
          <w:sz w:val="32"/>
          <w:szCs w:val="32"/>
          <w:lang w:val="en-US" w:eastAsia="zh-CN" w:bidi="ar-SA"/>
        </w:rPr>
        <w:t>三是</w:t>
      </w:r>
      <w:r>
        <w:rPr>
          <w:rFonts w:hint="eastAsia" w:ascii="Times New Roman" w:hAnsi="Times New Roman" w:eastAsia="仿宋_GB2312" w:cs="Times New Roman"/>
          <w:b w:val="0"/>
          <w:bCs w:val="0"/>
          <w:color w:val="000000"/>
          <w:kern w:val="0"/>
          <w:sz w:val="32"/>
          <w:szCs w:val="32"/>
          <w:lang w:val="en-US" w:eastAsia="zh-CN" w:bidi="ar-SA"/>
        </w:rPr>
        <w:t>海绵城市创建方面，重点推进铁西片区、东风湖片区、吉家湖片区等海绵示范项目建设，打造了洞庭湖流域水环境保护“岳阳示范”，全力争取中央奖补资金共10亿元，已下达6.1亿元；</w:t>
      </w:r>
      <w:r>
        <w:rPr>
          <w:rFonts w:hint="eastAsia" w:ascii="Times New Roman" w:hAnsi="Times New Roman" w:eastAsia="仿宋_GB2312" w:cs="Times New Roman"/>
          <w:b/>
          <w:bCs/>
          <w:color w:val="000000"/>
          <w:kern w:val="0"/>
          <w:sz w:val="32"/>
          <w:szCs w:val="32"/>
          <w:lang w:val="en-US" w:eastAsia="zh-CN" w:bidi="ar-SA"/>
        </w:rPr>
        <w:t>四是</w:t>
      </w:r>
      <w:r>
        <w:rPr>
          <w:rFonts w:hint="eastAsia" w:ascii="Times New Roman" w:hAnsi="Times New Roman" w:eastAsia="仿宋_GB2312" w:cs="Times New Roman"/>
          <w:b w:val="0"/>
          <w:bCs w:val="0"/>
          <w:color w:val="000000"/>
          <w:kern w:val="0"/>
          <w:sz w:val="32"/>
          <w:szCs w:val="32"/>
          <w:lang w:val="en-US" w:eastAsia="zh-CN" w:bidi="ar-SA"/>
        </w:rPr>
        <w:t xml:space="preserve">牵头市城投、交投集团推进城市道路建设，其中溯源路、开发中路已完工，已完成18条背街小巷改造。 </w:t>
      </w: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w:t>
      </w:r>
      <w:r>
        <w:rPr>
          <w:rFonts w:hint="eastAsia" w:eastAsia="仿宋_GB2312" w:cs="Times New Roman"/>
          <w:b w:val="0"/>
          <w:bCs w:val="0"/>
          <w:color w:val="000000"/>
          <w:kern w:val="0"/>
          <w:sz w:val="32"/>
          <w:szCs w:val="32"/>
          <w:lang w:val="en-US" w:eastAsia="zh-CN" w:bidi="ar-SA"/>
        </w:rPr>
        <w:t>3</w:t>
      </w:r>
      <w:r>
        <w:rPr>
          <w:rFonts w:hint="eastAsia" w:ascii="Times New Roman" w:hAnsi="Times New Roman" w:eastAsia="仿宋_GB2312" w:cs="Times New Roman"/>
          <w:b w:val="0"/>
          <w:bCs w:val="0"/>
          <w:color w:val="000000"/>
          <w:kern w:val="0"/>
          <w:sz w:val="32"/>
          <w:szCs w:val="32"/>
          <w:lang w:val="en-US" w:eastAsia="zh-CN" w:bidi="ar-SA"/>
        </w:rPr>
        <w:t>）治理环境方面</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：计划改造污水管网70公里、新建调蓄池2座、排渍泵站1座；计划完成了12家生活污水处理厂提标改造，计划完成雨污管网改扩建594公里。</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bCs/>
          <w:color w:val="000000"/>
          <w:kern w:val="0"/>
          <w:sz w:val="32"/>
          <w:szCs w:val="32"/>
          <w:lang w:val="en-US" w:eastAsia="zh-CN" w:bidi="ar-SA"/>
        </w:rPr>
        <w:t>一是</w:t>
      </w:r>
      <w:r>
        <w:rPr>
          <w:rFonts w:hint="eastAsia" w:ascii="Times New Roman" w:hAnsi="Times New Roman" w:eastAsia="仿宋_GB2312" w:cs="Times New Roman"/>
          <w:b w:val="0"/>
          <w:bCs w:val="0"/>
          <w:color w:val="000000"/>
          <w:kern w:val="0"/>
          <w:sz w:val="32"/>
          <w:szCs w:val="32"/>
          <w:lang w:val="en-US" w:eastAsia="zh-CN" w:bidi="ar-SA"/>
        </w:rPr>
        <w:t>改造污水管网173.95公里，超额完成进度任务；新建调蓄池、排渍泵站、生活污水处理厂提标改造、雨污管网改均完成目标任务。</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w:t>
      </w:r>
      <w:r>
        <w:rPr>
          <w:rFonts w:hint="eastAsia" w:eastAsia="仿宋_GB2312" w:cs="Times New Roman"/>
          <w:b w:val="0"/>
          <w:bCs w:val="0"/>
          <w:color w:val="000000"/>
          <w:kern w:val="0"/>
          <w:sz w:val="32"/>
          <w:szCs w:val="32"/>
          <w:lang w:val="en-US" w:eastAsia="zh-CN" w:bidi="ar-SA"/>
        </w:rPr>
        <w:t>4</w:t>
      </w:r>
      <w:r>
        <w:rPr>
          <w:rFonts w:hint="eastAsia" w:ascii="Times New Roman" w:hAnsi="Times New Roman" w:eastAsia="仿宋_GB2312" w:cs="Times New Roman"/>
          <w:b w:val="0"/>
          <w:bCs w:val="0"/>
          <w:color w:val="000000"/>
          <w:kern w:val="0"/>
          <w:sz w:val="32"/>
          <w:szCs w:val="32"/>
          <w:lang w:val="en-US" w:eastAsia="zh-CN" w:bidi="ar-SA"/>
        </w:rPr>
        <w:t>）落实省政府民生实事方面</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：计划棚</w:t>
      </w:r>
      <w:r>
        <w:rPr>
          <w:rFonts w:hint="eastAsia" w:ascii="Times New Roman" w:hAnsi="Times New Roman" w:eastAsia="仿宋_GB2312" w:cs="Times New Roman"/>
          <w:b w:val="0"/>
          <w:bCs w:val="0"/>
          <w:color w:val="auto"/>
          <w:kern w:val="0"/>
          <w:sz w:val="32"/>
          <w:szCs w:val="32"/>
          <w:lang w:val="en-US" w:eastAsia="zh-CN" w:bidi="ar-SA"/>
        </w:rPr>
        <w:t>改</w:t>
      </w:r>
      <w:r>
        <w:rPr>
          <w:rFonts w:hint="eastAsia" w:eastAsia="仿宋_GB2312" w:cs="Times New Roman"/>
          <w:b w:val="0"/>
          <w:bCs w:val="0"/>
          <w:color w:val="auto"/>
          <w:kern w:val="0"/>
          <w:sz w:val="32"/>
          <w:szCs w:val="32"/>
          <w:lang w:val="en-US" w:eastAsia="zh-CN" w:bidi="ar-SA"/>
        </w:rPr>
        <w:t>3569</w:t>
      </w:r>
      <w:r>
        <w:rPr>
          <w:rFonts w:hint="eastAsia" w:ascii="Times New Roman" w:hAnsi="Times New Roman" w:eastAsia="仿宋_GB2312" w:cs="Times New Roman"/>
          <w:b w:val="0"/>
          <w:bCs w:val="0"/>
          <w:color w:val="auto"/>
          <w:kern w:val="0"/>
          <w:sz w:val="32"/>
          <w:szCs w:val="32"/>
          <w:lang w:val="en-US" w:eastAsia="zh-CN" w:bidi="ar-SA"/>
        </w:rPr>
        <w:t>户、开工</w:t>
      </w:r>
      <w:r>
        <w:rPr>
          <w:rFonts w:hint="eastAsia" w:eastAsia="仿宋_GB2312" w:cs="Times New Roman"/>
          <w:b w:val="0"/>
          <w:bCs w:val="0"/>
          <w:color w:val="auto"/>
          <w:kern w:val="0"/>
          <w:sz w:val="32"/>
          <w:szCs w:val="32"/>
          <w:lang w:val="en-US" w:eastAsia="zh-CN" w:bidi="ar-SA"/>
        </w:rPr>
        <w:t>3569</w:t>
      </w:r>
      <w:r>
        <w:rPr>
          <w:rFonts w:hint="eastAsia" w:ascii="Times New Roman" w:hAnsi="Times New Roman" w:eastAsia="仿宋_GB2312" w:cs="Times New Roman"/>
          <w:b w:val="0"/>
          <w:bCs w:val="0"/>
          <w:color w:val="auto"/>
          <w:kern w:val="0"/>
          <w:sz w:val="32"/>
          <w:szCs w:val="32"/>
          <w:lang w:val="en-US" w:eastAsia="zh-CN" w:bidi="ar-SA"/>
        </w:rPr>
        <w:t>套</w:t>
      </w:r>
      <w:r>
        <w:rPr>
          <w:rFonts w:hint="eastAsia" w:ascii="Times New Roman" w:hAnsi="Times New Roman" w:eastAsia="仿宋_GB2312" w:cs="Times New Roman"/>
          <w:b w:val="0"/>
          <w:bCs w:val="0"/>
          <w:color w:val="000000"/>
          <w:kern w:val="0"/>
          <w:sz w:val="32"/>
          <w:szCs w:val="32"/>
          <w:lang w:val="en-US" w:eastAsia="zh-CN" w:bidi="ar-SA"/>
        </w:rPr>
        <w:t>，老旧小区改造开工376个，加装电梯442台、农村危房改造1500户，新建保租房2506套，新</w:t>
      </w:r>
      <w:r>
        <w:rPr>
          <w:rFonts w:hint="eastAsia" w:ascii="Times New Roman" w:hAnsi="Times New Roman" w:eastAsia="仿宋_GB2312" w:cs="Times New Roman"/>
          <w:b w:val="0"/>
          <w:bCs w:val="0"/>
          <w:color w:val="auto"/>
          <w:kern w:val="0"/>
          <w:sz w:val="32"/>
          <w:szCs w:val="32"/>
          <w:lang w:val="en-US" w:eastAsia="zh-CN" w:bidi="ar-SA"/>
        </w:rPr>
        <w:t>筹</w:t>
      </w:r>
      <w:r>
        <w:rPr>
          <w:rFonts w:hint="eastAsia" w:eastAsia="仿宋_GB2312" w:cs="Times New Roman"/>
          <w:b w:val="0"/>
          <w:bCs w:val="0"/>
          <w:color w:val="auto"/>
          <w:kern w:val="0"/>
          <w:sz w:val="32"/>
          <w:szCs w:val="32"/>
          <w:lang w:val="en-US" w:eastAsia="zh-CN" w:bidi="ar-SA"/>
        </w:rPr>
        <w:t>集</w:t>
      </w:r>
      <w:r>
        <w:rPr>
          <w:rFonts w:hint="eastAsia" w:ascii="Times New Roman" w:hAnsi="Times New Roman" w:eastAsia="仿宋_GB2312" w:cs="Times New Roman"/>
          <w:b w:val="0"/>
          <w:bCs w:val="0"/>
          <w:color w:val="auto"/>
          <w:kern w:val="0"/>
          <w:sz w:val="32"/>
          <w:szCs w:val="32"/>
          <w:lang w:val="en-US" w:eastAsia="zh-CN" w:bidi="ar-SA"/>
        </w:rPr>
        <w:t>公租房18</w:t>
      </w:r>
      <w:r>
        <w:rPr>
          <w:rFonts w:hint="eastAsia" w:eastAsia="仿宋_GB2312" w:cs="Times New Roman"/>
          <w:b w:val="0"/>
          <w:bCs w:val="0"/>
          <w:color w:val="auto"/>
          <w:kern w:val="0"/>
          <w:sz w:val="32"/>
          <w:szCs w:val="32"/>
          <w:lang w:val="en-US" w:eastAsia="zh-CN" w:bidi="ar-SA"/>
        </w:rPr>
        <w:t>32</w:t>
      </w:r>
      <w:r>
        <w:rPr>
          <w:rFonts w:hint="eastAsia" w:ascii="Times New Roman" w:hAnsi="Times New Roman" w:eastAsia="仿宋_GB2312" w:cs="Times New Roman"/>
          <w:b w:val="0"/>
          <w:bCs w:val="0"/>
          <w:color w:val="auto"/>
          <w:kern w:val="0"/>
          <w:sz w:val="32"/>
          <w:szCs w:val="32"/>
          <w:lang w:val="en-US" w:eastAsia="zh-CN" w:bidi="ar-SA"/>
        </w:rPr>
        <w:t>套，发放租赁补贴</w:t>
      </w:r>
      <w:r>
        <w:rPr>
          <w:rFonts w:hint="eastAsia" w:eastAsia="仿宋_GB2312" w:cs="Times New Roman"/>
          <w:b w:val="0"/>
          <w:bCs w:val="0"/>
          <w:color w:val="auto"/>
          <w:kern w:val="0"/>
          <w:sz w:val="32"/>
          <w:szCs w:val="32"/>
          <w:lang w:val="en-US" w:eastAsia="zh-CN" w:bidi="ar-SA"/>
        </w:rPr>
        <w:t>13061</w:t>
      </w:r>
      <w:r>
        <w:rPr>
          <w:rFonts w:hint="eastAsia" w:ascii="Times New Roman" w:hAnsi="Times New Roman" w:eastAsia="仿宋_GB2312" w:cs="Times New Roman"/>
          <w:b w:val="0"/>
          <w:bCs w:val="0"/>
          <w:color w:val="auto"/>
          <w:kern w:val="0"/>
          <w:sz w:val="32"/>
          <w:szCs w:val="32"/>
          <w:lang w:val="en-US" w:eastAsia="zh-CN" w:bidi="ar-SA"/>
        </w:rPr>
        <w:t>户；优化营商环境。</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完成情况：一是新建保租房、新筹建公租房发放租赁补贴</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棚户区改造</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农村危房改造完成目标任务；二是老旧小区改造开工432个小区、加装电梯627台，均超额完成任务</w:t>
      </w:r>
      <w:r>
        <w:rPr>
          <w:rFonts w:hint="eastAsia" w:eastAsia="仿宋_GB2312" w:cs="Times New Roman"/>
          <w:b w:val="0"/>
          <w:bCs w:val="0"/>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w:t>
      </w:r>
      <w:r>
        <w:rPr>
          <w:rFonts w:hint="eastAsia" w:eastAsia="仿宋_GB2312" w:cs="Times New Roman"/>
          <w:b w:val="0"/>
          <w:bCs w:val="0"/>
          <w:color w:val="000000"/>
          <w:kern w:val="0"/>
          <w:sz w:val="32"/>
          <w:szCs w:val="32"/>
          <w:lang w:val="en-US" w:eastAsia="zh-CN" w:bidi="ar-SA"/>
        </w:rPr>
        <w:t>5</w:t>
      </w:r>
      <w:r>
        <w:rPr>
          <w:rFonts w:hint="eastAsia" w:ascii="Times New Roman" w:hAnsi="Times New Roman" w:eastAsia="仿宋_GB2312" w:cs="Times New Roman"/>
          <w:b w:val="0"/>
          <w:bCs w:val="0"/>
          <w:color w:val="000000"/>
          <w:kern w:val="0"/>
          <w:sz w:val="32"/>
          <w:szCs w:val="32"/>
          <w:lang w:val="en-US" w:eastAsia="zh-CN" w:bidi="ar-SA"/>
        </w:rPr>
        <w:t>）风险隐患防范化解方面</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：排查梳理问题清单50件，挂帐销案30件，</w:t>
      </w:r>
      <w:r>
        <w:rPr>
          <w:rFonts w:hint="default" w:ascii="Times New Roman" w:hAnsi="Times New Roman" w:eastAsia="仿宋_GB2312" w:cs="Times New Roman"/>
          <w:b w:val="0"/>
          <w:bCs w:val="0"/>
          <w:color w:val="000000"/>
          <w:kern w:val="0"/>
          <w:sz w:val="32"/>
          <w:szCs w:val="32"/>
          <w:lang w:val="en-US" w:eastAsia="zh-CN" w:bidi="ar-SA"/>
        </w:rPr>
        <w:t>省级文明标兵单位创建（牵头负责中心城区的创建任务落实）</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b w:val="0"/>
          <w:bCs w:val="0"/>
          <w:color w:val="000000"/>
          <w:kern w:val="0"/>
          <w:sz w:val="32"/>
          <w:szCs w:val="32"/>
          <w:lang w:val="en-US" w:eastAsia="zh-CN" w:bidi="ar-SA"/>
        </w:rPr>
        <w:t>：一是完成了排查梳理问题清单、挂帐销案目标任务；二是</w:t>
      </w:r>
      <w:r>
        <w:rPr>
          <w:rFonts w:hint="default" w:ascii="Times New Roman" w:hAnsi="Times New Roman" w:eastAsia="仿宋_GB2312" w:cs="Times New Roman"/>
          <w:b w:val="0"/>
          <w:bCs w:val="0"/>
          <w:color w:val="000000"/>
          <w:kern w:val="0"/>
          <w:sz w:val="32"/>
          <w:szCs w:val="32"/>
          <w:lang w:val="en-US" w:eastAsia="zh-CN" w:bidi="ar-SA"/>
        </w:rPr>
        <w:t>牵头负责中心城区916个老旧小区“三乱”专项治</w:t>
      </w:r>
      <w:r>
        <w:rPr>
          <w:rFonts w:hint="eastAsia" w:ascii="Times New Roman" w:hAnsi="Times New Roman" w:eastAsia="仿宋_GB2312" w:cs="Times New Roman"/>
          <w:b w:val="0"/>
          <w:bCs w:val="0"/>
          <w:color w:val="000000"/>
          <w:kern w:val="0"/>
          <w:sz w:val="32"/>
          <w:szCs w:val="32"/>
          <w:lang w:val="en-US" w:eastAsia="zh-CN" w:bidi="ar-SA"/>
        </w:rPr>
        <w:t>、</w:t>
      </w:r>
      <w:r>
        <w:rPr>
          <w:rFonts w:hint="default" w:ascii="Times New Roman" w:hAnsi="Times New Roman" w:eastAsia="仿宋_GB2312" w:cs="Times New Roman"/>
          <w:b w:val="0"/>
          <w:bCs w:val="0"/>
          <w:color w:val="000000"/>
          <w:kern w:val="0"/>
          <w:sz w:val="32"/>
          <w:szCs w:val="32"/>
          <w:lang w:val="en-US" w:eastAsia="zh-CN" w:bidi="ar-SA"/>
        </w:rPr>
        <w:t>512个物业小区的创建任务</w:t>
      </w:r>
      <w:r>
        <w:rPr>
          <w:rFonts w:hint="eastAsia" w:ascii="Times New Roman" w:hAnsi="Times New Roman" w:eastAsia="仿宋_GB2312" w:cs="Times New Roman"/>
          <w:b w:val="0"/>
          <w:bCs w:val="0"/>
          <w:color w:val="000000"/>
          <w:kern w:val="0"/>
          <w:sz w:val="32"/>
          <w:szCs w:val="32"/>
          <w:lang w:val="en-US" w:eastAsia="zh-CN" w:bidi="ar-SA"/>
        </w:rPr>
        <w:t>、</w:t>
      </w:r>
      <w:r>
        <w:rPr>
          <w:rFonts w:hint="default" w:ascii="Times New Roman" w:hAnsi="Times New Roman" w:eastAsia="仿宋_GB2312" w:cs="Times New Roman"/>
          <w:b w:val="0"/>
          <w:bCs w:val="0"/>
          <w:color w:val="000000"/>
          <w:kern w:val="0"/>
          <w:sz w:val="32"/>
          <w:szCs w:val="32"/>
          <w:lang w:val="en-US" w:eastAsia="zh-CN" w:bidi="ar-SA"/>
        </w:rPr>
        <w:t>3个重要交通路口的文明劝导</w:t>
      </w:r>
      <w:r>
        <w:rPr>
          <w:rFonts w:hint="eastAsia" w:ascii="Times New Roman" w:hAnsi="Times New Roman" w:eastAsia="仿宋_GB2312" w:cs="Times New Roman"/>
          <w:b w:val="0"/>
          <w:bCs w:val="0"/>
          <w:color w:val="000000"/>
          <w:kern w:val="0"/>
          <w:sz w:val="32"/>
          <w:szCs w:val="32"/>
          <w:lang w:val="en-US" w:eastAsia="zh-CN" w:bidi="ar-SA"/>
        </w:rPr>
        <w:t>等</w:t>
      </w:r>
      <w:r>
        <w:rPr>
          <w:rFonts w:hint="default" w:ascii="Times New Roman" w:hAnsi="Times New Roman" w:eastAsia="仿宋_GB2312" w:cs="Times New Roman"/>
          <w:b w:val="0"/>
          <w:bCs w:val="0"/>
          <w:color w:val="000000"/>
          <w:kern w:val="0"/>
          <w:sz w:val="32"/>
          <w:szCs w:val="32"/>
          <w:lang w:val="en-US" w:eastAsia="zh-CN" w:bidi="ar-SA"/>
        </w:rPr>
        <w:t>创建任务落实</w:t>
      </w:r>
      <w:r>
        <w:rPr>
          <w:rFonts w:hint="eastAsia" w:ascii="Times New Roman" w:hAnsi="Times New Roman" w:eastAsia="仿宋_GB2312" w:cs="Times New Roman"/>
          <w:b w:val="0"/>
          <w:bCs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w:t>
      </w:r>
      <w:r>
        <w:rPr>
          <w:rFonts w:hint="eastAsia" w:eastAsia="仿宋_GB2312" w:cs="Times New Roman"/>
          <w:color w:val="000000"/>
          <w:kern w:val="0"/>
          <w:sz w:val="32"/>
          <w:szCs w:val="32"/>
          <w:lang w:val="en-US" w:eastAsia="zh-CN" w:bidi="ar-SA"/>
        </w:rPr>
        <w:t>6</w:t>
      </w:r>
      <w:r>
        <w:rPr>
          <w:rFonts w:hint="eastAsia" w:ascii="Times New Roman" w:hAnsi="Times New Roman" w:eastAsia="仿宋_GB2312" w:cs="Times New Roman"/>
          <w:color w:val="000000"/>
          <w:kern w:val="0"/>
          <w:sz w:val="32"/>
          <w:szCs w:val="32"/>
          <w:lang w:val="en-US" w:eastAsia="zh-CN" w:bidi="ar-SA"/>
        </w:rPr>
        <w:t>）</w:t>
      </w:r>
      <w:r>
        <w:rPr>
          <w:rFonts w:hint="eastAsia" w:eastAsia="仿宋_GB2312" w:cs="Times New Roman"/>
          <w:color w:val="000000"/>
          <w:kern w:val="0"/>
          <w:sz w:val="32"/>
          <w:szCs w:val="32"/>
          <w:lang w:val="en-US" w:eastAsia="zh-CN" w:bidi="ar-SA"/>
        </w:rPr>
        <w:t>住</w:t>
      </w:r>
      <w:r>
        <w:rPr>
          <w:rFonts w:hint="eastAsia" w:ascii="Times New Roman" w:hAnsi="Times New Roman" w:eastAsia="仿宋_GB2312" w:cs="Times New Roman"/>
          <w:color w:val="000000"/>
          <w:kern w:val="0"/>
          <w:sz w:val="32"/>
          <w:szCs w:val="32"/>
          <w:lang w:val="en-US" w:eastAsia="zh-CN" w:bidi="ar-SA"/>
        </w:rPr>
        <w:t>房安全保障方面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color w:val="000000"/>
          <w:kern w:val="0"/>
          <w:sz w:val="32"/>
          <w:szCs w:val="32"/>
          <w:lang w:val="en-US" w:eastAsia="zh-CN" w:bidi="ar-SA"/>
        </w:rPr>
        <w:t>：制订自建房安全保障制度创新制度4个，</w:t>
      </w:r>
      <w:r>
        <w:rPr>
          <w:rFonts w:hint="eastAsia" w:eastAsia="仿宋_GB2312" w:cs="Times New Roman"/>
          <w:color w:val="000000"/>
          <w:kern w:val="0"/>
          <w:sz w:val="32"/>
          <w:szCs w:val="32"/>
          <w:lang w:val="en-US" w:eastAsia="zh-CN" w:bidi="ar-SA"/>
        </w:rPr>
        <w:t>二是</w:t>
      </w:r>
      <w:r>
        <w:rPr>
          <w:rFonts w:hint="eastAsia" w:ascii="Times New Roman" w:hAnsi="Times New Roman" w:eastAsia="仿宋_GB2312" w:cs="Times New Roman"/>
          <w:color w:val="000000"/>
          <w:kern w:val="0"/>
          <w:sz w:val="32"/>
          <w:szCs w:val="32"/>
          <w:lang w:val="en-US" w:eastAsia="zh-CN" w:bidi="ar-SA"/>
        </w:rPr>
        <w:t>计划完成自建房排查114.6万栋，</w:t>
      </w:r>
      <w:r>
        <w:rPr>
          <w:rFonts w:hint="default" w:ascii="Times New Roman" w:hAnsi="Times New Roman" w:eastAsia="仿宋_GB2312" w:cs="Times New Roman"/>
          <w:color w:val="000000"/>
          <w:kern w:val="0"/>
          <w:sz w:val="32"/>
          <w:szCs w:val="32"/>
          <w:lang w:val="en-US" w:eastAsia="zh-CN" w:bidi="ar-SA"/>
        </w:rPr>
        <w:t>经营性自建房安全鉴定10978栋</w:t>
      </w:r>
      <w:r>
        <w:rPr>
          <w:rFonts w:hint="eastAsia" w:ascii="Times New Roman" w:hAnsi="Times New Roman" w:eastAsia="仿宋_GB2312" w:cs="Times New Roman"/>
          <w:color w:val="000000"/>
          <w:kern w:val="0"/>
          <w:sz w:val="32"/>
          <w:szCs w:val="32"/>
          <w:lang w:val="en-US" w:eastAsia="zh-CN" w:bidi="ar-SA"/>
        </w:rPr>
        <w:t>，五类重点区域鉴定自建房安全鉴定</w:t>
      </w:r>
      <w:r>
        <w:rPr>
          <w:rFonts w:hint="default" w:ascii="Times New Roman" w:hAnsi="Times New Roman" w:eastAsia="仿宋_GB2312" w:cs="Times New Roman"/>
          <w:color w:val="000000"/>
          <w:kern w:val="0"/>
          <w:sz w:val="32"/>
          <w:szCs w:val="32"/>
          <w:lang w:val="en-US" w:eastAsia="zh-CN" w:bidi="ar-SA"/>
        </w:rPr>
        <w:t>5422栋</w:t>
      </w:r>
      <w:r>
        <w:rPr>
          <w:rFonts w:hint="eastAsia"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color w:val="000000"/>
          <w:kern w:val="0"/>
          <w:sz w:val="32"/>
          <w:szCs w:val="32"/>
          <w:lang w:val="en-US" w:eastAsia="zh-CN" w:bidi="ar-SA"/>
        </w:rPr>
        <w:t>：率先在全省制定出台了《岳阳市农村住房质量安全管理办法》《岳阳市农村住房改扩建管理办法》《岳阳市农村住房建设竣工验收办法》和《岳阳市居民自建房安全专项整治追责问责办法》等四个办法；全市已完成自建房排查114.6万栋，完成率100%</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完成经营性自建房安全鉴定10978栋，五类重点区域5422栋已全部鉴定完毕。鉴定为C、</w:t>
      </w:r>
      <w:r>
        <w:rPr>
          <w:rFonts w:hint="eastAsia" w:ascii="Times New Roman" w:hAnsi="Times New Roman" w:eastAsia="仿宋_GB2312" w:cs="Times New Roman"/>
          <w:b w:val="0"/>
          <w:bCs w:val="0"/>
          <w:color w:val="000000"/>
          <w:kern w:val="0"/>
          <w:sz w:val="32"/>
          <w:szCs w:val="32"/>
          <w:lang w:val="en-US" w:eastAsia="zh-CN" w:bidi="ar-SA"/>
        </w:rPr>
        <w:t>D级并进入整治库的810栋危房，已完成整治264栋，剩余546栋均已停止</w:t>
      </w:r>
      <w:r>
        <w:rPr>
          <w:rFonts w:hint="eastAsia" w:ascii="Times New Roman" w:hAnsi="Times New Roman" w:eastAsia="仿宋_GB2312" w:cs="Times New Roman"/>
          <w:color w:val="000000"/>
          <w:kern w:val="0"/>
          <w:sz w:val="32"/>
          <w:szCs w:val="32"/>
          <w:lang w:val="en-US" w:eastAsia="zh-CN" w:bidi="ar-SA"/>
        </w:rPr>
        <w:t>经营、封控到位，按进度要求制定了“一栋一策”分类整治方案实施拆除和加固整治。</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w:t>
      </w:r>
      <w:r>
        <w:rPr>
          <w:rFonts w:hint="eastAsia" w:eastAsia="仿宋_GB2312" w:cs="Times New Roman"/>
          <w:b w:val="0"/>
          <w:bCs w:val="0"/>
          <w:color w:val="000000"/>
          <w:kern w:val="0"/>
          <w:sz w:val="32"/>
          <w:szCs w:val="32"/>
          <w:lang w:val="en-US" w:eastAsia="zh-CN" w:bidi="ar-SA"/>
        </w:rPr>
        <w:t>7</w:t>
      </w:r>
      <w:r>
        <w:rPr>
          <w:rFonts w:hint="eastAsia" w:ascii="Times New Roman" w:hAnsi="Times New Roman" w:eastAsia="仿宋_GB2312" w:cs="Times New Roman"/>
          <w:b w:val="0"/>
          <w:bCs w:val="0"/>
          <w:color w:val="000000"/>
          <w:kern w:val="0"/>
          <w:sz w:val="32"/>
          <w:szCs w:val="32"/>
          <w:lang w:val="en-US" w:eastAsia="zh-CN" w:bidi="ar-SA"/>
        </w:rPr>
        <w:t>）保交楼、复工复产方面</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：恒大在湘风险处置重点工作31项，推动央企国企接盘垫资续建的保交楼项目3个，争取银行专项借款10亿元。</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sz w:val="24"/>
          <w:szCs w:val="24"/>
          <w:lang w:val="en-US" w:eastAsia="zh-CN"/>
        </w:rPr>
      </w:pPr>
      <w:r>
        <w:rPr>
          <w:rFonts w:hint="eastAsia" w:ascii="Times New Roman" w:hAnsi="Times New Roman" w:eastAsia="仿宋_GB2312" w:cs="Times New Roman"/>
          <w:b/>
          <w:bCs/>
          <w:color w:val="000000"/>
          <w:kern w:val="0"/>
          <w:sz w:val="32"/>
          <w:szCs w:val="32"/>
          <w:lang w:val="en-US" w:eastAsia="zh-CN" w:bidi="ar-SA"/>
        </w:rPr>
        <w:t>完成情况：一是</w:t>
      </w:r>
      <w:r>
        <w:rPr>
          <w:rFonts w:hint="eastAsia" w:ascii="Times New Roman" w:hAnsi="Times New Roman" w:eastAsia="仿宋_GB2312" w:cs="Times New Roman"/>
          <w:b w:val="0"/>
          <w:bCs w:val="0"/>
          <w:color w:val="000000"/>
          <w:kern w:val="0"/>
          <w:sz w:val="32"/>
          <w:szCs w:val="32"/>
          <w:lang w:val="en-US" w:eastAsia="zh-CN" w:bidi="ar-SA"/>
        </w:rPr>
        <w:t>保交楼项目交付率、复工复产率、专项借款资金使用率全省综合排名第一；</w:t>
      </w:r>
      <w:r>
        <w:rPr>
          <w:rFonts w:hint="eastAsia" w:ascii="Times New Roman" w:hAnsi="Times New Roman" w:eastAsia="仿宋_GB2312" w:cs="Times New Roman"/>
          <w:b/>
          <w:bCs/>
          <w:color w:val="000000"/>
          <w:kern w:val="0"/>
          <w:sz w:val="32"/>
          <w:szCs w:val="32"/>
          <w:lang w:val="en-US" w:eastAsia="zh-CN" w:bidi="ar-SA"/>
        </w:rPr>
        <w:t>二是</w:t>
      </w:r>
      <w:r>
        <w:rPr>
          <w:rFonts w:hint="eastAsia" w:ascii="Times New Roman" w:hAnsi="Times New Roman" w:eastAsia="仿宋_GB2312" w:cs="Times New Roman"/>
          <w:b w:val="0"/>
          <w:bCs w:val="0"/>
          <w:color w:val="000000"/>
          <w:kern w:val="0"/>
          <w:sz w:val="32"/>
          <w:szCs w:val="32"/>
          <w:lang w:val="en-US" w:eastAsia="zh-CN" w:bidi="ar-SA"/>
        </w:rPr>
        <w:t>在全省率先推动四化建公司、洞庭新城公司、省六建公司等有实力的央企和国企接管出险房地产企业、垫资续建已售逾期难交付房地产项目。四是积极争取国开行、农发行政策性专项借款15.9亿元，已全部到账。</w:t>
      </w:r>
    </w:p>
    <w:p>
      <w:pPr>
        <w:pStyle w:val="12"/>
        <w:ind w:left="0" w:leftChars="0" w:firstLine="0" w:firstLineChars="0"/>
        <w:rPr>
          <w:rFonts w:hint="default"/>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 xml:space="preserve">  2、质量目标</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（1）自建房安全质量方面：</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：一是自建房屋安全专项整治第一阶段考评合格率100%；二是自建房安全整治合格率100%。</w:t>
      </w:r>
      <w:r>
        <w:rPr>
          <w:rFonts w:hint="default" w:ascii="Times New Roman" w:hAnsi="Times New Roman" w:eastAsia="仿宋_GB2312" w:cs="Times New Roman"/>
          <w:b w:val="0"/>
          <w:bCs w:val="0"/>
          <w:color w:val="000000"/>
          <w:kern w:val="0"/>
          <w:sz w:val="32"/>
          <w:szCs w:val="32"/>
          <w:lang w:val="en-US" w:eastAsia="zh-CN" w:bidi="ar-SA"/>
        </w:rPr>
        <w:t>专项借款到帐率</w:t>
      </w:r>
      <w:r>
        <w:rPr>
          <w:rFonts w:hint="eastAsia" w:ascii="Times New Roman" w:hAnsi="Times New Roman" w:eastAsia="仿宋_GB2312" w:cs="Times New Roman"/>
          <w:b w:val="0"/>
          <w:bCs w:val="0"/>
          <w:color w:val="000000"/>
          <w:kern w:val="0"/>
          <w:sz w:val="32"/>
          <w:szCs w:val="32"/>
          <w:lang w:val="en-US" w:eastAsia="zh-CN" w:bidi="ar-SA"/>
        </w:rPr>
        <w:t>100%</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heme="minorEastAsia" w:hAnsiTheme="minorEastAsia" w:eastAsiaTheme="minorEastAsia" w:cstheme="minorEastAsia"/>
          <w:b w:val="0"/>
          <w:bCs w:val="0"/>
          <w:color w:val="000000"/>
          <w:sz w:val="24"/>
          <w:szCs w:val="24"/>
          <w:lang w:val="en-US" w:eastAsia="zh-CN"/>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b w:val="0"/>
          <w:bCs w:val="0"/>
          <w:color w:val="000000"/>
          <w:kern w:val="0"/>
          <w:sz w:val="32"/>
          <w:szCs w:val="32"/>
          <w:lang w:val="en-US" w:eastAsia="zh-CN" w:bidi="ar-SA"/>
        </w:rPr>
        <w:t>：一是在全省自建房屋安全专项整治第一阶段考评中，“五个率先”获得考评组充分肯定；二是自建房排查114.6万栋，完成率100%；</w:t>
      </w:r>
      <w:r>
        <w:rPr>
          <w:rFonts w:hint="default" w:ascii="Times New Roman" w:hAnsi="Times New Roman" w:eastAsia="仿宋_GB2312" w:cs="Times New Roman"/>
          <w:b w:val="0"/>
          <w:bCs w:val="0"/>
          <w:color w:val="000000"/>
          <w:kern w:val="0"/>
          <w:sz w:val="32"/>
          <w:szCs w:val="32"/>
          <w:lang w:val="en-US" w:eastAsia="zh-CN" w:bidi="ar-SA"/>
        </w:rPr>
        <w:t>专项借款到帐率</w:t>
      </w:r>
      <w:r>
        <w:rPr>
          <w:rFonts w:hint="eastAsia" w:ascii="Times New Roman" w:hAnsi="Times New Roman" w:eastAsia="仿宋_GB2312" w:cs="Times New Roman"/>
          <w:b w:val="0"/>
          <w:bCs w:val="0"/>
          <w:color w:val="000000"/>
          <w:kern w:val="0"/>
          <w:sz w:val="32"/>
          <w:szCs w:val="32"/>
          <w:lang w:val="en-US" w:eastAsia="zh-CN" w:bidi="ar-SA"/>
        </w:rPr>
        <w:t>100%。</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（2）市政设施提质升级质量方面：</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w:t>
      </w:r>
      <w:r>
        <w:rPr>
          <w:rFonts w:hint="default" w:ascii="Times New Roman" w:hAnsi="Times New Roman" w:eastAsia="仿宋_GB2312" w:cs="Times New Roman"/>
          <w:b w:val="0"/>
          <w:bCs w:val="0"/>
          <w:color w:val="000000"/>
          <w:kern w:val="0"/>
          <w:sz w:val="32"/>
          <w:szCs w:val="32"/>
          <w:lang w:val="en-US" w:eastAsia="zh-CN" w:bidi="ar-SA"/>
        </w:rPr>
        <w:t>海绵</w:t>
      </w:r>
      <w:r>
        <w:rPr>
          <w:rFonts w:hint="eastAsia" w:ascii="Times New Roman" w:hAnsi="Times New Roman" w:eastAsia="仿宋_GB2312" w:cs="Times New Roman"/>
          <w:b w:val="0"/>
          <w:bCs w:val="0"/>
          <w:color w:val="000000"/>
          <w:kern w:val="0"/>
          <w:sz w:val="32"/>
          <w:szCs w:val="32"/>
          <w:lang w:val="en-US" w:eastAsia="zh-CN" w:bidi="ar-SA"/>
        </w:rPr>
        <w:t>城市建设符合国家标准；道路建设、18条背街小巷改造工程验收合格。</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b w:val="0"/>
          <w:bCs w:val="0"/>
          <w:color w:val="000000"/>
          <w:kern w:val="0"/>
          <w:sz w:val="32"/>
          <w:szCs w:val="32"/>
          <w:lang w:val="en-US" w:eastAsia="zh-CN" w:bidi="ar-SA"/>
        </w:rPr>
        <w:t>：一是全国20个海绵示范城市绩效评价中岳阳市被评为A档，打造了洞庭湖流域水环境保护“岳阳示范”；二是已完成的道路建设、18条背街小巷改造工程质量验收合格。</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（3）环境整治质量方面：</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left="319" w:leftChars="152" w:firstLine="321" w:firstLineChars="1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排水设施更新、污水处理提质质量验收合格。</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left="319" w:leftChars="152" w:firstLine="321" w:firstLineChars="1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b w:val="0"/>
          <w:bCs w:val="0"/>
          <w:color w:val="000000"/>
          <w:kern w:val="0"/>
          <w:sz w:val="32"/>
          <w:szCs w:val="32"/>
          <w:lang w:val="en-US" w:eastAsia="zh-CN" w:bidi="ar-SA"/>
        </w:rPr>
        <w:t>：已完工的污水排水设施更新、污水处理提质质量验收合格。</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（4）民生实事完成质量方面：</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新建保租房、公租房、老旧小区改造、加装电梯、农村危房改造质量验收合格率100%。</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b w:val="0"/>
          <w:bCs w:val="0"/>
          <w:color w:val="000000"/>
          <w:kern w:val="0"/>
          <w:sz w:val="32"/>
          <w:szCs w:val="32"/>
          <w:lang w:val="en-US" w:eastAsia="zh-CN" w:bidi="ar-SA"/>
        </w:rPr>
        <w:t>已完工项目质量验收合格。</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（5）风险隐患防范落实质量方面</w:t>
      </w:r>
      <w:r>
        <w:rPr>
          <w:rFonts w:hint="eastAsia" w:ascii="Times New Roman" w:hAnsi="Times New Roman" w:eastAsia="仿宋_GB2312" w:cs="Times New Roman"/>
          <w:b/>
          <w:bCs/>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市政协提案办理合格率100%；信访事项受理率和及时回复率达100%，</w:t>
      </w:r>
      <w:r>
        <w:rPr>
          <w:rFonts w:hint="default" w:ascii="Times New Roman" w:hAnsi="Times New Roman" w:eastAsia="仿宋_GB2312" w:cs="Times New Roman"/>
          <w:b w:val="0"/>
          <w:bCs w:val="0"/>
          <w:color w:val="000000"/>
          <w:kern w:val="0"/>
          <w:sz w:val="32"/>
          <w:szCs w:val="32"/>
          <w:lang w:val="en-US" w:eastAsia="zh-CN" w:bidi="ar-SA"/>
        </w:rPr>
        <w:t>受理消防验收及备案抽查项目合格率</w:t>
      </w:r>
      <w:r>
        <w:rPr>
          <w:rFonts w:hint="eastAsia" w:ascii="Times New Roman" w:hAnsi="Times New Roman" w:eastAsia="仿宋_GB2312" w:cs="Times New Roman"/>
          <w:b w:val="0"/>
          <w:bCs w:val="0"/>
          <w:color w:val="000000"/>
          <w:kern w:val="0"/>
          <w:sz w:val="32"/>
          <w:szCs w:val="32"/>
          <w:lang w:val="en-US" w:eastAsia="zh-CN" w:bidi="ar-SA"/>
        </w:rPr>
        <w:t>100%，在建项目安全事故率为0。</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b w:val="0"/>
          <w:bCs w:val="0"/>
          <w:color w:val="000000"/>
          <w:kern w:val="0"/>
          <w:sz w:val="32"/>
          <w:szCs w:val="32"/>
          <w:lang w:val="en-US" w:eastAsia="zh-CN" w:bidi="ar-SA"/>
        </w:rPr>
        <w:t>：市政协提案办理合格率100%，</w:t>
      </w:r>
      <w:r>
        <w:rPr>
          <w:rFonts w:hint="default" w:ascii="Times New Roman" w:hAnsi="Times New Roman" w:eastAsia="仿宋_GB2312" w:cs="Times New Roman"/>
          <w:b w:val="0"/>
          <w:bCs w:val="0"/>
          <w:color w:val="000000"/>
          <w:kern w:val="0"/>
          <w:sz w:val="32"/>
          <w:szCs w:val="32"/>
          <w:lang w:val="en-US" w:eastAsia="zh-CN" w:bidi="ar-SA"/>
        </w:rPr>
        <w:t>受理消防验收及备案抽查项目合格率</w:t>
      </w:r>
      <w:r>
        <w:rPr>
          <w:rFonts w:hint="eastAsia" w:ascii="Times New Roman" w:hAnsi="Times New Roman" w:eastAsia="仿宋_GB2312" w:cs="Times New Roman"/>
          <w:b w:val="0"/>
          <w:bCs w:val="0"/>
          <w:color w:val="000000"/>
          <w:kern w:val="0"/>
          <w:sz w:val="32"/>
          <w:szCs w:val="32"/>
          <w:lang w:val="en-US" w:eastAsia="zh-CN" w:bidi="ar-SA"/>
        </w:rPr>
        <w:t>100%、信访事项受理率和及时回复率均达100%，参评率和满意率全面提升，先后荣获全市信访工作先进单位和市政协提案办理先进单位。在建项目暂未发生安全事故。</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（6）队伍建设方面：</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w:t>
      </w:r>
      <w:r>
        <w:rPr>
          <w:rFonts w:hint="default" w:ascii="Times New Roman" w:hAnsi="Times New Roman" w:eastAsia="仿宋_GB2312" w:cs="Times New Roman"/>
          <w:b w:val="0"/>
          <w:bCs w:val="0"/>
          <w:color w:val="000000"/>
          <w:kern w:val="0"/>
          <w:sz w:val="32"/>
          <w:szCs w:val="32"/>
          <w:lang w:val="en-US" w:eastAsia="zh-CN" w:bidi="ar-SA"/>
        </w:rPr>
        <w:t>负面舆情、重大事故、干部职工违规违纪处理事件为0</w:t>
      </w:r>
      <w:r>
        <w:rPr>
          <w:rFonts w:hint="eastAsia" w:ascii="Times New Roman" w:hAnsi="Times New Roman" w:eastAsia="仿宋_GB2312" w:cs="Times New Roman"/>
          <w:b w:val="0"/>
          <w:bCs w:val="0"/>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b w:val="0"/>
          <w:bCs w:val="0"/>
          <w:color w:val="000000"/>
          <w:kern w:val="0"/>
          <w:sz w:val="32"/>
          <w:szCs w:val="32"/>
          <w:lang w:val="en-US" w:eastAsia="zh-CN" w:bidi="ar-SA"/>
        </w:rPr>
        <w:t>2022年无重大负面舆情，未发生较重大安全事故，干部职工暂未发生违规违纪处理事件。</w:t>
      </w:r>
    </w:p>
    <w:p>
      <w:pPr>
        <w:pStyle w:val="6"/>
        <w:keepNext w:val="0"/>
        <w:keepLines w:val="0"/>
        <w:pageBreakBefore w:val="0"/>
        <w:widowControl w:val="0"/>
        <w:kinsoku/>
        <w:wordWrap/>
        <w:overflowPunct/>
        <w:topLinePunct w:val="0"/>
        <w:autoSpaceDE/>
        <w:bidi w:val="0"/>
        <w:adjustRightInd/>
        <w:snapToGrid/>
        <w:spacing w:line="580" w:lineRule="exact"/>
        <w:jc w:val="both"/>
        <w:rPr>
          <w:rFonts w:hint="eastAsia" w:ascii="Times New Roman" w:hAnsi="Times New Roman" w:eastAsia="仿宋_GB2312" w:cs="Times New Roman"/>
          <w:b w:val="0"/>
          <w:bCs w:val="0"/>
          <w:color w:val="000000"/>
          <w:kern w:val="0"/>
          <w:sz w:val="32"/>
          <w:szCs w:val="32"/>
          <w:lang w:val="en-US" w:eastAsia="zh-CN" w:bidi="ar-SA"/>
        </w:rPr>
      </w:pPr>
      <w:r>
        <w:rPr>
          <w:rFonts w:hint="eastAsia" w:asciiTheme="minorEastAsia" w:hAnsiTheme="minorEastAsia" w:eastAsiaTheme="minorEastAsia" w:cstheme="minorEastAsia"/>
          <w:b w:val="0"/>
          <w:bCs w:val="0"/>
          <w:color w:val="000000"/>
          <w:sz w:val="24"/>
          <w:szCs w:val="24"/>
          <w:lang w:val="en-US" w:eastAsia="zh-CN"/>
        </w:rPr>
        <w:t xml:space="preserve">   </w:t>
      </w:r>
      <w:r>
        <w:rPr>
          <w:rFonts w:hint="eastAsia" w:ascii="Times New Roman" w:hAnsi="Times New Roman" w:eastAsia="仿宋_GB2312" w:cs="Times New Roman"/>
          <w:b/>
          <w:bCs/>
          <w:color w:val="000000"/>
          <w:kern w:val="0"/>
          <w:sz w:val="32"/>
          <w:szCs w:val="32"/>
          <w:lang w:val="en-US" w:eastAsia="zh-CN" w:bidi="ar-SA"/>
        </w:rPr>
        <w:t xml:space="preserve"> 3、时效目标</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：一是优化营商环境，打造最短审批时间；二是所有来信来访及时答复；三是在规定时限内完成整改、销号等任务；四是项目工程按合同时间完成；</w:t>
      </w:r>
      <w:r>
        <w:rPr>
          <w:rFonts w:hint="default" w:ascii="Times New Roman" w:hAnsi="Times New Roman" w:eastAsia="仿宋_GB2312" w:cs="Times New Roman"/>
          <w:b w:val="0"/>
          <w:bCs w:val="0"/>
          <w:color w:val="000000"/>
          <w:kern w:val="0"/>
          <w:sz w:val="32"/>
          <w:szCs w:val="32"/>
          <w:lang w:val="en-US" w:eastAsia="zh-CN" w:bidi="ar-SA"/>
        </w:rPr>
        <w:t>全年本局工作任务</w:t>
      </w:r>
      <w:r>
        <w:rPr>
          <w:rFonts w:hint="eastAsia" w:ascii="Times New Roman" w:hAnsi="Times New Roman" w:eastAsia="仿宋_GB2312" w:cs="Times New Roman"/>
          <w:b w:val="0"/>
          <w:bCs w:val="0"/>
          <w:color w:val="000000"/>
          <w:kern w:val="0"/>
          <w:sz w:val="32"/>
          <w:szCs w:val="32"/>
          <w:lang w:val="en-US" w:eastAsia="zh-CN" w:bidi="ar-SA"/>
        </w:rPr>
        <w:t>在2022年12月末前完成。</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b w:val="0"/>
          <w:bCs w:val="0"/>
          <w:color w:val="000000"/>
          <w:kern w:val="0"/>
          <w:sz w:val="32"/>
          <w:szCs w:val="32"/>
          <w:lang w:val="en-US" w:eastAsia="zh-CN" w:bidi="ar-SA"/>
        </w:rPr>
        <w:t xml:space="preserve">：一是所有来信来访及时答复、完成整改、销号等任务按时完成；二是项目工程及其他工作任务除特殊情况外基本按时完成；三是在全省率先推行土石方许可，各项目开工时间提前了2-3个月时间，打造最短审批时间。   </w:t>
      </w:r>
    </w:p>
    <w:p>
      <w:pPr>
        <w:pStyle w:val="6"/>
        <w:keepNext w:val="0"/>
        <w:keepLines w:val="0"/>
        <w:pageBreakBefore w:val="0"/>
        <w:widowControl w:val="0"/>
        <w:kinsoku/>
        <w:wordWrap/>
        <w:overflowPunct/>
        <w:topLinePunct w:val="0"/>
        <w:autoSpaceDE/>
        <w:bidi w:val="0"/>
        <w:adjustRightInd/>
        <w:snapToGrid/>
        <w:spacing w:line="580" w:lineRule="exact"/>
        <w:ind w:firstLine="640" w:firstLineChars="200"/>
        <w:jc w:val="both"/>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 xml:space="preserve"> </w:t>
      </w:r>
      <w:r>
        <w:rPr>
          <w:rFonts w:hint="eastAsia" w:ascii="Times New Roman" w:hAnsi="Times New Roman" w:eastAsia="仿宋_GB2312" w:cs="Times New Roman"/>
          <w:b/>
          <w:bCs/>
          <w:color w:val="000000"/>
          <w:kern w:val="0"/>
          <w:sz w:val="32"/>
          <w:szCs w:val="32"/>
          <w:lang w:val="en-US" w:eastAsia="zh-CN" w:bidi="ar-SA"/>
        </w:rPr>
        <w:t>4、成本控制</w:t>
      </w:r>
    </w:p>
    <w:p>
      <w:pPr>
        <w:keepNext w:val="0"/>
        <w:keepLines w:val="0"/>
        <w:pageBreakBefore w:val="0"/>
        <w:widowControl w:val="0"/>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目标任务</w:t>
      </w:r>
      <w:r>
        <w:rPr>
          <w:rFonts w:hint="eastAsia" w:ascii="Times New Roman" w:hAnsi="Times New Roman" w:eastAsia="仿宋_GB2312" w:cs="Times New Roman"/>
          <w:b w:val="0"/>
          <w:bCs w:val="0"/>
          <w:color w:val="000000"/>
          <w:kern w:val="0"/>
          <w:sz w:val="32"/>
          <w:szCs w:val="32"/>
          <w:lang w:val="en-US" w:eastAsia="zh-CN" w:bidi="ar-SA"/>
        </w:rPr>
        <w:t>：全年预算资金支出控制在预算内</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实现收支平衡。</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完成情况：</w:t>
      </w:r>
      <w:r>
        <w:rPr>
          <w:rFonts w:hint="eastAsia" w:ascii="Times New Roman" w:hAnsi="Times New Roman" w:eastAsia="仿宋_GB2312" w:cs="Times New Roman"/>
          <w:b w:val="0"/>
          <w:bCs w:val="0"/>
          <w:color w:val="000000"/>
          <w:kern w:val="0"/>
          <w:sz w:val="32"/>
          <w:szCs w:val="32"/>
          <w:lang w:val="en-US" w:eastAsia="zh-CN" w:bidi="ar-SA"/>
        </w:rPr>
        <w:t>2022年度部门收入20857.95万元（当年收入20137.76万元，上年结转720.19万元），部门支出20374.29万元，累计结余483.66万元。局本级收入</w:t>
      </w:r>
      <w:r>
        <w:rPr>
          <w:rFonts w:hint="eastAsia" w:eastAsia="仿宋_GB2312" w:cs="Times New Roman"/>
          <w:b w:val="0"/>
          <w:bCs w:val="0"/>
          <w:color w:val="000000"/>
          <w:kern w:val="0"/>
          <w:sz w:val="32"/>
          <w:szCs w:val="32"/>
          <w:lang w:val="en-US" w:eastAsia="zh-CN" w:bidi="ar-SA"/>
        </w:rPr>
        <w:t>8442.75</w:t>
      </w:r>
      <w:r>
        <w:rPr>
          <w:rFonts w:hint="eastAsia" w:ascii="Times New Roman" w:hAnsi="Times New Roman" w:eastAsia="仿宋_GB2312" w:cs="Times New Roman"/>
          <w:b w:val="0"/>
          <w:bCs w:val="0"/>
          <w:color w:val="000000"/>
          <w:kern w:val="0"/>
          <w:sz w:val="32"/>
          <w:szCs w:val="32"/>
          <w:lang w:val="en-US" w:eastAsia="zh-CN" w:bidi="ar-SA"/>
        </w:rPr>
        <w:t>万元</w:t>
      </w:r>
      <w:r>
        <w:rPr>
          <w:rFonts w:hint="eastAsia" w:eastAsia="仿宋_GB2312" w:cs="Times New Roman"/>
          <w:b w:val="0"/>
          <w:bCs w:val="0"/>
          <w:color w:val="000000"/>
          <w:kern w:val="0"/>
          <w:sz w:val="32"/>
          <w:szCs w:val="32"/>
          <w:lang w:val="en-US" w:eastAsia="zh-CN" w:bidi="ar-SA"/>
        </w:rPr>
        <w:t>（当年收入7887.88万元，上年结转554.87万元），</w:t>
      </w:r>
      <w:r>
        <w:rPr>
          <w:rFonts w:hint="eastAsia" w:ascii="Times New Roman" w:hAnsi="Times New Roman" w:eastAsia="仿宋_GB2312" w:cs="Times New Roman"/>
          <w:b w:val="0"/>
          <w:bCs w:val="0"/>
          <w:color w:val="000000"/>
          <w:kern w:val="0"/>
          <w:sz w:val="32"/>
          <w:szCs w:val="32"/>
          <w:lang w:val="en-US" w:eastAsia="zh-CN" w:bidi="ar-SA"/>
        </w:rPr>
        <w:t>支出8</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073.24万元。</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5、</w:t>
      </w:r>
      <w:r>
        <w:rPr>
          <w:rFonts w:hint="eastAsia" w:ascii="Times New Roman" w:hAnsi="Times New Roman" w:eastAsia="仿宋_GB2312" w:cs="Times New Roman"/>
          <w:b/>
          <w:bCs/>
          <w:color w:val="000000"/>
          <w:kern w:val="0"/>
          <w:sz w:val="32"/>
          <w:szCs w:val="32"/>
          <w:lang w:val="en-US" w:eastAsia="zh-CN" w:bidi="ar-SA"/>
        </w:rPr>
        <w:t>效益及社会公众及服务对象满意度</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3" w:firstLineChars="200"/>
        <w:jc w:val="both"/>
        <w:textAlignment w:val="center"/>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（1）目标任务：</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宋体" w:hAnsi="宋体" w:eastAsia="宋体" w:cs="宋体"/>
          <w:b w:val="0"/>
          <w:bCs w:val="0"/>
          <w:color w:val="000000"/>
          <w:kern w:val="0"/>
          <w:sz w:val="32"/>
          <w:szCs w:val="32"/>
          <w:lang w:val="en-US" w:eastAsia="zh-CN" w:bidi="ar-SA"/>
        </w:rPr>
        <w:t>①</w:t>
      </w:r>
      <w:r>
        <w:rPr>
          <w:rFonts w:hint="eastAsia" w:ascii="Times New Roman" w:hAnsi="Times New Roman" w:eastAsia="仿宋_GB2312" w:cs="Times New Roman"/>
          <w:b w:val="0"/>
          <w:bCs w:val="0"/>
          <w:color w:val="000000"/>
          <w:kern w:val="0"/>
          <w:sz w:val="32"/>
          <w:szCs w:val="32"/>
          <w:lang w:val="en-US" w:eastAsia="zh-CN" w:bidi="ar-SA"/>
        </w:rPr>
        <w:t>社会效益目标任务：一是办好“民生实事”，全力以赴惠民生福祉，具有良好社会效益；二是提振房产市场，化解市场风险，维护社会稳定；三是加快建筑产业转型升级，大力推广绿色建筑，稳步提高建筑业发展质量和效益；四是加速城市建设，完成市委、市政府重点工作部署；五是突出自建房整治，落实监管责任，为民筑起安全防线；六是加速改革创新，提升政务服务质效性。</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lang w:val="en-US" w:eastAsia="zh-CN"/>
        </w:rPr>
      </w:pPr>
      <w:r>
        <w:rPr>
          <w:rFonts w:hint="eastAsia" w:ascii="宋体" w:hAnsi="宋体" w:eastAsia="宋体" w:cs="宋体"/>
          <w:b w:val="0"/>
          <w:bCs w:val="0"/>
          <w:color w:val="000000"/>
          <w:kern w:val="0"/>
          <w:sz w:val="32"/>
          <w:szCs w:val="32"/>
          <w:lang w:val="en-US" w:eastAsia="zh-CN" w:bidi="ar-SA"/>
        </w:rPr>
        <w:t>②</w:t>
      </w:r>
      <w:r>
        <w:rPr>
          <w:rFonts w:hint="eastAsia" w:ascii="Times New Roman" w:hAnsi="Times New Roman" w:eastAsia="仿宋_GB2312" w:cs="Times New Roman"/>
          <w:b w:val="0"/>
          <w:bCs w:val="0"/>
          <w:color w:val="000000"/>
          <w:kern w:val="0"/>
          <w:sz w:val="32"/>
          <w:szCs w:val="32"/>
          <w:lang w:val="en-US" w:eastAsia="zh-CN" w:bidi="ar-SA"/>
        </w:rPr>
        <w:t>环境效益目标任务：一是环保整改任务完成；二是大力推广绿色建材应用；三是加强城镇环境综合整治。</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宋体" w:hAnsi="宋体" w:eastAsia="宋体" w:cs="宋体"/>
          <w:b w:val="0"/>
          <w:bCs w:val="0"/>
          <w:color w:val="000000"/>
          <w:kern w:val="0"/>
          <w:sz w:val="32"/>
          <w:szCs w:val="32"/>
          <w:lang w:val="en-US" w:eastAsia="zh-CN" w:bidi="ar-SA"/>
        </w:rPr>
        <w:t>③</w:t>
      </w:r>
      <w:r>
        <w:rPr>
          <w:rFonts w:hint="eastAsia" w:ascii="Times New Roman" w:hAnsi="Times New Roman" w:eastAsia="仿宋_GB2312" w:cs="Times New Roman"/>
          <w:b w:val="0"/>
          <w:bCs w:val="0"/>
          <w:color w:val="000000"/>
          <w:kern w:val="0"/>
          <w:sz w:val="32"/>
          <w:szCs w:val="32"/>
          <w:lang w:val="en-US" w:eastAsia="zh-CN" w:bidi="ar-SA"/>
        </w:rPr>
        <w:t>可持续影响目标任务：</w:t>
      </w:r>
      <w:r>
        <w:rPr>
          <w:rFonts w:hint="default" w:ascii="Times New Roman" w:hAnsi="Times New Roman" w:eastAsia="仿宋_GB2312" w:cs="Times New Roman"/>
          <w:b w:val="0"/>
          <w:bCs w:val="0"/>
          <w:color w:val="000000"/>
          <w:kern w:val="0"/>
          <w:sz w:val="32"/>
          <w:szCs w:val="32"/>
          <w:lang w:val="en-US" w:eastAsia="zh-CN" w:bidi="ar-SA"/>
        </w:rPr>
        <w:t>办民生实事</w:t>
      </w:r>
      <w:r>
        <w:rPr>
          <w:rFonts w:hint="eastAsia" w:ascii="Times New Roman" w:hAnsi="Times New Roman" w:eastAsia="仿宋_GB2312" w:cs="Times New Roman"/>
          <w:b w:val="0"/>
          <w:bCs w:val="0"/>
          <w:color w:val="000000"/>
          <w:kern w:val="0"/>
          <w:sz w:val="32"/>
          <w:szCs w:val="32"/>
          <w:lang w:val="en-US" w:eastAsia="zh-CN" w:bidi="ar-SA"/>
        </w:rPr>
        <w:t>、</w:t>
      </w:r>
      <w:r>
        <w:rPr>
          <w:rFonts w:hint="default" w:ascii="Times New Roman" w:hAnsi="Times New Roman" w:eastAsia="仿宋_GB2312" w:cs="Times New Roman"/>
          <w:b w:val="0"/>
          <w:bCs w:val="0"/>
          <w:color w:val="000000"/>
          <w:kern w:val="0"/>
          <w:sz w:val="32"/>
          <w:szCs w:val="32"/>
          <w:lang w:val="en-US" w:eastAsia="zh-CN" w:bidi="ar-SA"/>
        </w:rPr>
        <w:t>农村危房改造</w:t>
      </w:r>
      <w:r>
        <w:rPr>
          <w:rFonts w:hint="eastAsia" w:ascii="Times New Roman" w:hAnsi="Times New Roman" w:eastAsia="仿宋_GB2312" w:cs="Times New Roman"/>
          <w:b w:val="0"/>
          <w:bCs w:val="0"/>
          <w:color w:val="000000"/>
          <w:kern w:val="0"/>
          <w:sz w:val="32"/>
          <w:szCs w:val="32"/>
          <w:lang w:val="en-US" w:eastAsia="zh-CN" w:bidi="ar-SA"/>
        </w:rPr>
        <w:t>、</w:t>
      </w:r>
      <w:r>
        <w:rPr>
          <w:rFonts w:hint="default" w:ascii="Times New Roman" w:hAnsi="Times New Roman" w:eastAsia="仿宋_GB2312" w:cs="Times New Roman"/>
          <w:b w:val="0"/>
          <w:bCs w:val="0"/>
          <w:color w:val="000000"/>
          <w:kern w:val="0"/>
          <w:sz w:val="32"/>
          <w:szCs w:val="32"/>
          <w:lang w:val="en-US" w:eastAsia="zh-CN" w:bidi="ar-SA"/>
        </w:rPr>
        <w:t>加强城镇环境综合整治</w:t>
      </w:r>
      <w:r>
        <w:rPr>
          <w:rFonts w:hint="eastAsia" w:ascii="Times New Roman" w:hAnsi="Times New Roman" w:eastAsia="仿宋_GB2312" w:cs="Times New Roman"/>
          <w:b w:val="0"/>
          <w:bCs w:val="0"/>
          <w:color w:val="000000"/>
          <w:kern w:val="0"/>
          <w:sz w:val="32"/>
          <w:szCs w:val="32"/>
          <w:lang w:val="en-US" w:eastAsia="zh-CN" w:bidi="ar-SA"/>
        </w:rPr>
        <w:t>、</w:t>
      </w:r>
      <w:r>
        <w:rPr>
          <w:rFonts w:hint="default" w:ascii="Times New Roman" w:hAnsi="Times New Roman" w:eastAsia="仿宋_GB2312" w:cs="Times New Roman"/>
          <w:b w:val="0"/>
          <w:bCs w:val="0"/>
          <w:color w:val="000000"/>
          <w:kern w:val="0"/>
          <w:sz w:val="32"/>
          <w:szCs w:val="32"/>
          <w:lang w:val="en-US" w:eastAsia="zh-CN" w:bidi="ar-SA"/>
        </w:rPr>
        <w:t>推广绿色建筑</w:t>
      </w:r>
      <w:r>
        <w:rPr>
          <w:rFonts w:hint="eastAsia" w:ascii="Times New Roman" w:hAnsi="Times New Roman" w:eastAsia="仿宋_GB2312" w:cs="Times New Roman"/>
          <w:b w:val="0"/>
          <w:bCs w:val="0"/>
          <w:color w:val="000000"/>
          <w:kern w:val="0"/>
          <w:sz w:val="32"/>
          <w:szCs w:val="32"/>
          <w:lang w:val="en-US" w:eastAsia="zh-CN" w:bidi="ar-SA"/>
        </w:rPr>
        <w:t>，推动建筑业持续发展可持续影响。</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④社会公众或服务对象满意度目标：一是议案回复满意率95%以上；二是信访办结回复满意率90%以上</w:t>
      </w:r>
      <w:r>
        <w:rPr>
          <w:rFonts w:hint="eastAsia" w:eastAsia="仿宋_GB2312" w:cs="Times New Roman"/>
          <w:b w:val="0"/>
          <w:bCs w:val="0"/>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leftChars="200"/>
        <w:jc w:val="both"/>
        <w:textAlignment w:val="center"/>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（2）完成情况</w:t>
      </w:r>
    </w:p>
    <w:p>
      <w:pPr>
        <w:keepNext w:val="0"/>
        <w:keepLines w:val="0"/>
        <w:pageBreakBefore w:val="0"/>
        <w:widowControl w:val="0"/>
        <w:numPr>
          <w:ilvl w:val="0"/>
          <w:numId w:val="0"/>
        </w:numPr>
        <w:kinsoku/>
        <w:wordWrap/>
        <w:overflowPunct/>
        <w:topLinePunct w:val="0"/>
        <w:autoSpaceDE/>
        <w:autoSpaceDN w:val="0"/>
        <w:bidi w:val="0"/>
        <w:adjustRightInd/>
        <w:snapToGrid/>
        <w:spacing w:line="580" w:lineRule="exact"/>
        <w:ind w:firstLine="640" w:firstLineChars="200"/>
        <w:jc w:val="both"/>
        <w:textAlignment w:val="center"/>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社会效益、经济效益良好，议案回复满意率95%以上，信访办结回复满意率90%以上</w:t>
      </w:r>
      <w:r>
        <w:rPr>
          <w:rFonts w:hint="eastAsia" w:eastAsia="仿宋_GB2312" w:cs="Times New Roman"/>
          <w:b w:val="0"/>
          <w:bCs w:val="0"/>
          <w:color w:val="000000"/>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210" w:leftChars="0"/>
        <w:jc w:val="both"/>
        <w:textAlignment w:val="auto"/>
        <w:rPr>
          <w:rFonts w:hint="eastAsia" w:eastAsia="楷体_GB2312" w:cs="Times New Roman"/>
          <w:b/>
          <w:kern w:val="2"/>
          <w:sz w:val="32"/>
          <w:szCs w:val="32"/>
          <w:lang w:val="en-US" w:eastAsia="zh-CN" w:bidi="ar-SA"/>
        </w:rPr>
      </w:pPr>
      <w:r>
        <w:rPr>
          <w:rFonts w:hint="eastAsia" w:eastAsia="楷体_GB2312" w:cs="Times New Roman"/>
          <w:b/>
          <w:kern w:val="2"/>
          <w:sz w:val="32"/>
          <w:szCs w:val="32"/>
          <w:lang w:val="en-US" w:eastAsia="zh-CN" w:bidi="ar-SA"/>
        </w:rPr>
        <w:t>（三）内部管理与控制情况分析</w:t>
      </w:r>
    </w:p>
    <w:p>
      <w:pPr>
        <w:pStyle w:val="12"/>
        <w:numPr>
          <w:ilvl w:val="0"/>
          <w:numId w:val="3"/>
        </w:numPr>
        <w:ind w:left="630" w:leftChars="0" w:firstLine="0" w:firstLineChars="0"/>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制度建设情况</w:t>
      </w:r>
    </w:p>
    <w:p>
      <w:pPr>
        <w:pStyle w:val="12"/>
        <w:numPr>
          <w:ilvl w:val="0"/>
          <w:numId w:val="0"/>
        </w:numPr>
        <w:ind w:left="63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2022年度我局修订出台《</w:t>
      </w:r>
      <w:r>
        <w:rPr>
          <w:rFonts w:hint="eastAsia" w:ascii="仿宋_GB2312" w:hAnsi="仿宋_GB2312" w:eastAsia="仿宋_GB2312" w:cs="仿宋_GB2312"/>
          <w:sz w:val="32"/>
          <w:szCs w:val="32"/>
          <w:lang w:val="en-US" w:eastAsia="zh-CN"/>
        </w:rPr>
        <w:t>岳阳市住房和城乡建设局财务</w:t>
      </w:r>
    </w:p>
    <w:p>
      <w:pPr>
        <w:pStyle w:val="12"/>
        <w:numPr>
          <w:ilvl w:val="0"/>
          <w:numId w:val="0"/>
        </w:numPr>
        <w:rPr>
          <w:rFonts w:hint="default" w:ascii="Times New Roman" w:hAnsi="Times New Roman" w:eastAsia="仿宋_GB2312" w:cs="Times New Roman"/>
          <w:b w:val="0"/>
          <w:bCs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管理制度</w:t>
      </w:r>
      <w:r>
        <w:rPr>
          <w:rFonts w:hint="eastAsia" w:ascii="仿宋_GB2312" w:hAnsi="仿宋_GB2312" w:eastAsia="仿宋_GB2312" w:cs="仿宋_GB2312"/>
          <w:b w:val="0"/>
          <w:bCs w:val="0"/>
          <w:color w:val="000000"/>
          <w:kern w:val="0"/>
          <w:sz w:val="32"/>
          <w:szCs w:val="32"/>
          <w:lang w:val="en-US" w:eastAsia="zh-CN" w:bidi="ar-SA"/>
        </w:rPr>
        <w:t>》《</w:t>
      </w:r>
      <w:r>
        <w:rPr>
          <w:rFonts w:hint="eastAsia" w:ascii="仿宋_GB2312" w:hAnsi="仿宋_GB2312" w:eastAsia="仿宋_GB2312" w:cs="仿宋_GB2312"/>
          <w:sz w:val="32"/>
          <w:szCs w:val="32"/>
        </w:rPr>
        <w:t>岳阳市住房和城乡建设局公用经费支出管理办法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岳阳市住房和城乡建设局内部审计工作管理办法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岳阳市住房和城乡建设局固定资产管理规定</w:t>
      </w:r>
      <w:r>
        <w:rPr>
          <w:rFonts w:hint="eastAsia" w:ascii="仿宋_GB2312" w:hAnsi="仿宋_GB2312" w:eastAsia="仿宋_GB2312" w:cs="仿宋_GB2312"/>
          <w:sz w:val="32"/>
          <w:szCs w:val="32"/>
          <w:lang w:eastAsia="zh-CN"/>
        </w:rPr>
        <w:t>》等内控制度，</w:t>
      </w:r>
      <w:r>
        <w:rPr>
          <w:rFonts w:hint="eastAsia" w:ascii="Times New Roman" w:hAnsi="Times New Roman" w:eastAsia="仿宋_GB2312" w:cs="Times New Roman"/>
          <w:color w:val="000000"/>
          <w:kern w:val="0"/>
          <w:sz w:val="32"/>
          <w:szCs w:val="32"/>
          <w:lang w:val="en-US" w:eastAsia="zh-CN" w:bidi="ar-SA"/>
        </w:rPr>
        <w:t>通过制度建设，</w:t>
      </w:r>
      <w:r>
        <w:rPr>
          <w:rFonts w:hint="eastAsia" w:ascii="仿宋" w:hAnsi="仿宋" w:eastAsia="仿宋"/>
          <w:sz w:val="32"/>
          <w:szCs w:val="24"/>
          <w:highlight w:val="white"/>
          <w:lang w:val="en-US" w:eastAsia="zh-CN"/>
        </w:rPr>
        <w:t>进一步加强单位内部管理，规范财经秩序，降低财务风险，过好“紧日子”。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SA"/>
        </w:rPr>
      </w:pPr>
      <w:r>
        <w:rPr>
          <w:rFonts w:hint="eastAsia" w:eastAsia="仿宋_GB2312" w:cs="Times New Roman"/>
          <w:b/>
          <w:bCs/>
          <w:color w:val="000000"/>
          <w:kern w:val="0"/>
          <w:sz w:val="32"/>
          <w:szCs w:val="32"/>
          <w:lang w:val="en-US" w:eastAsia="zh-CN" w:bidi="ar-SA"/>
        </w:rPr>
        <w:t>2、</w:t>
      </w:r>
      <w:r>
        <w:rPr>
          <w:rFonts w:hint="eastAsia" w:ascii="Times New Roman" w:hAnsi="Times New Roman" w:eastAsia="仿宋_GB2312" w:cs="Times New Roman"/>
          <w:b/>
          <w:bCs/>
          <w:color w:val="000000"/>
          <w:kern w:val="0"/>
          <w:sz w:val="32"/>
          <w:szCs w:val="32"/>
          <w:lang w:val="en-US" w:eastAsia="zh-CN" w:bidi="ar-SA"/>
        </w:rPr>
        <w:t>部分资金使用及管理情况分析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（1）三公经费使用和管理情况分析：2022年</w:t>
      </w:r>
      <w:r>
        <w:rPr>
          <w:rFonts w:hint="eastAsia" w:eastAsia="仿宋_GB2312" w:cs="Times New Roman"/>
          <w:b w:val="0"/>
          <w:bCs w:val="0"/>
          <w:color w:val="000000"/>
          <w:kern w:val="0"/>
          <w:sz w:val="32"/>
          <w:szCs w:val="32"/>
          <w:lang w:val="en-US" w:eastAsia="zh-CN" w:bidi="ar-SA"/>
        </w:rPr>
        <w:t>度部门</w:t>
      </w:r>
      <w:r>
        <w:rPr>
          <w:rFonts w:hint="eastAsia" w:ascii="Times New Roman" w:hAnsi="Times New Roman" w:eastAsia="仿宋_GB2312" w:cs="Times New Roman"/>
          <w:b w:val="0"/>
          <w:bCs w:val="0"/>
          <w:color w:val="000000"/>
          <w:kern w:val="0"/>
          <w:sz w:val="32"/>
          <w:szCs w:val="32"/>
          <w:lang w:val="en-US" w:eastAsia="zh-CN" w:bidi="ar-SA"/>
        </w:rPr>
        <w:t>三公经费总预算</w:t>
      </w:r>
      <w:r>
        <w:rPr>
          <w:rFonts w:hint="eastAsia" w:eastAsia="仿宋_GB2312" w:cs="Times New Roman"/>
          <w:b w:val="0"/>
          <w:bCs w:val="0"/>
          <w:color w:val="000000"/>
          <w:kern w:val="0"/>
          <w:sz w:val="32"/>
          <w:szCs w:val="32"/>
          <w:lang w:val="en-US" w:eastAsia="zh-CN" w:bidi="ar-SA"/>
        </w:rPr>
        <w:t>44</w:t>
      </w:r>
      <w:r>
        <w:rPr>
          <w:rFonts w:hint="eastAsia" w:ascii="Times New Roman" w:hAnsi="Times New Roman" w:eastAsia="仿宋_GB2312" w:cs="Times New Roman"/>
          <w:b w:val="0"/>
          <w:bCs w:val="0"/>
          <w:color w:val="000000"/>
          <w:kern w:val="0"/>
          <w:sz w:val="32"/>
          <w:szCs w:val="32"/>
          <w:lang w:val="en-US" w:eastAsia="zh-CN" w:bidi="ar-SA"/>
        </w:rPr>
        <w:t>万元，其中</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公务接待费预算</w:t>
      </w:r>
      <w:r>
        <w:rPr>
          <w:rFonts w:hint="eastAsia" w:eastAsia="仿宋_GB2312" w:cs="Times New Roman"/>
          <w:b w:val="0"/>
          <w:bCs w:val="0"/>
          <w:color w:val="000000"/>
          <w:kern w:val="0"/>
          <w:sz w:val="32"/>
          <w:szCs w:val="32"/>
          <w:lang w:val="en-US" w:eastAsia="zh-CN" w:bidi="ar-SA"/>
        </w:rPr>
        <w:t>17</w:t>
      </w:r>
      <w:r>
        <w:rPr>
          <w:rFonts w:hint="eastAsia" w:ascii="Times New Roman" w:hAnsi="Times New Roman" w:eastAsia="仿宋_GB2312" w:cs="Times New Roman"/>
          <w:b w:val="0"/>
          <w:bCs w:val="0"/>
          <w:color w:val="000000"/>
          <w:kern w:val="0"/>
          <w:sz w:val="32"/>
          <w:szCs w:val="32"/>
          <w:lang w:val="en-US" w:eastAsia="zh-CN" w:bidi="ar-SA"/>
        </w:rPr>
        <w:t>万元，公务用车运维费预算</w:t>
      </w:r>
      <w:r>
        <w:rPr>
          <w:rFonts w:hint="eastAsia" w:eastAsia="仿宋_GB2312" w:cs="Times New Roman"/>
          <w:b w:val="0"/>
          <w:bCs w:val="0"/>
          <w:color w:val="000000"/>
          <w:kern w:val="0"/>
          <w:sz w:val="32"/>
          <w:szCs w:val="32"/>
          <w:lang w:val="en-US" w:eastAsia="zh-CN" w:bidi="ar-SA"/>
        </w:rPr>
        <w:t>18</w:t>
      </w:r>
      <w:r>
        <w:rPr>
          <w:rFonts w:hint="eastAsia" w:ascii="Times New Roman" w:hAnsi="Times New Roman" w:eastAsia="仿宋_GB2312" w:cs="Times New Roman"/>
          <w:b w:val="0"/>
          <w:bCs w:val="0"/>
          <w:color w:val="000000"/>
          <w:kern w:val="0"/>
          <w:sz w:val="32"/>
          <w:szCs w:val="32"/>
          <w:lang w:val="en-US" w:eastAsia="zh-CN" w:bidi="ar-SA"/>
        </w:rPr>
        <w:t>万元，因公出国</w:t>
      </w:r>
      <w:r>
        <w:rPr>
          <w:rFonts w:hint="eastAsia" w:eastAsia="仿宋_GB2312" w:cs="Times New Roman"/>
          <w:b w:val="0"/>
          <w:bCs w:val="0"/>
          <w:color w:val="000000"/>
          <w:kern w:val="0"/>
          <w:sz w:val="32"/>
          <w:szCs w:val="32"/>
          <w:lang w:val="en-US" w:eastAsia="zh-CN" w:bidi="ar-SA"/>
        </w:rPr>
        <w:t>（境）</w:t>
      </w:r>
      <w:r>
        <w:rPr>
          <w:rFonts w:hint="eastAsia" w:ascii="Times New Roman" w:hAnsi="Times New Roman" w:eastAsia="仿宋_GB2312" w:cs="Times New Roman"/>
          <w:b w:val="0"/>
          <w:bCs w:val="0"/>
          <w:color w:val="000000"/>
          <w:kern w:val="0"/>
          <w:sz w:val="32"/>
          <w:szCs w:val="32"/>
          <w:lang w:val="en-US" w:eastAsia="zh-CN" w:bidi="ar-SA"/>
        </w:rPr>
        <w:t>费</w:t>
      </w:r>
      <w:r>
        <w:rPr>
          <w:rFonts w:hint="eastAsia" w:eastAsia="仿宋_GB2312" w:cs="Times New Roman"/>
          <w:b w:val="0"/>
          <w:bCs w:val="0"/>
          <w:color w:val="000000"/>
          <w:kern w:val="0"/>
          <w:sz w:val="32"/>
          <w:szCs w:val="32"/>
          <w:lang w:val="en-US" w:eastAsia="zh-CN" w:bidi="ar-SA"/>
        </w:rPr>
        <w:t>9</w:t>
      </w:r>
      <w:r>
        <w:rPr>
          <w:rFonts w:hint="eastAsia" w:ascii="Times New Roman" w:hAnsi="Times New Roman" w:eastAsia="仿宋_GB2312" w:cs="Times New Roman"/>
          <w:b w:val="0"/>
          <w:bCs w:val="0"/>
          <w:color w:val="000000"/>
          <w:kern w:val="0"/>
          <w:sz w:val="32"/>
          <w:szCs w:val="32"/>
          <w:lang w:val="en-US" w:eastAsia="zh-CN" w:bidi="ar-SA"/>
        </w:rPr>
        <w:t>万元；实际支出合计</w:t>
      </w:r>
      <w:r>
        <w:rPr>
          <w:rFonts w:hint="default" w:ascii="Times New Roman" w:hAnsi="Times New Roman" w:eastAsia="仿宋_GB2312" w:cs="Times New Roman"/>
          <w:b w:val="0"/>
          <w:bCs w:val="0"/>
          <w:color w:val="000000"/>
          <w:kern w:val="0"/>
          <w:sz w:val="32"/>
          <w:szCs w:val="32"/>
          <w:lang w:val="en-US" w:eastAsia="zh-CN" w:bidi="ar-SA"/>
        </w:rPr>
        <w:t>19.36</w:t>
      </w:r>
      <w:r>
        <w:rPr>
          <w:rFonts w:hint="eastAsia" w:ascii="Times New Roman" w:hAnsi="Times New Roman" w:eastAsia="仿宋_GB2312" w:cs="Times New Roman"/>
          <w:b w:val="0"/>
          <w:bCs w:val="0"/>
          <w:color w:val="000000"/>
          <w:kern w:val="0"/>
          <w:sz w:val="32"/>
          <w:szCs w:val="32"/>
          <w:lang w:val="en-US" w:eastAsia="zh-CN" w:bidi="ar-SA"/>
        </w:rPr>
        <w:t>万元，其中</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公务接待费支出</w:t>
      </w:r>
      <w:r>
        <w:rPr>
          <w:rFonts w:hint="default" w:ascii="Times New Roman" w:hAnsi="Times New Roman" w:eastAsia="仿宋_GB2312" w:cs="Times New Roman"/>
          <w:b w:val="0"/>
          <w:bCs w:val="0"/>
          <w:color w:val="000000"/>
          <w:kern w:val="0"/>
          <w:sz w:val="32"/>
          <w:szCs w:val="32"/>
          <w:lang w:val="en-US" w:eastAsia="zh-CN" w:bidi="ar-SA"/>
        </w:rPr>
        <w:t>2.85</w:t>
      </w:r>
      <w:r>
        <w:rPr>
          <w:rFonts w:hint="eastAsia" w:ascii="Times New Roman" w:hAnsi="Times New Roman" w:eastAsia="仿宋_GB2312" w:cs="Times New Roman"/>
          <w:b w:val="0"/>
          <w:bCs w:val="0"/>
          <w:color w:val="000000"/>
          <w:kern w:val="0"/>
          <w:sz w:val="32"/>
          <w:szCs w:val="32"/>
          <w:lang w:val="en-US" w:eastAsia="zh-CN" w:bidi="ar-SA"/>
        </w:rPr>
        <w:t>万元，公务用车运</w:t>
      </w:r>
      <w:r>
        <w:rPr>
          <w:rFonts w:hint="eastAsia" w:eastAsia="仿宋_GB2312" w:cs="Times New Roman"/>
          <w:b w:val="0"/>
          <w:bCs w:val="0"/>
          <w:color w:val="000000"/>
          <w:kern w:val="0"/>
          <w:sz w:val="32"/>
          <w:szCs w:val="32"/>
          <w:lang w:val="en-US" w:eastAsia="zh-CN" w:bidi="ar-SA"/>
        </w:rPr>
        <w:t>行</w:t>
      </w:r>
      <w:r>
        <w:rPr>
          <w:rFonts w:hint="eastAsia" w:ascii="Times New Roman" w:hAnsi="Times New Roman" w:eastAsia="仿宋_GB2312" w:cs="Times New Roman"/>
          <w:b w:val="0"/>
          <w:bCs w:val="0"/>
          <w:color w:val="000000"/>
          <w:kern w:val="0"/>
          <w:sz w:val="32"/>
          <w:szCs w:val="32"/>
          <w:lang w:val="en-US" w:eastAsia="zh-CN" w:bidi="ar-SA"/>
        </w:rPr>
        <w:t>费16.51万元，因公出国费0万元；总预算控制率</w:t>
      </w:r>
      <w:r>
        <w:rPr>
          <w:rFonts w:hint="eastAsia" w:eastAsia="仿宋_GB2312" w:cs="Times New Roman"/>
          <w:b w:val="0"/>
          <w:bCs w:val="0"/>
          <w:color w:val="000000"/>
          <w:kern w:val="0"/>
          <w:sz w:val="32"/>
          <w:szCs w:val="32"/>
          <w:lang w:val="en-US" w:eastAsia="zh-CN" w:bidi="ar-SA"/>
        </w:rPr>
        <w:t>44</w:t>
      </w:r>
      <w:r>
        <w:rPr>
          <w:rFonts w:hint="eastAsia" w:ascii="Times New Roman" w:hAnsi="Times New Roman" w:eastAsia="仿宋_GB2312" w:cs="Times New Roman"/>
          <w:b w:val="0"/>
          <w:bCs w:val="0"/>
          <w:color w:val="000000"/>
          <w:kern w:val="0"/>
          <w:sz w:val="32"/>
          <w:szCs w:val="32"/>
          <w:lang w:val="en-US" w:eastAsia="zh-CN" w:bidi="ar-SA"/>
        </w:rPr>
        <w:t>%,</w:t>
      </w:r>
      <w:r>
        <w:rPr>
          <w:rFonts w:hint="eastAsia" w:eastAsia="仿宋_GB2312" w:cs="Times New Roman"/>
          <w:b w:val="0"/>
          <w:bCs w:val="0"/>
          <w:color w:val="000000"/>
          <w:kern w:val="0"/>
          <w:sz w:val="32"/>
          <w:szCs w:val="32"/>
          <w:lang w:val="en-US" w:eastAsia="zh-CN" w:bidi="ar-SA"/>
        </w:rPr>
        <w:t>部门总体</w:t>
      </w:r>
      <w:r>
        <w:rPr>
          <w:rFonts w:hint="eastAsia" w:ascii="Times New Roman" w:hAnsi="Times New Roman" w:eastAsia="仿宋_GB2312" w:cs="Times New Roman"/>
          <w:b w:val="0"/>
          <w:bCs w:val="0"/>
          <w:color w:val="000000"/>
          <w:kern w:val="0"/>
          <w:sz w:val="32"/>
          <w:szCs w:val="32"/>
          <w:lang w:val="en-US" w:eastAsia="zh-CN" w:bidi="ar-SA"/>
        </w:rPr>
        <w:t>三公经费预算控制较好。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局</w:t>
      </w:r>
      <w:r>
        <w:rPr>
          <w:rFonts w:hint="eastAsia" w:eastAsia="仿宋_GB2312" w:cs="Times New Roman"/>
          <w:b w:val="0"/>
          <w:bCs w:val="0"/>
          <w:color w:val="000000"/>
          <w:kern w:val="0"/>
          <w:sz w:val="32"/>
          <w:szCs w:val="32"/>
          <w:lang w:val="en-US" w:eastAsia="zh-CN" w:bidi="ar-SA"/>
        </w:rPr>
        <w:t>本级2022年度</w:t>
      </w:r>
      <w:r>
        <w:rPr>
          <w:rFonts w:hint="eastAsia" w:ascii="Times New Roman" w:hAnsi="Times New Roman" w:eastAsia="仿宋_GB2312" w:cs="Times New Roman"/>
          <w:b w:val="0"/>
          <w:bCs w:val="0"/>
          <w:color w:val="000000"/>
          <w:kern w:val="0"/>
          <w:sz w:val="32"/>
          <w:szCs w:val="32"/>
          <w:lang w:val="en-US" w:eastAsia="zh-CN" w:bidi="ar-SA"/>
        </w:rPr>
        <w:t>三公经费</w:t>
      </w:r>
      <w:r>
        <w:rPr>
          <w:rFonts w:hint="eastAsia" w:eastAsia="仿宋_GB2312" w:cs="Times New Roman"/>
          <w:b w:val="0"/>
          <w:bCs w:val="0"/>
          <w:color w:val="000000"/>
          <w:kern w:val="0"/>
          <w:sz w:val="32"/>
          <w:szCs w:val="32"/>
          <w:lang w:val="en-US" w:eastAsia="zh-CN" w:bidi="ar-SA"/>
        </w:rPr>
        <w:t>预算33.00万元，</w:t>
      </w:r>
      <w:r>
        <w:rPr>
          <w:rFonts w:hint="eastAsia" w:ascii="Times New Roman" w:hAnsi="Times New Roman" w:eastAsia="仿宋_GB2312" w:cs="Times New Roman"/>
          <w:b w:val="0"/>
          <w:bCs w:val="0"/>
          <w:color w:val="000000"/>
          <w:kern w:val="0"/>
          <w:sz w:val="32"/>
          <w:szCs w:val="32"/>
          <w:lang w:val="en-US" w:eastAsia="zh-CN" w:bidi="ar-SA"/>
        </w:rPr>
        <w:t>其中</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公务接待费</w:t>
      </w:r>
      <w:r>
        <w:rPr>
          <w:rFonts w:hint="eastAsia" w:eastAsia="仿宋_GB2312" w:cs="Times New Roman"/>
          <w:b w:val="0"/>
          <w:bCs w:val="0"/>
          <w:color w:val="000000"/>
          <w:kern w:val="0"/>
          <w:sz w:val="32"/>
          <w:szCs w:val="32"/>
          <w:lang w:val="en-US" w:eastAsia="zh-CN" w:bidi="ar-SA"/>
        </w:rPr>
        <w:t>15</w:t>
      </w:r>
      <w:r>
        <w:rPr>
          <w:rFonts w:hint="eastAsia" w:ascii="Times New Roman" w:hAnsi="Times New Roman" w:eastAsia="仿宋_GB2312" w:cs="Times New Roman"/>
          <w:b w:val="0"/>
          <w:bCs w:val="0"/>
          <w:color w:val="000000"/>
          <w:kern w:val="0"/>
          <w:sz w:val="32"/>
          <w:szCs w:val="32"/>
          <w:lang w:val="en-US" w:eastAsia="zh-CN" w:bidi="ar-SA"/>
        </w:rPr>
        <w:t>万元，公务用车运维费</w:t>
      </w:r>
      <w:r>
        <w:rPr>
          <w:rFonts w:hint="eastAsia" w:eastAsia="仿宋_GB2312" w:cs="Times New Roman"/>
          <w:b w:val="0"/>
          <w:bCs w:val="0"/>
          <w:color w:val="000000"/>
          <w:kern w:val="0"/>
          <w:sz w:val="32"/>
          <w:szCs w:val="32"/>
          <w:lang w:val="en-US" w:eastAsia="zh-CN" w:bidi="ar-SA"/>
        </w:rPr>
        <w:t>9</w:t>
      </w:r>
      <w:r>
        <w:rPr>
          <w:rFonts w:hint="eastAsia" w:ascii="Times New Roman" w:hAnsi="Times New Roman" w:eastAsia="仿宋_GB2312" w:cs="Times New Roman"/>
          <w:b w:val="0"/>
          <w:bCs w:val="0"/>
          <w:color w:val="000000"/>
          <w:kern w:val="0"/>
          <w:sz w:val="32"/>
          <w:szCs w:val="32"/>
          <w:lang w:val="en-US" w:eastAsia="zh-CN" w:bidi="ar-SA"/>
        </w:rPr>
        <w:t>万元，因公出国</w:t>
      </w:r>
      <w:r>
        <w:rPr>
          <w:rFonts w:hint="eastAsia" w:eastAsia="仿宋_GB2312" w:cs="Times New Roman"/>
          <w:b w:val="0"/>
          <w:bCs w:val="0"/>
          <w:color w:val="000000"/>
          <w:kern w:val="0"/>
          <w:sz w:val="32"/>
          <w:szCs w:val="32"/>
          <w:lang w:val="en-US" w:eastAsia="zh-CN" w:bidi="ar-SA"/>
        </w:rPr>
        <w:t>（境）</w:t>
      </w:r>
      <w:r>
        <w:rPr>
          <w:rFonts w:hint="eastAsia" w:ascii="Times New Roman" w:hAnsi="Times New Roman" w:eastAsia="仿宋_GB2312" w:cs="Times New Roman"/>
          <w:b w:val="0"/>
          <w:bCs w:val="0"/>
          <w:color w:val="000000"/>
          <w:kern w:val="0"/>
          <w:sz w:val="32"/>
          <w:szCs w:val="32"/>
          <w:lang w:val="en-US" w:eastAsia="zh-CN" w:bidi="ar-SA"/>
        </w:rPr>
        <w:t>费</w:t>
      </w:r>
      <w:r>
        <w:rPr>
          <w:rFonts w:hint="eastAsia" w:eastAsia="仿宋_GB2312" w:cs="Times New Roman"/>
          <w:b w:val="0"/>
          <w:bCs w:val="0"/>
          <w:color w:val="000000"/>
          <w:kern w:val="0"/>
          <w:sz w:val="32"/>
          <w:szCs w:val="32"/>
          <w:lang w:val="en-US" w:eastAsia="zh-CN" w:bidi="ar-SA"/>
        </w:rPr>
        <w:t>9</w:t>
      </w:r>
      <w:r>
        <w:rPr>
          <w:rFonts w:hint="eastAsia" w:ascii="Times New Roman" w:hAnsi="Times New Roman" w:eastAsia="仿宋_GB2312" w:cs="Times New Roman"/>
          <w:b w:val="0"/>
          <w:bCs w:val="0"/>
          <w:color w:val="000000"/>
          <w:kern w:val="0"/>
          <w:sz w:val="32"/>
          <w:szCs w:val="32"/>
          <w:lang w:val="en-US" w:eastAsia="zh-CN" w:bidi="ar-SA"/>
        </w:rPr>
        <w:t>万元</w:t>
      </w:r>
      <w:r>
        <w:rPr>
          <w:rFonts w:hint="eastAsia" w:eastAsia="仿宋_GB2312" w:cs="Times New Roman"/>
          <w:b w:val="0"/>
          <w:bCs w:val="0"/>
          <w:color w:val="000000"/>
          <w:kern w:val="0"/>
          <w:sz w:val="32"/>
          <w:szCs w:val="32"/>
          <w:lang w:val="en-US" w:eastAsia="zh-CN" w:bidi="ar-SA"/>
        </w:rPr>
        <w:t>。实际支出8.93万元</w:t>
      </w:r>
      <w:r>
        <w:rPr>
          <w:rFonts w:hint="eastAsia" w:ascii="Times New Roman" w:hAnsi="Times New Roman" w:eastAsia="仿宋_GB2312" w:cs="Times New Roman"/>
          <w:b w:val="0"/>
          <w:bCs w:val="0"/>
          <w:color w:val="000000"/>
          <w:kern w:val="0"/>
          <w:sz w:val="32"/>
          <w:szCs w:val="32"/>
          <w:lang w:val="en-US" w:eastAsia="zh-CN" w:bidi="ar-SA"/>
        </w:rPr>
        <w:t>，</w:t>
      </w:r>
      <w:r>
        <w:rPr>
          <w:rFonts w:hint="eastAsia" w:eastAsia="仿宋_GB2312" w:cs="Times New Roman"/>
          <w:b w:val="0"/>
          <w:bCs w:val="0"/>
          <w:color w:val="000000"/>
          <w:kern w:val="0"/>
          <w:sz w:val="32"/>
          <w:szCs w:val="32"/>
          <w:lang w:val="en-US" w:eastAsia="zh-CN" w:bidi="ar-SA"/>
        </w:rPr>
        <w:t>总预算控制27.06%,与上年同比（13.28万元）下降32.76%。</w:t>
      </w:r>
      <w:r>
        <w:rPr>
          <w:rFonts w:hint="eastAsia" w:ascii="Times New Roman" w:hAnsi="Times New Roman" w:eastAsia="仿宋_GB2312" w:cs="Times New Roman"/>
          <w:b w:val="0"/>
          <w:bCs w:val="0"/>
          <w:color w:val="000000"/>
          <w:kern w:val="0"/>
          <w:sz w:val="32"/>
          <w:szCs w:val="32"/>
          <w:lang w:val="en-US" w:eastAsia="zh-CN" w:bidi="ar-SA"/>
        </w:rPr>
        <w:t>其中</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公务接待费</w:t>
      </w:r>
      <w:r>
        <w:rPr>
          <w:rFonts w:hint="eastAsia" w:eastAsia="仿宋_GB2312" w:cs="Times New Roman"/>
          <w:b w:val="0"/>
          <w:bCs w:val="0"/>
          <w:color w:val="000000"/>
          <w:kern w:val="0"/>
          <w:sz w:val="32"/>
          <w:szCs w:val="32"/>
          <w:lang w:val="en-US" w:eastAsia="zh-CN" w:bidi="ar-SA"/>
        </w:rPr>
        <w:t>支出2.7万元，</w:t>
      </w:r>
      <w:r>
        <w:rPr>
          <w:rFonts w:hint="eastAsia" w:ascii="Times New Roman" w:hAnsi="Times New Roman" w:eastAsia="仿宋_GB2312" w:cs="Times New Roman"/>
          <w:b w:val="0"/>
          <w:bCs w:val="0"/>
          <w:color w:val="000000"/>
          <w:kern w:val="0"/>
          <w:sz w:val="32"/>
          <w:szCs w:val="32"/>
          <w:lang w:val="en-US" w:eastAsia="zh-CN" w:bidi="ar-SA"/>
        </w:rPr>
        <w:t>公务用车运维费</w:t>
      </w:r>
      <w:r>
        <w:rPr>
          <w:rFonts w:hint="eastAsia" w:eastAsia="仿宋_GB2312" w:cs="Times New Roman"/>
          <w:b w:val="0"/>
          <w:bCs w:val="0"/>
          <w:color w:val="000000"/>
          <w:kern w:val="0"/>
          <w:sz w:val="32"/>
          <w:szCs w:val="32"/>
          <w:lang w:val="en-US" w:eastAsia="zh-CN" w:bidi="ar-SA"/>
        </w:rPr>
        <w:t>支出6.23万元，</w:t>
      </w:r>
      <w:r>
        <w:rPr>
          <w:rFonts w:hint="eastAsia" w:ascii="Times New Roman" w:hAnsi="Times New Roman" w:eastAsia="仿宋_GB2312" w:cs="Times New Roman"/>
          <w:b w:val="0"/>
          <w:bCs w:val="0"/>
          <w:color w:val="000000"/>
          <w:kern w:val="0"/>
          <w:sz w:val="32"/>
          <w:szCs w:val="32"/>
          <w:lang w:val="en-US" w:eastAsia="zh-CN" w:bidi="ar-SA"/>
        </w:rPr>
        <w:t>因公出国</w:t>
      </w:r>
      <w:r>
        <w:rPr>
          <w:rFonts w:hint="eastAsia" w:eastAsia="仿宋_GB2312" w:cs="Times New Roman"/>
          <w:b w:val="0"/>
          <w:bCs w:val="0"/>
          <w:color w:val="000000"/>
          <w:kern w:val="0"/>
          <w:sz w:val="32"/>
          <w:szCs w:val="32"/>
          <w:lang w:val="en-US" w:eastAsia="zh-CN" w:bidi="ar-SA"/>
        </w:rPr>
        <w:t>（境）</w:t>
      </w:r>
      <w:r>
        <w:rPr>
          <w:rFonts w:hint="eastAsia" w:ascii="Times New Roman" w:hAnsi="Times New Roman" w:eastAsia="仿宋_GB2312" w:cs="Times New Roman"/>
          <w:b w:val="0"/>
          <w:bCs w:val="0"/>
          <w:color w:val="000000"/>
          <w:kern w:val="0"/>
          <w:sz w:val="32"/>
          <w:szCs w:val="32"/>
          <w:lang w:val="en-US" w:eastAsia="zh-CN" w:bidi="ar-SA"/>
        </w:rPr>
        <w:t>费</w:t>
      </w:r>
      <w:r>
        <w:rPr>
          <w:rFonts w:hint="eastAsia" w:eastAsia="仿宋_GB2312" w:cs="Times New Roman"/>
          <w:b w:val="0"/>
          <w:bCs w:val="0"/>
          <w:color w:val="000000"/>
          <w:kern w:val="0"/>
          <w:sz w:val="32"/>
          <w:szCs w:val="32"/>
          <w:lang w:val="en-US" w:eastAsia="zh-CN" w:bidi="ar-SA"/>
        </w:rPr>
        <w:t>0万元。</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会议费支出情况：2022年</w:t>
      </w:r>
      <w:r>
        <w:rPr>
          <w:rFonts w:hint="eastAsia" w:eastAsia="仿宋_GB2312" w:cs="Times New Roman"/>
          <w:b w:val="0"/>
          <w:bCs w:val="0"/>
          <w:color w:val="000000"/>
          <w:kern w:val="0"/>
          <w:sz w:val="32"/>
          <w:szCs w:val="32"/>
          <w:lang w:val="en-US" w:eastAsia="zh-CN" w:bidi="ar-SA"/>
        </w:rPr>
        <w:t>度部门会议费支出10.75万元</w:t>
      </w:r>
      <w:r>
        <w:rPr>
          <w:rFonts w:hint="eastAsia" w:ascii="Times New Roman" w:hAnsi="Times New Roman" w:eastAsia="仿宋_GB2312" w:cs="Times New Roman"/>
          <w:b w:val="0"/>
          <w:bCs w:val="0"/>
          <w:color w:val="000000"/>
          <w:kern w:val="0"/>
          <w:sz w:val="32"/>
          <w:szCs w:val="32"/>
          <w:lang w:val="en-US" w:eastAsia="zh-CN" w:bidi="ar-SA"/>
        </w:rPr>
        <w:t>，</w:t>
      </w:r>
      <w:r>
        <w:rPr>
          <w:rFonts w:hint="eastAsia" w:eastAsia="仿宋_GB2312" w:cs="Times New Roman"/>
          <w:b w:val="0"/>
          <w:bCs w:val="0"/>
          <w:color w:val="000000"/>
          <w:kern w:val="0"/>
          <w:sz w:val="32"/>
          <w:szCs w:val="32"/>
          <w:lang w:val="en-US" w:eastAsia="zh-CN" w:bidi="ar-SA"/>
        </w:rPr>
        <w:t>与上年同比（14.65万元）下降3.9</w:t>
      </w:r>
      <w:r>
        <w:rPr>
          <w:rFonts w:hint="eastAsia" w:ascii="Times New Roman" w:hAnsi="Times New Roman" w:eastAsia="仿宋_GB2312" w:cs="Times New Roman"/>
          <w:b w:val="0"/>
          <w:bCs w:val="0"/>
          <w:color w:val="000000"/>
          <w:kern w:val="0"/>
          <w:sz w:val="32"/>
          <w:szCs w:val="32"/>
          <w:lang w:val="en-US" w:eastAsia="zh-CN" w:bidi="ar-SA"/>
        </w:rPr>
        <w:t>万元</w:t>
      </w:r>
      <w:r>
        <w:rPr>
          <w:rFonts w:hint="eastAsia" w:eastAsia="仿宋_GB2312" w:cs="Times New Roman"/>
          <w:b w:val="0"/>
          <w:bCs w:val="0"/>
          <w:color w:val="000000"/>
          <w:kern w:val="0"/>
          <w:sz w:val="32"/>
          <w:szCs w:val="32"/>
          <w:lang w:val="en-US" w:eastAsia="zh-CN" w:bidi="ar-SA"/>
        </w:rPr>
        <w:t>，其中局本级</w:t>
      </w:r>
      <w:r>
        <w:rPr>
          <w:rFonts w:hint="eastAsia" w:ascii="Times New Roman" w:hAnsi="Times New Roman" w:eastAsia="仿宋_GB2312" w:cs="Times New Roman"/>
          <w:b w:val="0"/>
          <w:bCs w:val="0"/>
          <w:color w:val="000000"/>
          <w:kern w:val="0"/>
          <w:sz w:val="32"/>
          <w:szCs w:val="32"/>
          <w:lang w:val="en-US" w:eastAsia="zh-CN" w:bidi="ar-SA"/>
        </w:rPr>
        <w:t>支出10.</w:t>
      </w:r>
      <w:r>
        <w:rPr>
          <w:rFonts w:hint="eastAsia" w:eastAsia="仿宋_GB2312" w:cs="Times New Roman"/>
          <w:b w:val="0"/>
          <w:bCs w:val="0"/>
          <w:color w:val="000000"/>
          <w:kern w:val="0"/>
          <w:sz w:val="32"/>
          <w:szCs w:val="32"/>
          <w:lang w:val="en-US" w:eastAsia="zh-CN" w:bidi="ar-SA"/>
        </w:rPr>
        <w:t>31</w:t>
      </w:r>
      <w:r>
        <w:rPr>
          <w:rFonts w:hint="eastAsia" w:ascii="Times New Roman" w:hAnsi="Times New Roman" w:eastAsia="仿宋_GB2312" w:cs="Times New Roman"/>
          <w:b w:val="0"/>
          <w:bCs w:val="0"/>
          <w:color w:val="000000"/>
          <w:kern w:val="0"/>
          <w:sz w:val="32"/>
          <w:szCs w:val="32"/>
          <w:lang w:val="en-US" w:eastAsia="zh-CN" w:bidi="ar-SA"/>
        </w:rPr>
        <w:t>万元</w:t>
      </w:r>
      <w:r>
        <w:rPr>
          <w:rFonts w:hint="eastAsia" w:eastAsia="仿宋_GB2312" w:cs="Times New Roman"/>
          <w:b w:val="0"/>
          <w:bCs w:val="0"/>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（3）培训费支出情况：2022年</w:t>
      </w:r>
      <w:r>
        <w:rPr>
          <w:rFonts w:hint="eastAsia" w:eastAsia="仿宋_GB2312" w:cs="Times New Roman"/>
          <w:b w:val="0"/>
          <w:bCs w:val="0"/>
          <w:color w:val="000000"/>
          <w:kern w:val="0"/>
          <w:sz w:val="32"/>
          <w:szCs w:val="32"/>
          <w:lang w:val="en-US" w:eastAsia="zh-CN" w:bidi="ar-SA"/>
        </w:rPr>
        <w:t>度部门</w:t>
      </w:r>
      <w:r>
        <w:rPr>
          <w:rFonts w:hint="eastAsia" w:ascii="Times New Roman" w:hAnsi="Times New Roman" w:eastAsia="仿宋_GB2312" w:cs="Times New Roman"/>
          <w:b w:val="0"/>
          <w:bCs w:val="0"/>
          <w:color w:val="000000"/>
          <w:kern w:val="0"/>
          <w:sz w:val="32"/>
          <w:szCs w:val="32"/>
          <w:lang w:val="en-US" w:eastAsia="zh-CN" w:bidi="ar-SA"/>
        </w:rPr>
        <w:t>培训费</w:t>
      </w:r>
      <w:r>
        <w:rPr>
          <w:rFonts w:hint="eastAsia" w:eastAsia="仿宋_GB2312" w:cs="Times New Roman"/>
          <w:b w:val="0"/>
          <w:bCs w:val="0"/>
          <w:color w:val="000000"/>
          <w:kern w:val="0"/>
          <w:sz w:val="32"/>
          <w:szCs w:val="32"/>
          <w:lang w:val="en-US" w:eastAsia="zh-CN" w:bidi="ar-SA"/>
        </w:rPr>
        <w:t>支出32.07</w:t>
      </w:r>
      <w:r>
        <w:rPr>
          <w:rFonts w:hint="eastAsia" w:ascii="Times New Roman" w:hAnsi="Times New Roman" w:eastAsia="仿宋_GB2312" w:cs="Times New Roman"/>
          <w:b w:val="0"/>
          <w:bCs w:val="0"/>
          <w:color w:val="000000"/>
          <w:kern w:val="0"/>
          <w:sz w:val="32"/>
          <w:szCs w:val="32"/>
          <w:lang w:val="en-US" w:eastAsia="zh-CN" w:bidi="ar-SA"/>
        </w:rPr>
        <w:t>万元</w:t>
      </w:r>
      <w:r>
        <w:rPr>
          <w:rFonts w:hint="eastAsia" w:eastAsia="仿宋_GB2312" w:cs="Times New Roman"/>
          <w:b w:val="0"/>
          <w:bCs w:val="0"/>
          <w:color w:val="000000"/>
          <w:kern w:val="0"/>
          <w:sz w:val="32"/>
          <w:szCs w:val="32"/>
          <w:lang w:val="en-US" w:eastAsia="zh-CN" w:bidi="ar-SA"/>
        </w:rPr>
        <w:t>(包含项目经费</w:t>
      </w:r>
      <w:r>
        <w:rPr>
          <w:rFonts w:hint="eastAsia" w:ascii="Times New Roman" w:hAnsi="Times New Roman" w:eastAsia="仿宋_GB2312" w:cs="Times New Roman"/>
          <w:b w:val="0"/>
          <w:bCs w:val="0"/>
          <w:color w:val="000000"/>
          <w:kern w:val="0"/>
          <w:sz w:val="32"/>
          <w:szCs w:val="32"/>
          <w:lang w:val="en-US" w:eastAsia="zh-CN" w:bidi="ar-SA"/>
        </w:rPr>
        <w:t>培训费支出</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w:t>
      </w:r>
      <w:r>
        <w:rPr>
          <w:rFonts w:hint="eastAsia" w:eastAsia="仿宋_GB2312" w:cs="Times New Roman"/>
          <w:b w:val="0"/>
          <w:bCs w:val="0"/>
          <w:color w:val="000000"/>
          <w:kern w:val="0"/>
          <w:sz w:val="32"/>
          <w:szCs w:val="32"/>
          <w:lang w:val="en-US" w:eastAsia="zh-CN" w:bidi="ar-SA"/>
        </w:rPr>
        <w:t>与上年同比（26.71万元）</w:t>
      </w:r>
      <w:r>
        <w:rPr>
          <w:rFonts w:hint="eastAsia" w:ascii="Times New Roman" w:hAnsi="Times New Roman" w:eastAsia="仿宋_GB2312" w:cs="Times New Roman"/>
          <w:b w:val="0"/>
          <w:bCs w:val="0"/>
          <w:color w:val="000000"/>
          <w:kern w:val="0"/>
          <w:sz w:val="32"/>
          <w:szCs w:val="32"/>
          <w:lang w:val="en-US" w:eastAsia="zh-CN" w:bidi="ar-SA"/>
        </w:rPr>
        <w:t>增加</w:t>
      </w:r>
      <w:r>
        <w:rPr>
          <w:rFonts w:hint="eastAsia" w:eastAsia="仿宋_GB2312" w:cs="Times New Roman"/>
          <w:b w:val="0"/>
          <w:bCs w:val="0"/>
          <w:color w:val="000000"/>
          <w:kern w:val="0"/>
          <w:sz w:val="32"/>
          <w:szCs w:val="32"/>
          <w:lang w:val="en-US" w:eastAsia="zh-CN" w:bidi="ar-SA"/>
        </w:rPr>
        <w:t>5.36</w:t>
      </w:r>
      <w:r>
        <w:rPr>
          <w:rFonts w:hint="eastAsia" w:ascii="Times New Roman" w:hAnsi="Times New Roman" w:eastAsia="仿宋_GB2312" w:cs="Times New Roman"/>
          <w:b w:val="0"/>
          <w:bCs w:val="0"/>
          <w:color w:val="000000"/>
          <w:kern w:val="0"/>
          <w:sz w:val="32"/>
          <w:szCs w:val="32"/>
          <w:lang w:val="en-US" w:eastAsia="zh-CN" w:bidi="ar-SA"/>
        </w:rPr>
        <w:t>万元，</w:t>
      </w:r>
      <w:r>
        <w:rPr>
          <w:rFonts w:hint="eastAsia" w:eastAsia="仿宋_GB2312" w:cs="Times New Roman"/>
          <w:b w:val="0"/>
          <w:bCs w:val="0"/>
          <w:color w:val="000000"/>
          <w:kern w:val="0"/>
          <w:sz w:val="32"/>
          <w:szCs w:val="32"/>
          <w:lang w:val="en-US" w:eastAsia="zh-CN" w:bidi="ar-SA"/>
        </w:rPr>
        <w:t>其中局本级支出3.52万元。</w:t>
      </w:r>
      <w:r>
        <w:rPr>
          <w:rFonts w:hint="eastAsia" w:ascii="Times New Roman" w:hAnsi="Times New Roman" w:eastAsia="仿宋_GB2312" w:cs="Times New Roman"/>
          <w:b w:val="0"/>
          <w:bCs w:val="0"/>
          <w:color w:val="000000"/>
          <w:kern w:val="0"/>
          <w:sz w:val="32"/>
          <w:szCs w:val="32"/>
          <w:lang w:val="en-US" w:eastAsia="zh-CN" w:bidi="ar-SA"/>
        </w:rPr>
        <w:t>主要原因是：</w:t>
      </w:r>
      <w:r>
        <w:rPr>
          <w:rFonts w:hint="eastAsia" w:eastAsia="仿宋_GB2312" w:cs="Times New Roman"/>
          <w:b w:val="0"/>
          <w:bCs w:val="0"/>
          <w:color w:val="000000"/>
          <w:kern w:val="0"/>
          <w:sz w:val="32"/>
          <w:szCs w:val="32"/>
          <w:lang w:val="en-US" w:eastAsia="zh-CN" w:bidi="ar-SA"/>
        </w:rPr>
        <w:t>本年度加强了绿色装配式建筑技术培训和</w:t>
      </w:r>
      <w:r>
        <w:rPr>
          <w:rFonts w:hint="eastAsia" w:ascii="Times New Roman" w:hAnsi="Times New Roman" w:eastAsia="仿宋_GB2312" w:cs="Times New Roman"/>
          <w:b w:val="0"/>
          <w:bCs w:val="0"/>
          <w:color w:val="000000"/>
          <w:kern w:val="0"/>
          <w:sz w:val="32"/>
          <w:szCs w:val="32"/>
          <w:lang w:val="en-US" w:eastAsia="zh-CN" w:bidi="ar-SA"/>
        </w:rPr>
        <w:t>建筑行业</w:t>
      </w:r>
      <w:r>
        <w:rPr>
          <w:rFonts w:hint="eastAsia" w:eastAsia="仿宋_GB2312" w:cs="Times New Roman"/>
          <w:b w:val="0"/>
          <w:bCs w:val="0"/>
          <w:color w:val="000000"/>
          <w:kern w:val="0"/>
          <w:sz w:val="32"/>
          <w:szCs w:val="32"/>
          <w:lang w:val="en-US" w:eastAsia="zh-CN" w:bidi="ar-SA"/>
        </w:rPr>
        <w:t>从业人员</w:t>
      </w:r>
      <w:r>
        <w:rPr>
          <w:rFonts w:hint="eastAsia" w:ascii="Times New Roman" w:hAnsi="Times New Roman" w:eastAsia="仿宋_GB2312" w:cs="Times New Roman"/>
          <w:b w:val="0"/>
          <w:bCs w:val="0"/>
          <w:color w:val="000000"/>
          <w:kern w:val="0"/>
          <w:sz w:val="32"/>
          <w:szCs w:val="32"/>
          <w:lang w:val="en-US" w:eastAsia="zh-CN" w:bidi="ar-SA"/>
        </w:rPr>
        <w:t>培训考核</w:t>
      </w:r>
      <w:r>
        <w:rPr>
          <w:rFonts w:hint="eastAsia" w:ascii="Times New Roman" w:hAnsi="Times New Roman" w:eastAsia="仿宋_GB2312" w:cs="Times New Roman"/>
          <w:b w:val="0"/>
          <w:bCs w:val="0"/>
          <w:color w:val="000000"/>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964" w:firstLineChars="300"/>
        <w:jc w:val="both"/>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eastAsia="仿宋_GB2312" w:cs="Times New Roman"/>
          <w:b/>
          <w:bCs/>
          <w:color w:val="000000"/>
          <w:kern w:val="0"/>
          <w:sz w:val="32"/>
          <w:szCs w:val="32"/>
          <w:lang w:val="en-US" w:eastAsia="zh-CN" w:bidi="ar-SA"/>
        </w:rPr>
        <w:t>3</w:t>
      </w:r>
      <w:r>
        <w:rPr>
          <w:rFonts w:hint="eastAsia" w:ascii="Times New Roman" w:hAnsi="Times New Roman" w:eastAsia="仿宋_GB2312" w:cs="Times New Roman"/>
          <w:b/>
          <w:bCs/>
          <w:color w:val="000000"/>
          <w:kern w:val="0"/>
          <w:sz w:val="32"/>
          <w:szCs w:val="32"/>
          <w:lang w:val="en-US" w:eastAsia="zh-CN" w:bidi="ar-SA"/>
        </w:rPr>
        <w:t>、固定资产管理情况分析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（1）固定资产帐面情况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至2022年12月末，局机关固定资产原值累计3</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573.16万元，累计折旧1</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587.44万元，帐面净值余额1</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985.72万元。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eastAsia="仿宋_GB2312" w:cs="Times New Roman"/>
          <w:color w:val="000000"/>
          <w:kern w:val="0"/>
          <w:sz w:val="32"/>
          <w:szCs w:val="32"/>
          <w:lang w:val="en-US" w:eastAsia="zh-CN" w:bidi="ar-SA"/>
        </w:rPr>
        <w:t>（2）</w:t>
      </w:r>
      <w:r>
        <w:rPr>
          <w:rFonts w:hint="eastAsia" w:ascii="Times New Roman" w:hAnsi="Times New Roman" w:eastAsia="仿宋_GB2312" w:cs="Times New Roman"/>
          <w:color w:val="000000"/>
          <w:kern w:val="0"/>
          <w:sz w:val="32"/>
          <w:szCs w:val="32"/>
          <w:lang w:val="en-US" w:eastAsia="zh-CN" w:bidi="ar-SA"/>
        </w:rPr>
        <w:t>固定资产管理情况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textAlignment w:val="auto"/>
        <w:rPr>
          <w:rFonts w:hint="eastAsia" w:ascii="仿宋_GB2312" w:hAnsi="仿宋_GB2312" w:eastAsia="仿宋_GB2312"/>
          <w:sz w:val="32"/>
          <w:szCs w:val="28"/>
          <w:lang w:val="en-US" w:eastAsia="zh-CN"/>
        </w:rPr>
      </w:pPr>
      <w:r>
        <w:rPr>
          <w:rFonts w:hint="eastAsia" w:ascii="仿宋_GB2312" w:hAnsi="仿宋_GB2312" w:eastAsia="仿宋_GB2312"/>
          <w:sz w:val="32"/>
          <w:szCs w:val="28"/>
          <w:lang w:val="en-US" w:eastAsia="zh-CN"/>
        </w:rPr>
        <w:t>成立由机关纪委牵头，办公室、计财科为成员的局机关</w:t>
      </w:r>
    </w:p>
    <w:p>
      <w:pPr>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仿宋_GB2312" w:hAnsi="仿宋_GB2312" w:eastAsia="仿宋_GB2312"/>
          <w:sz w:val="32"/>
          <w:szCs w:val="28"/>
          <w:lang w:val="en-US" w:eastAsia="zh-CN"/>
        </w:rPr>
        <w:t>固定资产采购（维修、改造）审核工作小组，负责对局机关固定资产采购（维修、改造）项目进行审核把关。由</w:t>
      </w:r>
      <w:r>
        <w:rPr>
          <w:rFonts w:hint="eastAsia" w:ascii="Times New Roman" w:hAnsi="Times New Roman" w:eastAsia="仿宋_GB2312" w:cs="Times New Roman"/>
          <w:color w:val="000000"/>
          <w:kern w:val="0"/>
          <w:sz w:val="32"/>
          <w:szCs w:val="32"/>
          <w:lang w:val="en-US" w:eastAsia="zh-CN" w:bidi="ar-SA"/>
        </w:rPr>
        <w:t>局办公室负责机关固定资产的实物管理和局属单位固定资产管理的监督指导</w:t>
      </w:r>
      <w:r>
        <w:rPr>
          <w:rFonts w:hint="eastAsia" w:eastAsia="仿宋_GB2312" w:cs="Times New Roman"/>
          <w:color w:val="000000"/>
          <w:kern w:val="0"/>
          <w:sz w:val="32"/>
          <w:szCs w:val="32"/>
          <w:lang w:val="en-US" w:eastAsia="zh-CN" w:bidi="ar-SA"/>
        </w:rPr>
        <w:t>；</w:t>
      </w:r>
      <w:r>
        <w:rPr>
          <w:rFonts w:hint="eastAsia" w:ascii="仿宋_GB2312" w:hAnsi="仿宋_GB2312" w:eastAsia="仿宋_GB2312"/>
          <w:sz w:val="32"/>
          <w:szCs w:val="32"/>
          <w:lang w:eastAsia="zh-CN"/>
        </w:rPr>
        <w:t>局</w:t>
      </w:r>
      <w:r>
        <w:rPr>
          <w:rFonts w:hint="eastAsia" w:ascii="仿宋_GB2312" w:hAnsi="仿宋_GB2312" w:eastAsia="仿宋_GB2312"/>
          <w:sz w:val="32"/>
          <w:szCs w:val="32"/>
        </w:rPr>
        <w:t>计财</w:t>
      </w:r>
      <w:r>
        <w:rPr>
          <w:rFonts w:hint="eastAsia" w:ascii="仿宋_GB2312" w:hAnsi="仿宋_GB2312" w:eastAsia="仿宋_GB2312"/>
          <w:sz w:val="32"/>
          <w:szCs w:val="32"/>
          <w:lang w:eastAsia="zh-CN"/>
        </w:rPr>
        <w:t>审计</w:t>
      </w:r>
      <w:r>
        <w:rPr>
          <w:rFonts w:hint="eastAsia" w:ascii="仿宋_GB2312" w:hAnsi="仿宋_GB2312" w:eastAsia="仿宋_GB2312"/>
          <w:sz w:val="32"/>
          <w:szCs w:val="32"/>
        </w:rPr>
        <w:t>科负责固定资产财务管理</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机关科室负责本科室固定资产日常管理</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2022年度修订出台《</w:t>
      </w:r>
      <w:r>
        <w:rPr>
          <w:rFonts w:hint="eastAsia" w:ascii="仿宋_GB2312" w:hAnsi="仿宋_GB2312" w:eastAsia="仿宋_GB2312"/>
          <w:sz w:val="32"/>
          <w:szCs w:val="28"/>
          <w:lang w:val="en-US" w:eastAsia="zh-CN"/>
        </w:rPr>
        <w:t>岳阳市住房和城乡建设局固定资产管理规定》，进一步明确了固定资产的配置、维修、改造流程和交接、处置程序，以确保</w:t>
      </w:r>
      <w:r>
        <w:rPr>
          <w:rFonts w:hint="eastAsia" w:eastAsia="仿宋_GB2312" w:cs="Times New Roman"/>
          <w:color w:val="000000"/>
          <w:kern w:val="0"/>
          <w:sz w:val="32"/>
          <w:szCs w:val="32"/>
          <w:lang w:val="en-US" w:eastAsia="zh-CN" w:bidi="ar-SA"/>
        </w:rPr>
        <w:t>厉</w:t>
      </w:r>
      <w:r>
        <w:rPr>
          <w:rFonts w:hint="eastAsia" w:ascii="Times New Roman" w:hAnsi="Times New Roman" w:eastAsia="仿宋_GB2312" w:cs="Times New Roman"/>
          <w:color w:val="000000"/>
          <w:kern w:val="0"/>
          <w:sz w:val="32"/>
          <w:szCs w:val="32"/>
          <w:lang w:val="en-US" w:eastAsia="zh-CN" w:bidi="ar-SA"/>
        </w:rPr>
        <w:t>行节约、物尽其用</w:t>
      </w:r>
      <w:r>
        <w:rPr>
          <w:rFonts w:hint="eastAsia" w:eastAsia="仿宋_GB2312" w:cs="Times New Roman"/>
          <w:color w:val="000000"/>
          <w:kern w:val="0"/>
          <w:sz w:val="32"/>
          <w:szCs w:val="32"/>
          <w:lang w:val="en-US" w:eastAsia="zh-CN" w:bidi="ar-SA"/>
        </w:rPr>
        <w:t>、账实分离、账实一致。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kern w:val="2"/>
          <w:sz w:val="32"/>
          <w:szCs w:val="32"/>
          <w:lang w:val="en-US" w:eastAsia="zh-CN" w:bidi="ar-SA"/>
        </w:rPr>
      </w:pPr>
      <w:r>
        <w:rPr>
          <w:rFonts w:hint="eastAsia" w:eastAsia="黑体" w:cs="Times New Roman"/>
          <w:kern w:val="2"/>
          <w:sz w:val="32"/>
          <w:szCs w:val="32"/>
          <w:lang w:val="en-US" w:eastAsia="zh-CN" w:bidi="ar-SA"/>
        </w:rPr>
        <w:t>（四）</w:t>
      </w:r>
      <w:r>
        <w:rPr>
          <w:rFonts w:hint="eastAsia" w:ascii="Times New Roman" w:hAnsi="Times New Roman" w:eastAsia="黑体" w:cs="Times New Roman"/>
          <w:kern w:val="2"/>
          <w:sz w:val="32"/>
          <w:szCs w:val="32"/>
          <w:lang w:val="en-US" w:eastAsia="zh-CN" w:bidi="ar-SA"/>
        </w:rPr>
        <w:t>整体支出主要绩效及结论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2022年市住</w:t>
      </w:r>
      <w:r>
        <w:rPr>
          <w:rFonts w:hint="eastAsia" w:eastAsia="仿宋_GB2312" w:cs="Times New Roman"/>
          <w:color w:val="000000"/>
          <w:kern w:val="0"/>
          <w:sz w:val="32"/>
          <w:szCs w:val="32"/>
          <w:lang w:val="en-US" w:eastAsia="zh-CN" w:bidi="ar-SA"/>
        </w:rPr>
        <w:t>房和城乡建设</w:t>
      </w:r>
      <w:r>
        <w:rPr>
          <w:rFonts w:hint="eastAsia" w:ascii="Times New Roman" w:hAnsi="Times New Roman" w:eastAsia="仿宋_GB2312" w:cs="Times New Roman"/>
          <w:color w:val="000000"/>
          <w:kern w:val="0"/>
          <w:sz w:val="32"/>
          <w:szCs w:val="32"/>
          <w:lang w:val="en-US" w:eastAsia="zh-CN" w:bidi="ar-SA"/>
        </w:rPr>
        <w:t>局认真履行本部门职责职能，紧紧围绕部门全年工作重点，制订了详细、具体目标，较好地完成各项年度目标任务，全面推进全市住房城乡建设事业平稳健康发展，具有良好社会效益、经济效益、生态环境效益。全国20个海绵示范城市绩效评价中，岳阳市被评为A档，进入第一方阵，打造了洞庭湖流域水环境保护“岳阳示范”；中心城区一期项目王家河水环境综合治理后续配套工程荣获“全国建设工程项目施工工地安全生产标准化项目”称号（原国家AAA级安全文明标准化工地），是岳阳长江大保护首个获得国家级安全类奖项的项目，为一江碧水东流书写了时代答卷；</w:t>
      </w:r>
      <w:r>
        <w:rPr>
          <w:rFonts w:hint="eastAsia" w:eastAsia="仿宋_GB2312" w:cs="Times New Roman"/>
          <w:color w:val="000000"/>
          <w:kern w:val="0"/>
          <w:sz w:val="32"/>
          <w:szCs w:val="32"/>
          <w:lang w:val="en-US" w:eastAsia="zh-CN" w:bidi="ar-SA"/>
        </w:rPr>
        <w:t>单位</w:t>
      </w:r>
      <w:r>
        <w:rPr>
          <w:rFonts w:hint="eastAsia" w:ascii="Times New Roman" w:hAnsi="Times New Roman" w:eastAsia="仿宋_GB2312" w:cs="Times New Roman"/>
          <w:color w:val="000000"/>
          <w:kern w:val="0"/>
          <w:sz w:val="32"/>
          <w:szCs w:val="32"/>
          <w:lang w:val="en-US" w:eastAsia="zh-CN" w:bidi="ar-SA"/>
        </w:rPr>
        <w:t>负责的省绩效考核指标、省绩效高质量发展指标均进入全省前三，荣获省政府真抓实干督查奖励，总量排名全省第一；在全省首创央企接盘，为全力落实复工复产“保交楼”目标提供了“岳阳模式”，全省综合排名第一。</w:t>
      </w:r>
      <w:r>
        <w:rPr>
          <w:rFonts w:hint="eastAsia" w:eastAsia="仿宋_GB2312" w:cs="Times New Roman"/>
          <w:color w:val="000000"/>
          <w:kern w:val="0"/>
          <w:sz w:val="32"/>
          <w:szCs w:val="32"/>
          <w:lang w:val="en-US" w:eastAsia="zh-CN" w:bidi="ar-SA"/>
        </w:rPr>
        <w:t>单位</w:t>
      </w:r>
      <w:r>
        <w:rPr>
          <w:rFonts w:hint="eastAsia" w:ascii="Times New Roman" w:hAnsi="Times New Roman" w:eastAsia="仿宋_GB2312" w:cs="Times New Roman"/>
          <w:color w:val="000000"/>
          <w:kern w:val="0"/>
          <w:sz w:val="32"/>
          <w:szCs w:val="32"/>
          <w:lang w:val="en-US" w:eastAsia="zh-CN" w:bidi="ar-SA"/>
        </w:rPr>
        <w:t>先后荣获全省住建系统先进集体、省级文明标兵单位、省市重点民生实事办理工作优秀单位、岳阳市信访工作先进单位、岳阳市平安建设先进单位等荣誉称号，为建设“产业强劲、开放领跑、绿色示范、人民共富”的省域副中心城市贡献了住建力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根据评价指标综合自评，得分为9</w:t>
      </w:r>
      <w:r>
        <w:rPr>
          <w:rFonts w:hint="eastAsia" w:eastAsia="仿宋_GB2312" w:cs="Times New Roman"/>
          <w:color w:val="000000"/>
          <w:kern w:val="0"/>
          <w:sz w:val="32"/>
          <w:szCs w:val="32"/>
          <w:lang w:val="en-US" w:eastAsia="zh-CN" w:bidi="ar-SA"/>
        </w:rPr>
        <w:t>8</w:t>
      </w:r>
      <w:r>
        <w:rPr>
          <w:rFonts w:hint="eastAsia" w:ascii="Times New Roman" w:hAnsi="Times New Roman" w:eastAsia="仿宋_GB2312" w:cs="Times New Roman"/>
          <w:color w:val="000000"/>
          <w:kern w:val="0"/>
          <w:sz w:val="32"/>
          <w:szCs w:val="32"/>
          <w:lang w:val="en-US" w:eastAsia="zh-CN" w:bidi="ar-SA"/>
        </w:rPr>
        <w:t>分，评价等级确认为“优秀”。其中：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 xml:space="preserve">1、资金预算投入10分，得分8分，  </w:t>
      </w:r>
      <w:r>
        <w:rPr>
          <w:rFonts w:hint="eastAsia" w:eastAsia="仿宋_GB2312" w:cs="Times New Roman"/>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扣2分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2、产出指标总分50分，得分</w:t>
      </w:r>
      <w:r>
        <w:rPr>
          <w:rFonts w:hint="eastAsia" w:eastAsia="仿宋_GB2312" w:cs="Times New Roman"/>
          <w:color w:val="000000"/>
          <w:kern w:val="0"/>
          <w:sz w:val="32"/>
          <w:szCs w:val="32"/>
          <w:lang w:val="en-US" w:eastAsia="zh-CN" w:bidi="ar-SA"/>
        </w:rPr>
        <w:t>50</w:t>
      </w:r>
      <w:r>
        <w:rPr>
          <w:rFonts w:hint="eastAsia" w:ascii="Times New Roman" w:hAnsi="Times New Roman" w:eastAsia="仿宋_GB2312" w:cs="Times New Roman"/>
          <w:color w:val="000000"/>
          <w:kern w:val="0"/>
          <w:sz w:val="32"/>
          <w:szCs w:val="32"/>
          <w:lang w:val="en-US" w:eastAsia="zh-CN" w:bidi="ar-SA"/>
        </w:rPr>
        <w:t>分，  扣</w:t>
      </w:r>
      <w:r>
        <w:rPr>
          <w:rFonts w:hint="eastAsia" w:eastAsia="仿宋_GB2312" w:cs="Times New Roman"/>
          <w:color w:val="000000"/>
          <w:kern w:val="0"/>
          <w:sz w:val="32"/>
          <w:szCs w:val="32"/>
          <w:lang w:val="en-US" w:eastAsia="zh-CN" w:bidi="ar-SA"/>
        </w:rPr>
        <w:t>0</w:t>
      </w:r>
      <w:r>
        <w:rPr>
          <w:rFonts w:hint="eastAsia" w:ascii="Times New Roman" w:hAnsi="Times New Roman" w:eastAsia="仿宋_GB2312" w:cs="Times New Roman"/>
          <w:color w:val="000000"/>
          <w:kern w:val="0"/>
          <w:sz w:val="32"/>
          <w:szCs w:val="32"/>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3、绩效指标总分40分，得分</w:t>
      </w:r>
      <w:r>
        <w:rPr>
          <w:rFonts w:hint="eastAsia" w:eastAsia="仿宋_GB2312" w:cs="Times New Roman"/>
          <w:color w:val="000000"/>
          <w:kern w:val="0"/>
          <w:sz w:val="32"/>
          <w:szCs w:val="32"/>
          <w:lang w:val="en-US" w:eastAsia="zh-CN" w:bidi="ar-SA"/>
        </w:rPr>
        <w:t>4</w:t>
      </w:r>
      <w:r>
        <w:rPr>
          <w:rFonts w:hint="eastAsia" w:ascii="Times New Roman" w:hAnsi="Times New Roman" w:eastAsia="仿宋_GB2312" w:cs="Times New Roman"/>
          <w:color w:val="000000"/>
          <w:kern w:val="0"/>
          <w:sz w:val="32"/>
          <w:szCs w:val="32"/>
          <w:lang w:val="en-US" w:eastAsia="zh-CN" w:bidi="ar-SA"/>
        </w:rPr>
        <w:t>0分，  扣0分</w:t>
      </w:r>
    </w:p>
    <w:p>
      <w:pPr>
        <w:pStyle w:val="2"/>
        <w:keepNext w:val="0"/>
        <w:keepLines w:val="0"/>
        <w:pageBreakBefore w:val="0"/>
        <w:kinsoku/>
        <w:wordWrap/>
        <w:overflowPunct/>
        <w:topLinePunct w:val="0"/>
        <w:autoSpaceDE/>
        <w:bidi w:val="0"/>
        <w:adjustRightInd/>
        <w:spacing w:line="580" w:lineRule="exact"/>
        <w:rPr>
          <w:rFonts w:hint="default"/>
          <w:lang w:val="en-US" w:eastAsia="zh-CN"/>
        </w:rPr>
      </w:pPr>
      <w:r>
        <w:rPr>
          <w:rFonts w:hint="eastAsia" w:ascii="Times New Roman" w:hAnsi="Times New Roman" w:eastAsia="仿宋_GB2312" w:cs="Times New Roman"/>
          <w:color w:val="000000"/>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具体见《2022年度部门整体支出绩效自评表》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七、存在的主要问题及</w:t>
      </w:r>
      <w:r>
        <w:rPr>
          <w:rFonts w:hint="eastAsia" w:eastAsia="黑体" w:cs="Times New Roman"/>
          <w:kern w:val="2"/>
          <w:sz w:val="32"/>
          <w:szCs w:val="32"/>
          <w:lang w:val="en-US" w:eastAsia="zh-CN" w:bidi="ar-SA"/>
        </w:rPr>
        <w:t>原因分析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eastAsia="仿宋_GB2312" w:cs="Times New Roman"/>
          <w:b/>
          <w:bCs/>
          <w:color w:val="000000"/>
          <w:kern w:val="0"/>
          <w:sz w:val="32"/>
          <w:szCs w:val="32"/>
          <w:lang w:val="en-US" w:eastAsia="zh-CN" w:bidi="ar-SA"/>
        </w:rPr>
        <w:t>（一）</w:t>
      </w:r>
      <w:r>
        <w:rPr>
          <w:rFonts w:hint="eastAsia" w:ascii="Times New Roman" w:hAnsi="Times New Roman" w:eastAsia="仿宋_GB2312" w:cs="Times New Roman"/>
          <w:b/>
          <w:bCs/>
          <w:color w:val="000000"/>
          <w:kern w:val="0"/>
          <w:sz w:val="32"/>
          <w:szCs w:val="32"/>
          <w:lang w:val="en-US" w:eastAsia="zh-CN" w:bidi="ar-SA"/>
        </w:rPr>
        <w:t>实际在岗人数</w:t>
      </w:r>
      <w:r>
        <w:rPr>
          <w:rFonts w:hint="eastAsia" w:eastAsia="仿宋_GB2312" w:cs="Times New Roman"/>
          <w:b/>
          <w:bCs/>
          <w:color w:val="000000"/>
          <w:kern w:val="0"/>
          <w:sz w:val="32"/>
          <w:szCs w:val="32"/>
          <w:lang w:val="en-US" w:eastAsia="zh-CN" w:bidi="ar-SA"/>
        </w:rPr>
        <w:t>超</w:t>
      </w:r>
      <w:r>
        <w:rPr>
          <w:rFonts w:hint="eastAsia" w:ascii="Times New Roman" w:hAnsi="Times New Roman" w:eastAsia="仿宋_GB2312" w:cs="Times New Roman"/>
          <w:b/>
          <w:bCs/>
          <w:color w:val="000000"/>
          <w:kern w:val="0"/>
          <w:sz w:val="32"/>
          <w:szCs w:val="32"/>
          <w:lang w:val="en-US" w:eastAsia="zh-CN" w:bidi="ar-SA"/>
        </w:rPr>
        <w:t>编制人数</w:t>
      </w:r>
      <w:r>
        <w:rPr>
          <w:rFonts w:hint="eastAsia"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lang w:val="en-US" w:eastAsia="zh-CN"/>
        </w:rPr>
        <w:t>根据“三定方案”，局机关编制</w:t>
      </w:r>
      <w:r>
        <w:rPr>
          <w:rFonts w:hint="eastAsia" w:eastAsia="仿宋_GB2312" w:cs="Times New Roman"/>
          <w:color w:val="auto"/>
          <w:kern w:val="0"/>
          <w:sz w:val="32"/>
          <w:szCs w:val="32"/>
          <w:lang w:val="en-US" w:eastAsia="zh-CN"/>
        </w:rPr>
        <w:t>57</w:t>
      </w:r>
      <w:r>
        <w:rPr>
          <w:rFonts w:hint="eastAsia" w:ascii="Times New Roman" w:hAnsi="Times New Roman" w:eastAsia="仿宋_GB2312" w:cs="Times New Roman"/>
          <w:color w:val="auto"/>
          <w:kern w:val="0"/>
          <w:sz w:val="32"/>
          <w:szCs w:val="32"/>
          <w:lang w:val="en-US" w:eastAsia="zh-CN"/>
        </w:rPr>
        <w:t>人</w:t>
      </w:r>
      <w:r>
        <w:rPr>
          <w:rFonts w:hint="eastAsia"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2022年实有在岗人员</w:t>
      </w:r>
      <w:r>
        <w:rPr>
          <w:rFonts w:hint="eastAsia" w:eastAsia="仿宋_GB2312" w:cs="Times New Roman"/>
          <w:color w:val="auto"/>
          <w:kern w:val="0"/>
          <w:sz w:val="32"/>
          <w:szCs w:val="32"/>
          <w:highlight w:val="none"/>
          <w:lang w:val="en-US" w:eastAsia="zh-CN"/>
        </w:rPr>
        <w:t>76</w:t>
      </w:r>
      <w:r>
        <w:rPr>
          <w:rFonts w:hint="eastAsia" w:ascii="Times New Roman" w:hAnsi="Times New Roman" w:eastAsia="仿宋_GB2312" w:cs="Times New Roman"/>
          <w:color w:val="auto"/>
          <w:kern w:val="0"/>
          <w:sz w:val="32"/>
          <w:szCs w:val="32"/>
          <w:highlight w:val="none"/>
          <w:lang w:val="en-US" w:eastAsia="zh-CN"/>
        </w:rPr>
        <w:t>人</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000000"/>
          <w:kern w:val="0"/>
          <w:sz w:val="32"/>
          <w:szCs w:val="32"/>
          <w:lang w:val="en-US" w:eastAsia="zh-CN" w:bidi="ar-SA"/>
        </w:rPr>
        <w:t>超过编制人数</w:t>
      </w:r>
      <w:r>
        <w:rPr>
          <w:rFonts w:hint="eastAsia" w:eastAsia="仿宋_GB2312" w:cs="Times New Roman"/>
          <w:color w:val="000000"/>
          <w:kern w:val="0"/>
          <w:sz w:val="32"/>
          <w:szCs w:val="32"/>
          <w:lang w:val="en-US" w:eastAsia="zh-CN" w:bidi="ar-SA"/>
        </w:rPr>
        <w:t>19</w:t>
      </w:r>
      <w:r>
        <w:rPr>
          <w:rFonts w:hint="eastAsia" w:ascii="Times New Roman" w:hAnsi="Times New Roman" w:eastAsia="仿宋_GB2312" w:cs="Times New Roman"/>
          <w:color w:val="000000"/>
          <w:kern w:val="0"/>
          <w:sz w:val="32"/>
          <w:szCs w:val="32"/>
          <w:lang w:val="en-US" w:eastAsia="zh-CN" w:bidi="ar-SA"/>
        </w:rPr>
        <w:t>人。原因：</w:t>
      </w:r>
      <w:r>
        <w:rPr>
          <w:rFonts w:hint="eastAsia" w:eastAsia="仿宋_GB2312" w:cs="Times New Roman"/>
          <w:color w:val="000000"/>
          <w:kern w:val="0"/>
          <w:sz w:val="32"/>
          <w:szCs w:val="32"/>
          <w:lang w:val="en-US" w:eastAsia="zh-CN" w:bidi="ar-SA"/>
        </w:rPr>
        <w:t>原住房和</w:t>
      </w:r>
      <w:r>
        <w:rPr>
          <w:rFonts w:hint="eastAsia" w:ascii="Times New Roman" w:hAnsi="Times New Roman" w:eastAsia="仿宋_GB2312" w:cs="Times New Roman"/>
          <w:color w:val="000000"/>
          <w:kern w:val="0"/>
          <w:sz w:val="32"/>
          <w:szCs w:val="32"/>
          <w:lang w:val="en-US" w:eastAsia="zh-CN" w:bidi="ar-SA"/>
        </w:rPr>
        <w:t>城乡建设局</w:t>
      </w:r>
      <w:r>
        <w:rPr>
          <w:rFonts w:hint="eastAsia" w:eastAsia="仿宋_GB2312" w:cs="Times New Roman"/>
          <w:color w:val="000000"/>
          <w:kern w:val="0"/>
          <w:sz w:val="32"/>
          <w:szCs w:val="32"/>
          <w:lang w:val="en-US" w:eastAsia="zh-CN" w:bidi="ar-SA"/>
        </w:rPr>
        <w:t>、原</w:t>
      </w:r>
      <w:r>
        <w:rPr>
          <w:rFonts w:hint="eastAsia" w:ascii="Times New Roman" w:hAnsi="Times New Roman" w:eastAsia="仿宋_GB2312" w:cs="Times New Roman"/>
          <w:color w:val="000000"/>
          <w:kern w:val="0"/>
          <w:sz w:val="32"/>
          <w:szCs w:val="32"/>
          <w:lang w:val="en-US" w:eastAsia="zh-CN" w:bidi="ar-SA"/>
        </w:rPr>
        <w:t>房</w:t>
      </w:r>
      <w:r>
        <w:rPr>
          <w:rFonts w:hint="eastAsia" w:eastAsia="仿宋_GB2312" w:cs="Times New Roman"/>
          <w:color w:val="000000"/>
          <w:kern w:val="0"/>
          <w:sz w:val="32"/>
          <w:szCs w:val="32"/>
          <w:lang w:val="en-US" w:eastAsia="zh-CN" w:bidi="ar-SA"/>
        </w:rPr>
        <w:t>地产管理</w:t>
      </w:r>
      <w:r>
        <w:rPr>
          <w:rFonts w:hint="eastAsia" w:ascii="Times New Roman" w:hAnsi="Times New Roman" w:eastAsia="仿宋_GB2312" w:cs="Times New Roman"/>
          <w:color w:val="000000"/>
          <w:kern w:val="0"/>
          <w:sz w:val="32"/>
          <w:szCs w:val="32"/>
          <w:highlight w:val="none"/>
          <w:lang w:val="en-US" w:eastAsia="zh-CN" w:bidi="ar-SA"/>
        </w:rPr>
        <w:t>局</w:t>
      </w:r>
      <w:r>
        <w:rPr>
          <w:rFonts w:hint="eastAsia" w:eastAsia="仿宋_GB2312" w:cs="Times New Roman"/>
          <w:color w:val="000000"/>
          <w:kern w:val="0"/>
          <w:sz w:val="32"/>
          <w:szCs w:val="32"/>
          <w:highlight w:val="none"/>
          <w:lang w:val="en-US" w:eastAsia="zh-CN" w:bidi="ar-SA"/>
        </w:rPr>
        <w:t>因</w:t>
      </w:r>
      <w:r>
        <w:rPr>
          <w:rFonts w:hint="eastAsia" w:ascii="Times New Roman" w:hAnsi="Times New Roman" w:eastAsia="仿宋_GB2312" w:cs="Times New Roman"/>
          <w:color w:val="000000"/>
          <w:kern w:val="0"/>
          <w:sz w:val="32"/>
          <w:szCs w:val="32"/>
          <w:highlight w:val="none"/>
          <w:lang w:val="en-US" w:eastAsia="zh-CN" w:bidi="ar-SA"/>
        </w:rPr>
        <w:t>机构</w:t>
      </w:r>
      <w:r>
        <w:rPr>
          <w:rFonts w:hint="eastAsia" w:eastAsia="仿宋_GB2312" w:cs="Times New Roman"/>
          <w:color w:val="000000"/>
          <w:kern w:val="0"/>
          <w:sz w:val="32"/>
          <w:szCs w:val="32"/>
          <w:highlight w:val="none"/>
          <w:lang w:val="en-US" w:eastAsia="zh-CN" w:bidi="ar-SA"/>
        </w:rPr>
        <w:t>改革合并的政策性超编。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eastAsia="仿宋_GB2312" w:cs="Times New Roman"/>
          <w:b/>
          <w:bCs/>
          <w:color w:val="000000"/>
          <w:kern w:val="0"/>
          <w:sz w:val="32"/>
          <w:szCs w:val="32"/>
          <w:lang w:val="en-US" w:eastAsia="zh-CN" w:bidi="ar-SA"/>
        </w:rPr>
        <w:t>（二）</w:t>
      </w:r>
      <w:r>
        <w:rPr>
          <w:rFonts w:hint="eastAsia" w:ascii="Times New Roman" w:hAnsi="Times New Roman" w:eastAsia="仿宋_GB2312" w:cs="Times New Roman"/>
          <w:b/>
          <w:bCs/>
          <w:color w:val="000000"/>
          <w:kern w:val="0"/>
          <w:sz w:val="32"/>
          <w:szCs w:val="32"/>
          <w:lang w:val="en-US" w:eastAsia="zh-CN" w:bidi="ar-SA"/>
        </w:rPr>
        <w:t>预算编制科学性、合理性有待提高</w:t>
      </w:r>
      <w:r>
        <w:rPr>
          <w:rFonts w:hint="eastAsia"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lang w:val="en-US" w:eastAsia="zh-CN"/>
        </w:rPr>
      </w:pPr>
      <w:r>
        <w:rPr>
          <w:rFonts w:hint="eastAsia" w:ascii="Times New Roman" w:hAnsi="Times New Roman" w:eastAsia="仿宋_GB2312" w:cs="Times New Roman"/>
          <w:color w:val="000000"/>
          <w:kern w:val="0"/>
          <w:sz w:val="32"/>
          <w:szCs w:val="32"/>
          <w:lang w:val="en-US" w:eastAsia="zh-CN" w:bidi="ar-SA"/>
        </w:rPr>
        <w:t>一是市住建局机关全年实际支出8,073.24万元，全年预算数7,598.17万元，预算执行率106%，超预算475.07万元；原因：二是2022年基本支出年初预算数1727.45万元、全年预算数3082.5万元，决算金额为2713.00万元，决算金额比全年预算数少369.5万元，实际支出比预算少12%。</w:t>
      </w:r>
      <w:r>
        <w:rPr>
          <w:rFonts w:hint="eastAsia" w:ascii="Times New Roman" w:hAnsi="Times New Roman" w:eastAsia="仿宋_GB2312" w:cs="Times New Roman"/>
          <w:color w:val="000000"/>
          <w:kern w:val="0"/>
          <w:sz w:val="32"/>
          <w:szCs w:val="32"/>
          <w:highlight w:val="none"/>
          <w:lang w:val="en-US" w:eastAsia="zh-CN" w:bidi="ar-SA"/>
        </w:rPr>
        <w:t>原因：预算编制不够准确。预算编制科学性、合理性有待提高。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eastAsia="仿宋_GB2312" w:cs="Times New Roman"/>
          <w:b/>
          <w:bCs/>
          <w:color w:val="000000"/>
          <w:kern w:val="0"/>
          <w:sz w:val="32"/>
          <w:szCs w:val="32"/>
          <w:lang w:val="en-US" w:eastAsia="zh-CN" w:bidi="ar-SA"/>
        </w:rPr>
        <w:t>（三）</w:t>
      </w:r>
      <w:r>
        <w:rPr>
          <w:rFonts w:hint="eastAsia" w:ascii="Times New Roman" w:hAnsi="Times New Roman" w:eastAsia="仿宋_GB2312" w:cs="Times New Roman"/>
          <w:b/>
          <w:bCs/>
          <w:color w:val="000000"/>
          <w:kern w:val="0"/>
          <w:sz w:val="32"/>
          <w:szCs w:val="32"/>
          <w:lang w:val="en-US" w:eastAsia="zh-CN" w:bidi="ar-SA"/>
        </w:rPr>
        <w:t>项目绩效管理有待加强</w:t>
      </w:r>
      <w:r>
        <w:rPr>
          <w:rFonts w:hint="eastAsia" w:ascii="Times New Roman" w:hAnsi="Times New Roman" w:eastAsia="仿宋_GB2312" w:cs="Times New Roman"/>
          <w:color w:val="000000"/>
          <w:kern w:val="0"/>
          <w:sz w:val="32"/>
          <w:szCs w:val="32"/>
          <w:lang w:val="en-US" w:eastAsia="zh-CN" w:bidi="ar-SA"/>
        </w:rPr>
        <w:t>。</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bidi="ar-SA"/>
        </w:rPr>
        <w:t>市住建局机关</w:t>
      </w:r>
      <w:r>
        <w:rPr>
          <w:rFonts w:hint="eastAsia" w:eastAsia="仿宋_GB2312" w:cs="Times New Roman"/>
          <w:b w:val="0"/>
          <w:bCs w:val="0"/>
          <w:color w:val="000000"/>
          <w:kern w:val="0"/>
          <w:sz w:val="32"/>
          <w:szCs w:val="32"/>
          <w:lang w:val="en-US" w:eastAsia="zh-CN" w:bidi="ar-SA"/>
        </w:rPr>
        <w:t>全年</w:t>
      </w:r>
      <w:r>
        <w:rPr>
          <w:rFonts w:hint="eastAsia" w:ascii="Times New Roman" w:hAnsi="Times New Roman" w:eastAsia="仿宋_GB2312" w:cs="Times New Roman"/>
          <w:b w:val="0"/>
          <w:bCs w:val="0"/>
          <w:color w:val="000000"/>
          <w:kern w:val="0"/>
          <w:sz w:val="32"/>
          <w:szCs w:val="32"/>
          <w:lang w:val="en-US" w:eastAsia="zh-CN" w:bidi="ar-SA"/>
        </w:rPr>
        <w:t>实施项目</w:t>
      </w:r>
      <w:r>
        <w:rPr>
          <w:rFonts w:hint="eastAsia" w:eastAsia="仿宋_GB2312" w:cs="Times New Roman"/>
          <w:b w:val="0"/>
          <w:bCs w:val="0"/>
          <w:color w:val="000000"/>
          <w:kern w:val="0"/>
          <w:sz w:val="32"/>
          <w:szCs w:val="32"/>
          <w:lang w:val="en-US" w:eastAsia="zh-CN" w:bidi="ar-SA"/>
        </w:rPr>
        <w:t>14</w:t>
      </w:r>
      <w:r>
        <w:rPr>
          <w:rFonts w:hint="eastAsia" w:ascii="Times New Roman" w:hAnsi="Times New Roman" w:eastAsia="仿宋_GB2312" w:cs="Times New Roman"/>
          <w:b w:val="0"/>
          <w:bCs w:val="0"/>
          <w:color w:val="000000"/>
          <w:kern w:val="0"/>
          <w:sz w:val="32"/>
          <w:szCs w:val="32"/>
          <w:lang w:val="en-US" w:eastAsia="zh-CN" w:bidi="ar-SA"/>
        </w:rPr>
        <w:t>个，实际专项支出5</w:t>
      </w:r>
      <w:r>
        <w:rPr>
          <w:rFonts w:hint="eastAsia"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360.24万元，</w:t>
      </w:r>
      <w:r>
        <w:rPr>
          <w:rFonts w:hint="eastAsia" w:ascii="Times New Roman" w:hAnsi="Times New Roman" w:eastAsia="仿宋_GB2312" w:cs="Times New Roman"/>
          <w:color w:val="000000"/>
          <w:kern w:val="0"/>
          <w:sz w:val="32"/>
          <w:szCs w:val="32"/>
          <w:lang w:val="en-US" w:eastAsia="zh-CN" w:bidi="ar-SA"/>
        </w:rPr>
        <w:t>由于项目多、涉及部门多，</w:t>
      </w:r>
      <w:r>
        <w:rPr>
          <w:rFonts w:hint="eastAsia" w:eastAsia="仿宋_GB2312" w:cs="Times New Roman"/>
          <w:color w:val="000000"/>
          <w:kern w:val="0"/>
          <w:sz w:val="32"/>
          <w:szCs w:val="32"/>
          <w:lang w:val="en-US" w:eastAsia="zh-CN" w:bidi="ar-SA"/>
        </w:rPr>
        <w:t>部分项目跨年度执行，故</w:t>
      </w:r>
      <w:r>
        <w:rPr>
          <w:rFonts w:hint="eastAsia" w:ascii="Times New Roman" w:hAnsi="Times New Roman" w:eastAsia="仿宋_GB2312" w:cs="Times New Roman"/>
          <w:color w:val="000000"/>
          <w:kern w:val="0"/>
          <w:sz w:val="32"/>
          <w:szCs w:val="32"/>
          <w:lang w:val="en-US" w:eastAsia="zh-CN" w:bidi="ar-SA"/>
        </w:rPr>
        <w:t>部分项目支出未按绩效管理要求，</w:t>
      </w:r>
      <w:r>
        <w:rPr>
          <w:rFonts w:hint="eastAsia" w:eastAsia="仿宋_GB2312" w:cs="Times New Roman"/>
          <w:color w:val="000000"/>
          <w:kern w:val="0"/>
          <w:sz w:val="32"/>
          <w:szCs w:val="32"/>
          <w:lang w:val="en-US" w:eastAsia="zh-CN" w:bidi="ar-SA"/>
        </w:rPr>
        <w:t>及时</w:t>
      </w:r>
      <w:r>
        <w:rPr>
          <w:rFonts w:hint="eastAsia" w:ascii="Times New Roman" w:hAnsi="Times New Roman" w:eastAsia="仿宋_GB2312" w:cs="Times New Roman"/>
          <w:color w:val="000000"/>
          <w:kern w:val="0"/>
          <w:sz w:val="32"/>
          <w:szCs w:val="32"/>
          <w:lang w:val="en-US" w:eastAsia="zh-CN" w:bidi="ar-SA"/>
        </w:rPr>
        <w:t>进行年度自评。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楷体_GB2312" w:cs="Times New Roman"/>
          <w:b/>
          <w:kern w:val="2"/>
          <w:sz w:val="32"/>
          <w:szCs w:val="32"/>
          <w:lang w:val="en-US" w:eastAsia="zh-CN" w:bidi="ar-SA"/>
        </w:rPr>
      </w:pPr>
      <w:r>
        <w:rPr>
          <w:rFonts w:hint="eastAsia" w:eastAsia="楷体_GB2312" w:cs="Times New Roman"/>
          <w:b/>
          <w:kern w:val="2"/>
          <w:sz w:val="32"/>
          <w:szCs w:val="32"/>
          <w:lang w:val="en-US" w:eastAsia="zh-CN" w:bidi="ar-SA"/>
        </w:rPr>
        <w:t>八、下一步</w:t>
      </w:r>
      <w:r>
        <w:rPr>
          <w:rFonts w:hint="eastAsia" w:ascii="Times New Roman" w:hAnsi="Times New Roman" w:eastAsia="楷体_GB2312" w:cs="Times New Roman"/>
          <w:b/>
          <w:kern w:val="2"/>
          <w:sz w:val="32"/>
          <w:szCs w:val="32"/>
          <w:lang w:val="en-US" w:eastAsia="zh-CN" w:bidi="ar-SA"/>
        </w:rPr>
        <w:t>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eastAsia="仿宋_GB2312" w:cs="Times New Roman"/>
          <w:color w:val="000000"/>
          <w:kern w:val="0"/>
          <w:sz w:val="32"/>
          <w:szCs w:val="32"/>
          <w:lang w:val="en-US" w:eastAsia="zh-CN" w:bidi="ar-SA"/>
        </w:rPr>
        <w:t>（一）</w:t>
      </w:r>
      <w:r>
        <w:rPr>
          <w:rFonts w:hint="eastAsia" w:ascii="Times New Roman" w:hAnsi="Times New Roman" w:eastAsia="仿宋_GB2312" w:cs="Times New Roman"/>
          <w:b/>
          <w:bCs/>
          <w:color w:val="000000"/>
          <w:kern w:val="0"/>
          <w:sz w:val="32"/>
          <w:szCs w:val="32"/>
          <w:lang w:val="en-US" w:eastAsia="zh-CN" w:bidi="ar-SA"/>
        </w:rPr>
        <w:t>合理编制年度预算</w:t>
      </w:r>
      <w:r>
        <w:rPr>
          <w:rFonts w:hint="eastAsia"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制订详细工作计划，参考上年度预算执行情况和本年度收支预测，制订科学合理的预算标准，将预算支出项目细化，遵循实事求是的原则，进一步提高预算的可执行性。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320" w:firstLineChars="100"/>
        <w:jc w:val="both"/>
        <w:textAlignment w:val="auto"/>
        <w:rPr>
          <w:rFonts w:hint="eastAsia" w:eastAsia="仿宋_GB2312" w:cs="Times New Roman"/>
          <w:color w:val="000000"/>
          <w:kern w:val="0"/>
          <w:sz w:val="32"/>
          <w:szCs w:val="32"/>
          <w:lang w:val="en-US" w:eastAsia="zh-CN" w:bidi="ar-SA"/>
        </w:rPr>
      </w:pPr>
      <w:r>
        <w:rPr>
          <w:rFonts w:hint="eastAsia" w:eastAsia="仿宋_GB2312" w:cs="Times New Roman"/>
          <w:color w:val="000000"/>
          <w:kern w:val="0"/>
          <w:sz w:val="32"/>
          <w:szCs w:val="32"/>
          <w:lang w:val="en-US" w:eastAsia="zh-CN" w:bidi="ar-SA"/>
        </w:rPr>
        <w:t>（二）</w:t>
      </w:r>
      <w:r>
        <w:rPr>
          <w:rFonts w:hint="eastAsia" w:eastAsia="仿宋_GB2312" w:cs="Times New Roman"/>
          <w:b/>
          <w:bCs/>
          <w:color w:val="000000"/>
          <w:kern w:val="0"/>
          <w:sz w:val="32"/>
          <w:szCs w:val="32"/>
          <w:lang w:val="en-US" w:eastAsia="zh-CN" w:bidi="ar-SA"/>
        </w:rPr>
        <w:t>合理控制在岗人数</w:t>
      </w:r>
      <w:r>
        <w:rPr>
          <w:rFonts w:hint="eastAsia" w:eastAsia="仿宋_GB2312"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eastAsia="仿宋_GB2312" w:cs="Times New Roman"/>
          <w:color w:val="000000"/>
          <w:kern w:val="0"/>
          <w:sz w:val="32"/>
          <w:szCs w:val="32"/>
          <w:lang w:val="en-US" w:eastAsia="zh-CN" w:bidi="ar-SA"/>
        </w:rPr>
      </w:pPr>
      <w:r>
        <w:rPr>
          <w:rFonts w:hint="eastAsia" w:eastAsia="仿宋_GB2312" w:cs="Times New Roman"/>
          <w:color w:val="000000"/>
          <w:kern w:val="0"/>
          <w:sz w:val="32"/>
          <w:szCs w:val="32"/>
          <w:lang w:val="en-US" w:eastAsia="zh-CN" w:bidi="ar-SA"/>
        </w:rPr>
        <w:t>及时向编制部门报告实际在编在岗人数，调整“三定方案”，争取逐步解决政策性超编问题。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eastAsia="仿宋_GB2312" w:cs="Times New Roman"/>
          <w:color w:val="000000"/>
          <w:kern w:val="0"/>
          <w:sz w:val="32"/>
          <w:szCs w:val="32"/>
          <w:lang w:val="en-US" w:eastAsia="zh-CN" w:bidi="ar-SA"/>
        </w:rPr>
      </w:pPr>
      <w:r>
        <w:rPr>
          <w:rFonts w:hint="eastAsia" w:eastAsia="仿宋_GB2312" w:cs="Times New Roman"/>
          <w:b/>
          <w:bCs/>
          <w:color w:val="000000"/>
          <w:kern w:val="0"/>
          <w:sz w:val="32"/>
          <w:szCs w:val="32"/>
          <w:lang w:val="en-US" w:eastAsia="zh-CN" w:bidi="ar-SA"/>
        </w:rPr>
        <w:t>（三）加强对项目支出绩效自评工作</w:t>
      </w:r>
      <w:r>
        <w:rPr>
          <w:rFonts w:hint="eastAsia" w:eastAsia="仿宋_GB2312"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eastAsia="仿宋_GB2312" w:cs="Times New Roman"/>
          <w:color w:val="000000"/>
          <w:kern w:val="0"/>
          <w:sz w:val="32"/>
          <w:szCs w:val="32"/>
          <w:lang w:val="en-US" w:eastAsia="zh-CN" w:bidi="ar-SA"/>
        </w:rPr>
      </w:pPr>
      <w:r>
        <w:rPr>
          <w:rFonts w:hint="eastAsia" w:eastAsia="仿宋_GB2312" w:cs="Times New Roman"/>
          <w:color w:val="000000"/>
          <w:kern w:val="0"/>
          <w:sz w:val="32"/>
          <w:szCs w:val="32"/>
          <w:lang w:val="en-US" w:eastAsia="zh-CN" w:bidi="ar-SA"/>
        </w:rPr>
        <w:t>根据绩效评价要求，及时组织专业人员对项目逐一进行绩效自评。</w:t>
      </w:r>
    </w:p>
    <w:p>
      <w:pPr>
        <w:pStyle w:val="2"/>
        <w:rPr>
          <w:rFonts w:hint="default"/>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jc w:val="both"/>
        <w:textAlignment w:val="auto"/>
        <w:rPr>
          <w:rFonts w:hint="eastAsia" w:ascii="Times New Roman" w:hAnsi="Times New Roman" w:eastAsia="仿宋_GB2312" w:cs="Times New Roman"/>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jc w:val="both"/>
        <w:textAlignment w:val="auto"/>
        <w:rPr>
          <w:rFonts w:hint="eastAsia" w:ascii="Times New Roman" w:hAnsi="Times New Roman" w:eastAsia="仿宋_GB2312" w:cs="Times New Roman"/>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附件：1、2022年度部门整体支出绩效评价基础数据</w:t>
      </w:r>
      <w:r>
        <w:rPr>
          <w:rFonts w:hint="eastAsia" w:eastAsia="仿宋_GB2312" w:cs="Times New Roman"/>
          <w:color w:val="000000"/>
          <w:kern w:val="0"/>
          <w:sz w:val="32"/>
          <w:szCs w:val="32"/>
          <w:lang w:val="en-US" w:eastAsia="zh-CN" w:bidi="ar-SA"/>
        </w:rPr>
        <w:t>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280" w:firstLineChars="4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2、2022年度部门整体支出绩效自评表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280" w:firstLineChars="4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3、2022年度项目支出绩效自评表</w:t>
      </w:r>
    </w:p>
    <w:p>
      <w:pPr>
        <w:pStyle w:val="2"/>
        <w:rPr>
          <w:rFonts w:hint="default" w:ascii="Times New Roman" w:hAnsi="Times New Roman" w:eastAsia="仿宋_GB2312" w:cs="Times New Roman"/>
          <w:color w:val="000000"/>
          <w:kern w:val="0"/>
          <w:sz w:val="32"/>
          <w:szCs w:val="32"/>
          <w:lang w:val="en-US" w:eastAsia="zh-CN" w:bidi="ar-SA"/>
        </w:rPr>
      </w:pPr>
    </w:p>
    <w:p>
      <w:pPr>
        <w:pStyle w:val="2"/>
        <w:rPr>
          <w:rFonts w:hint="eastAsia" w:ascii="Times New Roman" w:hAnsi="Times New Roman" w:eastAsia="仿宋_GB2312" w:cs="Times New Roman"/>
          <w:color w:val="000000"/>
          <w:kern w:val="0"/>
          <w:sz w:val="32"/>
          <w:szCs w:val="32"/>
          <w:lang w:val="en-US" w:eastAsia="zh-CN" w:bidi="ar-SA"/>
        </w:rPr>
      </w:pPr>
    </w:p>
    <w:p>
      <w:pPr>
        <w:pageBreakBefore w:val="0"/>
        <w:widowControl w:val="0"/>
        <w:numPr>
          <w:ilvl w:val="0"/>
          <w:numId w:val="0"/>
        </w:numPr>
        <w:kinsoku/>
        <w:wordWrap/>
        <w:overflowPunct/>
        <w:topLinePunct w:val="0"/>
        <w:autoSpaceDE/>
        <w:bidi w:val="0"/>
        <w:adjustRightInd/>
        <w:spacing w:line="460" w:lineRule="exact"/>
        <w:ind w:firstLine="560" w:firstLineChars="200"/>
        <w:rPr>
          <w:rFonts w:hint="eastAsia" w:ascii="宋体" w:hAnsi="宋体" w:cs="宋体"/>
          <w:bCs/>
          <w:sz w:val="28"/>
          <w:szCs w:val="28"/>
          <w:highlight w:val="none"/>
          <w:lang w:val="en-US" w:eastAsia="zh-CN"/>
        </w:rPr>
      </w:pPr>
    </w:p>
    <w:p>
      <w:pPr>
        <w:pageBreakBefore w:val="0"/>
        <w:widowControl w:val="0"/>
        <w:numPr>
          <w:ilvl w:val="0"/>
          <w:numId w:val="0"/>
        </w:numPr>
        <w:kinsoku/>
        <w:wordWrap/>
        <w:overflowPunct/>
        <w:topLinePunct w:val="0"/>
        <w:autoSpaceDE/>
        <w:bidi w:val="0"/>
        <w:adjustRightInd/>
        <w:spacing w:line="460" w:lineRule="exact"/>
        <w:ind w:firstLine="560" w:firstLineChars="200"/>
        <w:rPr>
          <w:rFonts w:hint="eastAsia" w:ascii="仿宋_GB2312" w:hAnsi="仿宋_GB2312" w:eastAsia="仿宋_GB2312" w:cs="仿宋_GB2312"/>
          <w:bCs/>
          <w:sz w:val="32"/>
          <w:szCs w:val="32"/>
          <w:highlight w:val="none"/>
          <w:lang w:val="en-US" w:eastAsia="zh-CN"/>
        </w:rPr>
      </w:pPr>
      <w:r>
        <w:rPr>
          <w:rFonts w:hint="eastAsia" w:ascii="宋体" w:hAnsi="宋体" w:cs="宋体"/>
          <w:bCs/>
          <w:sz w:val="28"/>
          <w:szCs w:val="28"/>
          <w:highlight w:val="none"/>
          <w:lang w:val="en-US" w:eastAsia="zh-CN"/>
        </w:rPr>
        <w:t xml:space="preserve">                            </w:t>
      </w:r>
      <w:r>
        <w:rPr>
          <w:rFonts w:hint="eastAsia" w:ascii="仿宋_GB2312" w:hAnsi="仿宋_GB2312" w:eastAsia="仿宋_GB2312" w:cs="仿宋_GB2312"/>
          <w:bCs/>
          <w:sz w:val="32"/>
          <w:szCs w:val="32"/>
          <w:highlight w:val="none"/>
          <w:lang w:val="en-US" w:eastAsia="zh-CN"/>
        </w:rPr>
        <w:t>岳阳市住房和城乡建设局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0" w:firstLineChars="15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二〇二</w:t>
      </w:r>
      <w:r>
        <w:rPr>
          <w:rFonts w:hint="eastAsia" w:ascii="Times New Roman" w:hAnsi="Times New Roman" w:eastAsia="仿宋_GB2312" w:cs="Times New Roman"/>
          <w:color w:val="000000"/>
          <w:kern w:val="0"/>
          <w:sz w:val="32"/>
          <w:szCs w:val="32"/>
          <w:lang w:val="en-US" w:eastAsia="zh-CN" w:bidi="ar-SA"/>
        </w:rPr>
        <w:t>三</w:t>
      </w:r>
      <w:r>
        <w:rPr>
          <w:rFonts w:hint="default" w:ascii="Times New Roman" w:hAnsi="Times New Roman" w:eastAsia="仿宋_GB2312" w:cs="Times New Roman"/>
          <w:color w:val="000000"/>
          <w:kern w:val="0"/>
          <w:sz w:val="32"/>
          <w:szCs w:val="32"/>
          <w:lang w:val="en-US" w:eastAsia="zh-CN" w:bidi="ar-SA"/>
        </w:rPr>
        <w:t>年</w:t>
      </w:r>
      <w:r>
        <w:rPr>
          <w:rFonts w:hint="eastAsia" w:eastAsia="仿宋_GB2312" w:cs="Times New Roman"/>
          <w:color w:val="000000"/>
          <w:kern w:val="0"/>
          <w:sz w:val="32"/>
          <w:szCs w:val="32"/>
          <w:lang w:val="en-US" w:eastAsia="zh-CN" w:bidi="ar-SA"/>
        </w:rPr>
        <w:t>七</w:t>
      </w:r>
      <w:r>
        <w:rPr>
          <w:rFonts w:hint="default" w:ascii="Times New Roman" w:hAnsi="Times New Roman" w:eastAsia="仿宋_GB2312" w:cs="Times New Roman"/>
          <w:color w:val="000000"/>
          <w:kern w:val="0"/>
          <w:sz w:val="32"/>
          <w:szCs w:val="32"/>
          <w:lang w:val="en-US" w:eastAsia="zh-CN" w:bidi="ar-SA"/>
        </w:rPr>
        <w:t>月</w:t>
      </w:r>
      <w:r>
        <w:rPr>
          <w:rFonts w:hint="eastAsia" w:ascii="Times New Roman" w:hAnsi="Times New Roman" w:eastAsia="仿宋_GB2312" w:cs="Times New Roman"/>
          <w:color w:val="000000"/>
          <w:kern w:val="0"/>
          <w:sz w:val="32"/>
          <w:szCs w:val="32"/>
          <w:lang w:val="en-US" w:eastAsia="zh-CN" w:bidi="ar-SA"/>
        </w:rPr>
        <w:t>五</w:t>
      </w:r>
      <w:r>
        <w:rPr>
          <w:rFonts w:hint="default" w:ascii="Times New Roman" w:hAnsi="Times New Roman" w:eastAsia="仿宋_GB2312" w:cs="Times New Roman"/>
          <w:color w:val="000000"/>
          <w:kern w:val="0"/>
          <w:sz w:val="32"/>
          <w:szCs w:val="32"/>
          <w:lang w:val="en-US" w:eastAsia="zh-CN" w:bidi="ar-SA"/>
        </w:rPr>
        <w:t>日</w:t>
      </w:r>
    </w:p>
    <w:p>
      <w:pPr>
        <w:pStyle w:val="12"/>
        <w:rPr>
          <w:rFonts w:hint="default" w:ascii="Times New Roman" w:hAnsi="Times New Roman" w:eastAsia="仿宋_GB2312" w:cs="Times New Roman"/>
          <w:color w:val="000000"/>
          <w:kern w:val="0"/>
          <w:sz w:val="32"/>
          <w:szCs w:val="32"/>
          <w:lang w:val="en-US" w:eastAsia="zh-CN" w:bidi="ar-SA"/>
        </w:rPr>
      </w:pPr>
    </w:p>
    <w:p>
      <w:pPr>
        <w:pStyle w:val="12"/>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1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b/>
                <w:bCs/>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76</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76</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bookmarkStart w:id="0" w:name="OLE_LINK1" w:colFirst="0" w:colLast="3"/>
            <w:r>
              <w:rPr>
                <w:rFonts w:hint="eastAsia" w:ascii="仿宋_GB2312" w:hAnsi="仿宋_GB2312" w:eastAsia="仿宋_GB2312" w:cs="仿宋_GB2312"/>
                <w:b/>
                <w:bCs/>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bookmarkEnd w:id="0"/>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25.13</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10.23</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8.93</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19.62</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6.23</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6.23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19.62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6.23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6.23</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5.51</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2.7</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8641.61</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5360.24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5360.24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1133.90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1068.6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1068.6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35.69</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3、资本性支出（基建项目）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3896.34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1120.79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1120.79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600" w:firstLineChars="300"/>
              <w:jc w:val="both"/>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资本性支出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3575.68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1421.26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1421.26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   4、对企业补助</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1742.59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1742.59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color w:val="FF0000"/>
                <w:sz w:val="20"/>
                <w:szCs w:val="20"/>
              </w:rPr>
              <w:t>、</w:t>
            </w:r>
            <w:r>
              <w:rPr>
                <w:rFonts w:hint="eastAsia" w:ascii="仿宋_GB2312" w:hAnsi="仿宋_GB2312" w:eastAsia="仿宋_GB2312" w:cs="仿宋_GB2312"/>
                <w:color w:val="auto"/>
                <w:sz w:val="20"/>
                <w:szCs w:val="20"/>
                <w:lang w:eastAsia="zh-CN"/>
              </w:rPr>
              <w:t>市级</w:t>
            </w:r>
            <w:r>
              <w:rPr>
                <w:rFonts w:hint="eastAsia" w:ascii="仿宋_GB2312" w:hAnsi="仿宋_GB2312" w:eastAsia="仿宋_GB2312" w:cs="仿宋_GB2312"/>
                <w:color w:val="auto"/>
                <w:sz w:val="20"/>
                <w:szCs w:val="20"/>
              </w:rPr>
              <w:t>专项资金（</w:t>
            </w:r>
            <w:r>
              <w:rPr>
                <w:rFonts w:hint="eastAsia" w:ascii="仿宋_GB2312" w:hAnsi="仿宋_GB2312" w:eastAsia="仿宋_GB2312" w:cs="仿宋_GB2312"/>
                <w:sz w:val="20"/>
                <w:szCs w:val="20"/>
              </w:rPr>
              <w:t>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5360.24</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5360.24</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1）经济适用住房货币补贴</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ind w:firstLine="800" w:firstLineChars="400"/>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162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ind w:firstLine="800" w:firstLineChars="4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162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历史文化名城专项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85.5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85.5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lang w:val="en-US" w:eastAsia="zh-CN"/>
              </w:rPr>
              <w:t>3）</w:t>
            </w:r>
            <w:r>
              <w:rPr>
                <w:rFonts w:hint="eastAsia" w:ascii="仿宋_GB2312" w:hAnsi="仿宋_GB2312" w:eastAsia="仿宋_GB2312" w:cs="仿宋_GB2312"/>
                <w:color w:val="auto"/>
                <w:sz w:val="20"/>
                <w:szCs w:val="20"/>
              </w:rPr>
              <w:t>城市管网及污水处理补助</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389.4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389.4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城建项目库</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59.8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59.8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sz w:val="20"/>
                <w:szCs w:val="20"/>
              </w:rPr>
              <w:t>可再生能源示范城市补助资金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204.94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204.94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sz w:val="20"/>
                <w:szCs w:val="20"/>
              </w:rPr>
              <w:t>建设事务管理经费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val="en-US" w:eastAsia="zh-CN"/>
              </w:rPr>
              <w:t>93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353.33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7）</w:t>
            </w:r>
            <w:r>
              <w:rPr>
                <w:rFonts w:hint="eastAsia" w:ascii="仿宋_GB2312" w:hAnsi="仿宋_GB2312" w:eastAsia="仿宋_GB2312" w:cs="仿宋_GB2312"/>
                <w:sz w:val="20"/>
                <w:szCs w:val="20"/>
              </w:rPr>
              <w:t>采石场及砂石公司专项补助</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10.62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10.62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8）</w:t>
            </w:r>
            <w:r>
              <w:rPr>
                <w:rFonts w:hint="eastAsia" w:ascii="仿宋_GB2312" w:hAnsi="仿宋_GB2312" w:eastAsia="仿宋_GB2312" w:cs="仿宋_GB2312"/>
                <w:sz w:val="20"/>
                <w:szCs w:val="20"/>
              </w:rPr>
              <w:t>施工图审查</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299.94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299.94</w:t>
            </w:r>
          </w:p>
        </w:tc>
      </w:tr>
      <w:tr>
        <w:tblPrEx>
          <w:tblCellMar>
            <w:top w:w="0" w:type="dxa"/>
            <w:left w:w="108" w:type="dxa"/>
            <w:bottom w:w="0" w:type="dxa"/>
            <w:right w:w="108" w:type="dxa"/>
          </w:tblCellMar>
        </w:tblPrEx>
        <w:trPr>
          <w:trHeight w:val="542"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9）</w:t>
            </w:r>
            <w:r>
              <w:rPr>
                <w:rFonts w:hint="eastAsia" w:ascii="仿宋_GB2312" w:hAnsi="仿宋_GB2312" w:eastAsia="仿宋_GB2312" w:cs="仿宋_GB2312"/>
                <w:sz w:val="20"/>
                <w:szCs w:val="20"/>
              </w:rPr>
              <w:t>可再生能源、绿色建筑产业发展配套资金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5.42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5.42</w:t>
            </w:r>
          </w:p>
        </w:tc>
      </w:tr>
      <w:tr>
        <w:tblPrEx>
          <w:tblCellMar>
            <w:top w:w="0" w:type="dxa"/>
            <w:left w:w="108" w:type="dxa"/>
            <w:bottom w:w="0" w:type="dxa"/>
            <w:right w:w="108" w:type="dxa"/>
          </w:tblCellMar>
        </w:tblPrEx>
        <w:trPr>
          <w:trHeight w:val="603"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10）</w:t>
            </w:r>
            <w:r>
              <w:rPr>
                <w:rFonts w:hint="eastAsia" w:ascii="仿宋_GB2312" w:hAnsi="仿宋_GB2312" w:eastAsia="仿宋_GB2312" w:cs="仿宋_GB2312"/>
                <w:sz w:val="20"/>
                <w:szCs w:val="20"/>
              </w:rPr>
              <w:t>求索西路项目(发展改革委安排的基建项目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1120.79</w:t>
            </w:r>
          </w:p>
        </w:tc>
        <w:tc>
          <w:tcPr>
            <w:tcW w:w="2041" w:type="dxa"/>
            <w:gridSpan w:val="2"/>
            <w:tcBorders>
              <w:top w:val="single" w:color="auto" w:sz="4" w:space="0"/>
              <w:left w:val="nil"/>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1120.79</w:t>
            </w:r>
          </w:p>
        </w:tc>
      </w:tr>
      <w:tr>
        <w:tblPrEx>
          <w:tblCellMar>
            <w:top w:w="0" w:type="dxa"/>
            <w:left w:w="108" w:type="dxa"/>
            <w:bottom w:w="0" w:type="dxa"/>
            <w:right w:w="108" w:type="dxa"/>
          </w:tblCellMar>
        </w:tblPrEx>
        <w:trPr>
          <w:trHeight w:val="58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11）</w:t>
            </w:r>
            <w:r>
              <w:rPr>
                <w:rFonts w:hint="eastAsia" w:ascii="仿宋_GB2312" w:hAnsi="仿宋_GB2312" w:eastAsia="仿宋_GB2312" w:cs="仿宋_GB2312"/>
                <w:sz w:val="20"/>
                <w:szCs w:val="20"/>
              </w:rPr>
              <w:t>工程建设项目审批制度改革专项</w:t>
            </w:r>
            <w:bookmarkStart w:id="1" w:name="_GoBack"/>
            <w:bookmarkEnd w:id="1"/>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40.42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40.42</w:t>
            </w:r>
          </w:p>
        </w:tc>
      </w:tr>
      <w:tr>
        <w:tblPrEx>
          <w:tblCellMar>
            <w:top w:w="0" w:type="dxa"/>
            <w:left w:w="108" w:type="dxa"/>
            <w:bottom w:w="0" w:type="dxa"/>
            <w:right w:w="108" w:type="dxa"/>
          </w:tblCellMar>
        </w:tblPrEx>
        <w:trPr>
          <w:trHeight w:val="422"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12）</w:t>
            </w:r>
            <w:r>
              <w:rPr>
                <w:rFonts w:hint="eastAsia" w:ascii="仿宋_GB2312" w:hAnsi="仿宋_GB2312" w:eastAsia="仿宋_GB2312" w:cs="仿宋_GB2312"/>
                <w:sz w:val="20"/>
                <w:szCs w:val="20"/>
              </w:rPr>
              <w:t>改制企业社保医保资金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1527.03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1527.03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13）</w:t>
            </w:r>
            <w:r>
              <w:rPr>
                <w:rFonts w:hint="eastAsia" w:ascii="仿宋_GB2312" w:hAnsi="仿宋_GB2312" w:eastAsia="仿宋_GB2312" w:cs="仿宋_GB2312"/>
                <w:sz w:val="20"/>
                <w:szCs w:val="20"/>
              </w:rPr>
              <w:t>城乡建设引导资金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40.9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40.9</w:t>
            </w:r>
          </w:p>
        </w:tc>
      </w:tr>
      <w:tr>
        <w:tblPrEx>
          <w:tblCellMar>
            <w:top w:w="0" w:type="dxa"/>
            <w:left w:w="108" w:type="dxa"/>
            <w:bottom w:w="0" w:type="dxa"/>
            <w:right w:w="108" w:type="dxa"/>
          </w:tblCellMar>
        </w:tblPrEx>
        <w:trPr>
          <w:trHeight w:val="889"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14）</w:t>
            </w:r>
            <w:r>
              <w:rPr>
                <w:rFonts w:hint="eastAsia" w:ascii="仿宋_GB2312" w:hAnsi="仿宋_GB2312" w:eastAsia="仿宋_GB2312" w:cs="仿宋_GB2312"/>
                <w:sz w:val="20"/>
                <w:szCs w:val="20"/>
              </w:rPr>
              <w:t>居民自建房安全专项整治工作经费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60.16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60.16</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sz w:val="20"/>
                <w:szCs w:val="20"/>
              </w:rPr>
              <w:t>经费控制情况（万元）</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公用经费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741.25</w:t>
            </w:r>
            <w:r>
              <w:rPr>
                <w:rFonts w:hint="eastAsia" w:ascii="仿宋_GB2312" w:hAnsi="仿宋_GB2312" w:eastAsia="仿宋_GB2312" w:cs="仿宋_GB2312"/>
                <w:b/>
                <w:bCs/>
                <w:sz w:val="20"/>
                <w:szCs w:val="20"/>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912.55</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543.05</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73.33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10.73</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10.73</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74.95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96.41</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96.41</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b w:val="0"/>
                <w:bCs w:val="0"/>
                <w:sz w:val="20"/>
                <w:szCs w:val="20"/>
                <w:lang w:val="en-US" w:eastAsia="zh-CN"/>
              </w:rPr>
              <w:t>13.31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0.52</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0.52</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政府采购金额</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b w:val="0"/>
                <w:bCs w:val="0"/>
                <w:color w:val="auto"/>
                <w:sz w:val="20"/>
                <w:szCs w:val="20"/>
                <w:lang w:val="en-US"/>
              </w:rPr>
            </w:pPr>
            <w:r>
              <w:rPr>
                <w:rFonts w:hint="eastAsia" w:ascii="仿宋_GB2312" w:hAnsi="仿宋_GB2312" w:eastAsia="仿宋_GB2312" w:cs="仿宋_GB2312"/>
                <w:b w:val="0"/>
                <w:bCs w:val="0"/>
                <w:color w:val="auto"/>
                <w:sz w:val="20"/>
                <w:szCs w:val="20"/>
                <w:lang w:val="en-US" w:eastAsia="zh-CN"/>
              </w:rPr>
              <w:t>950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2101.75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3082.5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2713.00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293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  1.机关工作人员起模范带头作用，精打细算、</w:t>
            </w:r>
            <w:r>
              <w:rPr>
                <w:rFonts w:hint="eastAsia" w:ascii="仿宋_GB2312" w:hAnsi="仿宋_GB2312" w:eastAsia="仿宋_GB2312" w:cs="仿宋_GB2312"/>
                <w:sz w:val="20"/>
                <w:szCs w:val="20"/>
              </w:rPr>
              <w:t>厉行节约</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主要控制了三公经费、会议费、培训费、印刷费、办公费、劳务费、委托业务费、维修（护）费、其他交通费、等日常经费开支。2022年以上费用比2021年支出减少，严格控制公用经费支出。</w:t>
            </w:r>
          </w:p>
          <w:p>
            <w:pPr>
              <w:widowControl/>
              <w:spacing w:line="36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2.健全管理制度，抓制度落实，控制费用增长。根据岳阳市制订相关制度，市住建局制订《会议费管理办法》、《岳阳市行政机关事业单位招待费管理办法》《岳阳市行政机关事业单位培训费管理办法》等制度，市住建局根据本单位实际，制订了行政经费各项管理制度并遵照执行。管理本单位各项公用经费</w:t>
            </w:r>
            <w:r>
              <w:rPr>
                <w:rFonts w:hint="eastAsia" w:ascii="仿宋_GB2312" w:hAnsi="仿宋_GB2312" w:eastAsia="仿宋_GB2312" w:cs="仿宋_GB2312"/>
                <w:sz w:val="20"/>
                <w:szCs w:val="20"/>
                <w:lang w:eastAsia="zh-CN"/>
              </w:rPr>
              <w:t>。</w:t>
            </w:r>
          </w:p>
          <w:p>
            <w:pPr>
              <w:widowControl/>
              <w:spacing w:line="360" w:lineRule="exact"/>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加强对预算管理及财务收支管理。严格遵照“先有预算后有支出”预算管理要求，控制行政经费及项目经费预算，对超预算资金严格管控；财务部门加强财务收支管理，对支出每笔费认真审核，对不合规费用拒绝支付，严格按照审核、审批程序，把控资金支付合规性、合法性、准确性。</w:t>
            </w:r>
          </w:p>
        </w:tc>
      </w:tr>
    </w:tbl>
    <w:p>
      <w:pPr>
        <w:widowControl/>
        <w:spacing w:afterLines="0" w:line="40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0"/>
          <w:szCs w:val="20"/>
        </w:rPr>
      </w:pPr>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0"/>
          <w:szCs w:val="20"/>
        </w:rPr>
        <w:t>填表人：</w:t>
      </w:r>
      <w:r>
        <w:rPr>
          <w:rFonts w:hint="eastAsia" w:eastAsia="仿宋_GB2312" w:cs="Times New Roman"/>
          <w:sz w:val="20"/>
          <w:szCs w:val="20"/>
          <w:lang w:eastAsia="zh-CN"/>
        </w:rPr>
        <w:t>任哲渔</w:t>
      </w:r>
      <w:r>
        <w:rPr>
          <w:rFonts w:hint="eastAsia" w:eastAsia="仿宋_GB2312" w:cs="Times New Roman"/>
          <w:sz w:val="20"/>
          <w:szCs w:val="20"/>
          <w:lang w:val="en-US" w:eastAsia="zh-CN"/>
        </w:rPr>
        <w:t xml:space="preserve">  </w:t>
      </w:r>
      <w:r>
        <w:rPr>
          <w:rFonts w:hint="default" w:ascii="Times New Roman" w:hAnsi="Times New Roman" w:eastAsia="仿宋_GB2312" w:cs="Times New Roman"/>
          <w:sz w:val="20"/>
          <w:szCs w:val="20"/>
        </w:rPr>
        <w:t xml:space="preserve"> 填报日期： </w:t>
      </w:r>
      <w:r>
        <w:rPr>
          <w:rFonts w:hint="eastAsia" w:eastAsia="仿宋_GB2312" w:cs="Times New Roman"/>
          <w:sz w:val="20"/>
          <w:szCs w:val="20"/>
          <w:lang w:val="en-US" w:eastAsia="zh-CN"/>
        </w:rPr>
        <w:t>2022.07.05</w:t>
      </w:r>
      <w:r>
        <w:rPr>
          <w:rFonts w:hint="default" w:ascii="Times New Roman" w:hAnsi="Times New Roman" w:eastAsia="仿宋_GB2312" w:cs="Times New Roman"/>
          <w:sz w:val="20"/>
          <w:szCs w:val="20"/>
        </w:rPr>
        <w:t xml:space="preserve">   联系电话： </w:t>
      </w:r>
      <w:r>
        <w:rPr>
          <w:rFonts w:hint="eastAsia" w:eastAsia="仿宋_GB2312" w:cs="Times New Roman"/>
          <w:sz w:val="20"/>
          <w:szCs w:val="20"/>
          <w:lang w:val="en-US" w:eastAsia="zh-CN"/>
        </w:rPr>
        <w:t>8758009</w:t>
      </w:r>
      <w:r>
        <w:rPr>
          <w:rFonts w:hint="default" w:ascii="Times New Roman" w:hAnsi="Times New Roman" w:eastAsia="仿宋_GB2312" w:cs="Times New Roman"/>
          <w:sz w:val="20"/>
          <w:szCs w:val="20"/>
        </w:rPr>
        <w:t xml:space="preserve">      单位负责人签字：</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14"/>
        <w:tblW w:w="10079" w:type="dxa"/>
        <w:jc w:val="center"/>
        <w:tblLayout w:type="fixed"/>
        <w:tblCellMar>
          <w:top w:w="0" w:type="dxa"/>
          <w:left w:w="108" w:type="dxa"/>
          <w:bottom w:w="0" w:type="dxa"/>
          <w:right w:w="108" w:type="dxa"/>
        </w:tblCellMar>
      </w:tblPr>
      <w:tblGrid>
        <w:gridCol w:w="663"/>
        <w:gridCol w:w="523"/>
        <w:gridCol w:w="485"/>
        <w:gridCol w:w="2793"/>
        <w:gridCol w:w="1445"/>
        <w:gridCol w:w="1254"/>
        <w:gridCol w:w="597"/>
        <w:gridCol w:w="749"/>
        <w:gridCol w:w="1570"/>
      </w:tblGrid>
      <w:tr>
        <w:tblPrEx>
          <w:tblCellMar>
            <w:top w:w="0" w:type="dxa"/>
            <w:left w:w="108" w:type="dxa"/>
            <w:bottom w:w="0" w:type="dxa"/>
            <w:right w:w="108" w:type="dxa"/>
          </w:tblCellMar>
        </w:tblPrEx>
        <w:trPr>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rPr>
              <w:t>市</w:t>
            </w:r>
            <w:r>
              <w:rPr>
                <w:rFonts w:hint="eastAsia" w:ascii="仿宋_GB2312" w:hAnsi="仿宋_GB2312" w:eastAsia="仿宋_GB2312" w:cs="仿宋_GB2312"/>
                <w:b/>
                <w:bCs/>
                <w:color w:val="000000"/>
                <w:sz w:val="21"/>
                <w:szCs w:val="21"/>
              </w:rPr>
              <w:t>级预算部门名称</w:t>
            </w:r>
          </w:p>
        </w:tc>
        <w:tc>
          <w:tcPr>
            <w:tcW w:w="941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8"/>
                <w:szCs w:val="28"/>
              </w:rPr>
              <w:t>岳阳市住房和城乡建设局</w:t>
            </w:r>
            <w:r>
              <w:rPr>
                <w:rFonts w:hint="eastAsia" w:ascii="仿宋_GB2312" w:hAnsi="仿宋_GB2312" w:eastAsia="仿宋_GB2312" w:cs="仿宋_GB2312"/>
                <w:b/>
                <w:bCs/>
                <w:color w:val="000000"/>
                <w:sz w:val="21"/>
                <w:szCs w:val="21"/>
              </w:rPr>
              <w:t>　</w:t>
            </w:r>
          </w:p>
        </w:tc>
      </w:tr>
      <w:tr>
        <w:tblPrEx>
          <w:tblCellMar>
            <w:top w:w="0" w:type="dxa"/>
            <w:left w:w="108" w:type="dxa"/>
            <w:bottom w:w="0" w:type="dxa"/>
            <w:right w:w="108" w:type="dxa"/>
          </w:tblCellMar>
        </w:tblPrEx>
        <w:trPr>
          <w:trHeight w:val="628" w:hRule="atLeast"/>
          <w:jc w:val="center"/>
        </w:trPr>
        <w:tc>
          <w:tcPr>
            <w:tcW w:w="663"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年度预</w:t>
            </w:r>
          </w:p>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算申请</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（万元）</w:t>
            </w:r>
          </w:p>
        </w:tc>
        <w:tc>
          <w:tcPr>
            <w:tcW w:w="100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p>
        </w:tc>
        <w:tc>
          <w:tcPr>
            <w:tcW w:w="279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年初预算数</w:t>
            </w:r>
          </w:p>
        </w:tc>
        <w:tc>
          <w:tcPr>
            <w:tcW w:w="144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全年预算数</w:t>
            </w:r>
          </w:p>
        </w:tc>
        <w:tc>
          <w:tcPr>
            <w:tcW w:w="125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全年执行数</w:t>
            </w:r>
          </w:p>
        </w:tc>
        <w:tc>
          <w:tcPr>
            <w:tcW w:w="59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分值</w:t>
            </w:r>
          </w:p>
        </w:tc>
        <w:tc>
          <w:tcPr>
            <w:tcW w:w="74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执行率</w:t>
            </w:r>
          </w:p>
        </w:tc>
        <w:tc>
          <w:tcPr>
            <w:tcW w:w="15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得分</w:t>
            </w:r>
          </w:p>
        </w:tc>
      </w:tr>
      <w:tr>
        <w:tblPrEx>
          <w:tblCellMar>
            <w:top w:w="0" w:type="dxa"/>
            <w:left w:w="108" w:type="dxa"/>
            <w:bottom w:w="0" w:type="dxa"/>
            <w:right w:w="108" w:type="dxa"/>
          </w:tblCellMar>
        </w:tblPrEx>
        <w:trPr>
          <w:trHeight w:val="638" w:hRule="atLeast"/>
          <w:jc w:val="center"/>
        </w:trPr>
        <w:tc>
          <w:tcPr>
            <w:tcW w:w="663"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1"/>
                <w:szCs w:val="21"/>
              </w:rPr>
            </w:pPr>
          </w:p>
        </w:tc>
        <w:tc>
          <w:tcPr>
            <w:tcW w:w="100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年度资金总额</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万元）</w:t>
            </w:r>
          </w:p>
        </w:tc>
        <w:tc>
          <w:tcPr>
            <w:tcW w:w="279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2,480.45</w:t>
            </w:r>
          </w:p>
        </w:tc>
        <w:tc>
          <w:tcPr>
            <w:tcW w:w="144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7,598.17</w:t>
            </w:r>
          </w:p>
        </w:tc>
        <w:tc>
          <w:tcPr>
            <w:tcW w:w="1254"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8,073.24</w:t>
            </w:r>
          </w:p>
        </w:tc>
        <w:tc>
          <w:tcPr>
            <w:tcW w:w="59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74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106%</w:t>
            </w:r>
          </w:p>
        </w:tc>
        <w:tc>
          <w:tcPr>
            <w:tcW w:w="15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highlight w:val="none"/>
                <w:lang w:val="en-US" w:eastAsia="zh-CN"/>
              </w:rPr>
              <w:t>8分</w:t>
            </w:r>
          </w:p>
        </w:tc>
      </w:tr>
      <w:tr>
        <w:tblPrEx>
          <w:tblCellMar>
            <w:top w:w="0" w:type="dxa"/>
            <w:left w:w="108" w:type="dxa"/>
            <w:bottom w:w="0" w:type="dxa"/>
            <w:right w:w="108" w:type="dxa"/>
          </w:tblCellMar>
        </w:tblPrEx>
        <w:trPr>
          <w:trHeight w:val="627"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24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按收入性质分：</w:t>
            </w:r>
          </w:p>
        </w:tc>
        <w:tc>
          <w:tcPr>
            <w:tcW w:w="417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按支出性质分：</w:t>
            </w:r>
          </w:p>
        </w:tc>
      </w:tr>
      <w:tr>
        <w:tblPrEx>
          <w:tblCellMar>
            <w:top w:w="0" w:type="dxa"/>
            <w:left w:w="108" w:type="dxa"/>
            <w:bottom w:w="0" w:type="dxa"/>
            <w:right w:w="108" w:type="dxa"/>
          </w:tblCellMar>
        </w:tblPrEx>
        <w:trPr>
          <w:trHeight w:val="690"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24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rPr>
              <w:t xml:space="preserve">  其中：  一般公共预算：</w:t>
            </w:r>
            <w:r>
              <w:rPr>
                <w:rFonts w:hint="eastAsia" w:ascii="仿宋_GB2312" w:hAnsi="仿宋_GB2312" w:eastAsia="仿宋_GB2312" w:cs="仿宋_GB2312"/>
                <w:color w:val="000000"/>
                <w:sz w:val="21"/>
                <w:szCs w:val="21"/>
                <w:lang w:val="en-US" w:eastAsia="zh-CN"/>
              </w:rPr>
              <w:t xml:space="preserve">             7,598.17</w:t>
            </w:r>
          </w:p>
        </w:tc>
        <w:tc>
          <w:tcPr>
            <w:tcW w:w="417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其中：基本支出：</w:t>
            </w:r>
            <w:r>
              <w:rPr>
                <w:rFonts w:hint="eastAsia" w:ascii="仿宋_GB2312" w:hAnsi="仿宋_GB2312" w:eastAsia="仿宋_GB2312" w:cs="仿宋_GB2312"/>
                <w:color w:val="000000"/>
                <w:sz w:val="21"/>
                <w:szCs w:val="21"/>
                <w:lang w:val="en-US" w:eastAsia="zh-CN"/>
              </w:rPr>
              <w:t>2,713.00万元</w:t>
            </w:r>
          </w:p>
        </w:tc>
      </w:tr>
      <w:tr>
        <w:tblPrEx>
          <w:tblCellMar>
            <w:top w:w="0" w:type="dxa"/>
            <w:left w:w="108" w:type="dxa"/>
            <w:bottom w:w="0" w:type="dxa"/>
            <w:right w:w="108" w:type="dxa"/>
          </w:tblCellMar>
        </w:tblPrEx>
        <w:trPr>
          <w:trHeight w:val="565"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246" w:type="dxa"/>
            <w:gridSpan w:val="4"/>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政府性基金拨款：</w:t>
            </w:r>
            <w:r>
              <w:rPr>
                <w:rFonts w:hint="eastAsia" w:ascii="仿宋_GB2312" w:hAnsi="仿宋_GB2312" w:eastAsia="仿宋_GB2312" w:cs="仿宋_GB2312"/>
                <w:color w:val="000000"/>
                <w:sz w:val="21"/>
                <w:szCs w:val="21"/>
                <w:lang w:val="en-US" w:eastAsia="zh-CN"/>
              </w:rPr>
              <w:t xml:space="preserve">                    0</w:t>
            </w:r>
          </w:p>
        </w:tc>
        <w:tc>
          <w:tcPr>
            <w:tcW w:w="4170"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项目支出：</w:t>
            </w:r>
            <w:r>
              <w:rPr>
                <w:rFonts w:hint="eastAsia" w:ascii="仿宋_GB2312" w:hAnsi="仿宋_GB2312" w:eastAsia="仿宋_GB2312" w:cs="仿宋_GB2312"/>
                <w:color w:val="000000"/>
                <w:sz w:val="21"/>
                <w:szCs w:val="21"/>
                <w:lang w:val="en-US" w:eastAsia="zh-CN"/>
              </w:rPr>
              <w:t>5,360.24万元</w:t>
            </w:r>
          </w:p>
        </w:tc>
      </w:tr>
      <w:tr>
        <w:tblPrEx>
          <w:tblCellMar>
            <w:top w:w="0" w:type="dxa"/>
            <w:left w:w="108" w:type="dxa"/>
            <w:bottom w:w="0" w:type="dxa"/>
            <w:right w:w="108" w:type="dxa"/>
          </w:tblCellMar>
        </w:tblPrEx>
        <w:trPr>
          <w:trHeight w:val="614"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24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纳入专户管理的非税收入拨款：</w:t>
            </w:r>
            <w:r>
              <w:rPr>
                <w:rFonts w:hint="eastAsia" w:ascii="仿宋_GB2312" w:hAnsi="仿宋_GB2312" w:eastAsia="仿宋_GB2312" w:cs="仿宋_GB2312"/>
                <w:color w:val="000000"/>
                <w:sz w:val="21"/>
                <w:szCs w:val="21"/>
                <w:lang w:val="en-US" w:eastAsia="zh-CN"/>
              </w:rPr>
              <w:t xml:space="preserve">                0</w:t>
            </w:r>
          </w:p>
        </w:tc>
        <w:tc>
          <w:tcPr>
            <w:tcW w:w="417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55" w:hRule="atLeast"/>
          <w:jc w:val="center"/>
        </w:trPr>
        <w:tc>
          <w:tcPr>
            <w:tcW w:w="663"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246" w:type="dxa"/>
            <w:gridSpan w:val="4"/>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其他资金：</w:t>
            </w:r>
            <w:r>
              <w:rPr>
                <w:rFonts w:hint="eastAsia" w:ascii="仿宋_GB2312" w:hAnsi="仿宋_GB2312" w:eastAsia="仿宋_GB2312" w:cs="仿宋_GB2312"/>
                <w:color w:val="000000"/>
                <w:sz w:val="21"/>
                <w:szCs w:val="21"/>
                <w:lang w:val="en-US" w:eastAsia="zh-CN"/>
              </w:rPr>
              <w:t xml:space="preserve">                 289.71</w:t>
            </w:r>
          </w:p>
        </w:tc>
        <w:tc>
          <w:tcPr>
            <w:tcW w:w="417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732" w:hRule="atLeast"/>
          <w:jc w:val="center"/>
        </w:trPr>
        <w:tc>
          <w:tcPr>
            <w:tcW w:w="663"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年度总体目标</w:t>
            </w:r>
          </w:p>
        </w:tc>
        <w:tc>
          <w:tcPr>
            <w:tcW w:w="5246"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预期目标</w:t>
            </w:r>
          </w:p>
        </w:tc>
        <w:tc>
          <w:tcPr>
            <w:tcW w:w="417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实际完成情况　</w:t>
            </w:r>
          </w:p>
        </w:tc>
      </w:tr>
      <w:tr>
        <w:tblPrEx>
          <w:tblCellMar>
            <w:top w:w="0" w:type="dxa"/>
            <w:left w:w="108" w:type="dxa"/>
            <w:bottom w:w="0" w:type="dxa"/>
            <w:right w:w="108" w:type="dxa"/>
          </w:tblCellMar>
        </w:tblPrEx>
        <w:trPr>
          <w:trHeight w:val="5958"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246"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lang w:val="en-US" w:eastAsia="zh-CN"/>
              </w:rPr>
            </w:pPr>
            <w:r>
              <w:rPr>
                <w:rFonts w:hint="eastAsia" w:ascii="Times New Roman" w:hAnsi="Times New Roman" w:eastAsia="仿宋_GB2312" w:cs="Times New Roman"/>
                <w:b w:val="0"/>
                <w:bCs w:val="0"/>
                <w:color w:val="000000"/>
                <w:kern w:val="0"/>
                <w:sz w:val="21"/>
                <w:szCs w:val="21"/>
                <w:lang w:val="en-US" w:eastAsia="zh-CN" w:bidi="ar-SA"/>
              </w:rPr>
              <w:t>1</w:t>
            </w:r>
            <w:r>
              <w:rPr>
                <w:rFonts w:hint="eastAsia" w:ascii="仿宋_GB2312" w:hAnsi="仿宋_GB2312" w:eastAsia="仿宋_GB2312" w:cs="仿宋_GB2312"/>
                <w:color w:val="000000"/>
                <w:sz w:val="21"/>
                <w:szCs w:val="21"/>
                <w:lang w:val="en-US" w:eastAsia="zh-CN"/>
              </w:rPr>
              <w:t>、突出抓好城市更新工程，进一步加强住房保障及老旧小区改造工作。</w:t>
            </w:r>
          </w:p>
          <w:p>
            <w:pPr>
              <w:widowControl/>
              <w:spacing w:line="240" w:lineRule="exact"/>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2、突出抓好市政设施工程，进一步加速东风湖新区建设、城市道路建设、电力管廊建设；推进海绵城市建设及三峡项目二期工程建设；推进城乡污水处理管网搞工程建设，提高污水收集处理能力。</w:t>
            </w:r>
          </w:p>
          <w:p>
            <w:pPr>
              <w:widowControl/>
              <w:spacing w:line="240" w:lineRule="exact"/>
              <w:jc w:val="left"/>
              <w:rPr>
                <w:rFonts w:hint="eastAsia" w:ascii="Times New Roman" w:hAnsi="Times New Roman" w:eastAsia="仿宋_GB2312" w:cs="Times New Roman"/>
                <w:b w:val="0"/>
                <w:bCs w:val="0"/>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3、突出抓好安全管理工程，开展住建领域质量安全提升专项行动，确保建设项目安全；加强农村危房改造工作，提升农村建房能力和水</w:t>
            </w:r>
            <w:r>
              <w:rPr>
                <w:rFonts w:hint="eastAsia" w:ascii="Times New Roman" w:hAnsi="Times New Roman" w:eastAsia="仿宋_GB2312" w:cs="Times New Roman"/>
                <w:b w:val="0"/>
                <w:bCs w:val="0"/>
                <w:color w:val="000000"/>
                <w:kern w:val="0"/>
                <w:sz w:val="21"/>
                <w:szCs w:val="21"/>
                <w:lang w:val="en-US" w:eastAsia="zh-CN" w:bidi="ar-SA"/>
              </w:rPr>
              <w:t>平。</w:t>
            </w:r>
          </w:p>
          <w:p>
            <w:pPr>
              <w:widowControl/>
              <w:spacing w:line="240" w:lineRule="exact"/>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4、突出抓好房地产市场稳控，健全多元化纠纷解决机制，稳妥处理房地产领域涉稳遗留问题；开展整治规范房地产市场秩序，促进房地产市场健康有序发展。</w:t>
            </w:r>
          </w:p>
          <w:p>
            <w:pPr>
              <w:widowControl/>
              <w:spacing w:line="240" w:lineRule="exact"/>
              <w:jc w:val="left"/>
              <w:rPr>
                <w:rFonts w:hint="eastAsia" w:ascii="Times New Roman" w:hAnsi="Times New Roman" w:eastAsia="仿宋_GB2312" w:cs="Times New Roman"/>
                <w:b w:val="0"/>
                <w:bCs w:val="0"/>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5、提升建设管理效能，探索建筑工程质量评价制度，加大扬尘治理力度，推进标准化、精细化示范工地创建；加强招投标行业监管，打击围标串标等违法维规行为，</w:t>
            </w:r>
            <w:r>
              <w:rPr>
                <w:rFonts w:hint="eastAsia" w:ascii="Times New Roman" w:hAnsi="Times New Roman" w:eastAsia="仿宋_GB2312" w:cs="Times New Roman"/>
                <w:b w:val="0"/>
                <w:bCs w:val="0"/>
                <w:color w:val="000000"/>
                <w:kern w:val="0"/>
                <w:sz w:val="21"/>
                <w:szCs w:val="21"/>
                <w:lang w:val="en-US" w:eastAsia="zh-CN" w:bidi="ar-SA"/>
              </w:rPr>
              <w:t>规范工程招投标行为。</w:t>
            </w:r>
          </w:p>
          <w:p>
            <w:pPr>
              <w:widowControl/>
              <w:spacing w:line="240" w:lineRule="exact"/>
              <w:jc w:val="left"/>
              <w:rPr>
                <w:rFonts w:hint="eastAsia" w:ascii="仿宋_GB2312" w:hAnsi="仿宋_GB2312" w:eastAsia="仿宋_GB2312" w:cs="仿宋_GB2312"/>
                <w:color w:val="000000"/>
                <w:sz w:val="21"/>
                <w:szCs w:val="21"/>
              </w:rPr>
            </w:pPr>
          </w:p>
        </w:tc>
        <w:tc>
          <w:tcPr>
            <w:tcW w:w="417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r>
              <w:rPr>
                <w:rFonts w:hint="eastAsia" w:ascii="仿宋_GB2312" w:hAnsi="仿宋_GB2312" w:eastAsia="仿宋_GB2312" w:cs="仿宋_GB2312"/>
                <w:color w:val="000000"/>
                <w:sz w:val="21"/>
                <w:szCs w:val="21"/>
                <w:lang w:val="en-US" w:eastAsia="zh-CN"/>
              </w:rPr>
              <w:t>2022年度我</w:t>
            </w:r>
            <w:r>
              <w:rPr>
                <w:rFonts w:hint="eastAsia" w:ascii="仿宋_GB2312" w:hAnsi="仿宋_GB2312" w:eastAsia="仿宋_GB2312" w:cs="仿宋_GB2312"/>
                <w:color w:val="000000"/>
                <w:sz w:val="21"/>
                <w:szCs w:val="21"/>
              </w:rPr>
              <w:t>市住房城乡建设事业平稳健康发展。全国20个海绵示范城市绩效评价中，岳阳市被评为A档，进入第一方阵，打造了洞庭湖流域水环境保护“岳阳示范”；中心城区一期项目王家河水环境综合治理后续配套工程荣获“全国建设工程项目施工工地安全生产标准化项目”称号（原国家AAA级安全文明标准化工地）</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本</w:t>
            </w:r>
            <w:r>
              <w:rPr>
                <w:rFonts w:hint="eastAsia" w:ascii="仿宋_GB2312" w:hAnsi="仿宋_GB2312" w:eastAsia="仿宋_GB2312" w:cs="仿宋_GB2312"/>
                <w:color w:val="000000"/>
                <w:sz w:val="21"/>
                <w:szCs w:val="21"/>
              </w:rPr>
              <w:t>局负责的省绩效考核指标、省绩效高质量发展指标均进入全省前三，荣获省政府真抓实干督查奖励，总量排名全省第一；在全省首创央企接盘，为全力落实复工复产“保交楼”目标提供了“岳阳模式”，全省综合排名第一；全年向上争取资金7.78亿元，其中市本级到位资金3.45亿元，超任务数3500万元，全市排名前五。</w:t>
            </w:r>
            <w:r>
              <w:rPr>
                <w:rFonts w:hint="eastAsia" w:ascii="仿宋_GB2312" w:hAnsi="仿宋_GB2312" w:eastAsia="仿宋_GB2312" w:cs="仿宋_GB2312"/>
                <w:color w:val="000000"/>
                <w:sz w:val="21"/>
                <w:szCs w:val="21"/>
                <w:lang w:val="en-US" w:eastAsia="zh-CN"/>
              </w:rPr>
              <w:t>本</w:t>
            </w:r>
            <w:r>
              <w:rPr>
                <w:rFonts w:hint="eastAsia" w:ascii="仿宋_GB2312" w:hAnsi="仿宋_GB2312" w:eastAsia="仿宋_GB2312" w:cs="仿宋_GB2312"/>
                <w:color w:val="000000"/>
                <w:sz w:val="21"/>
                <w:szCs w:val="21"/>
              </w:rPr>
              <w:t>局先后荣获全省住建系统先进集体、省级文明标兵单位、省市重点民生实事办理工作优秀单位、岳阳市信访工作先进单位、岳阳市平安建设先进单位等荣誉称号，为建设“产业强劲、开放领跑、绿色示范、人民共富”的省域副中心城市贡献了住建力量。</w:t>
            </w:r>
          </w:p>
          <w:p>
            <w:pPr>
              <w:widowControl/>
              <w:spacing w:line="240" w:lineRule="exact"/>
              <w:jc w:val="left"/>
              <w:rPr>
                <w:rFonts w:hint="default" w:ascii="仿宋_GB2312" w:hAnsi="仿宋_GB2312" w:eastAsia="仿宋_GB2312" w:cs="仿宋_GB2312"/>
                <w:color w:val="000000"/>
                <w:sz w:val="21"/>
                <w:szCs w:val="21"/>
                <w:lang w:val="en-US" w:eastAsia="zh-CN"/>
              </w:rPr>
            </w:pPr>
          </w:p>
        </w:tc>
      </w:tr>
      <w:tr>
        <w:tblPrEx>
          <w:tblCellMar>
            <w:top w:w="0" w:type="dxa"/>
            <w:left w:w="108" w:type="dxa"/>
            <w:bottom w:w="0" w:type="dxa"/>
            <w:right w:w="108" w:type="dxa"/>
          </w:tblCellMar>
        </w:tblPrEx>
        <w:trPr>
          <w:jc w:val="center"/>
        </w:trPr>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绩</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效</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bCs/>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绩</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效</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指</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标</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绩</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效</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bCs/>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一级指标</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二级指标</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三级指标</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年度指标值</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实际完成值</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分值</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得分</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偏差原因分析及改进措施</w:t>
            </w:r>
          </w:p>
        </w:tc>
      </w:tr>
      <w:tr>
        <w:tblPrEx>
          <w:tblCellMar>
            <w:top w:w="0" w:type="dxa"/>
            <w:left w:w="108" w:type="dxa"/>
            <w:bottom w:w="0" w:type="dxa"/>
            <w:right w:w="108" w:type="dxa"/>
          </w:tblCellMar>
        </w:tblPrEx>
        <w:trPr>
          <w:trHeight w:val="404"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bCs/>
                <w:color w:val="000000"/>
                <w:sz w:val="20"/>
                <w:szCs w:val="20"/>
              </w:rPr>
              <w:t>产出指标</w:t>
            </w:r>
          </w:p>
          <w:p>
            <w:pPr>
              <w:widowControl/>
              <w:spacing w:line="240" w:lineRule="exact"/>
              <w:jc w:val="center"/>
              <w:rPr>
                <w:rFonts w:hint="eastAsia" w:ascii="仿宋_GB2312" w:hAnsi="仿宋_GB2312" w:eastAsia="仿宋_GB2312" w:cs="仿宋_GB2312"/>
                <w:b w:val="0"/>
                <w:bCs w:val="0"/>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(50分)</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产出指标</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bCs/>
                <w:color w:val="000000"/>
                <w:sz w:val="20"/>
                <w:szCs w:val="20"/>
              </w:rPr>
              <w:t>(50分)</w:t>
            </w:r>
          </w:p>
        </w:tc>
        <w:tc>
          <w:tcPr>
            <w:tcW w:w="4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both"/>
              <w:rPr>
                <w:rFonts w:hint="default" w:ascii="仿宋_GB2312" w:hAnsi="仿宋_GB2312" w:eastAsia="仿宋_GB2312" w:cs="仿宋_GB2312"/>
                <w:b/>
                <w:bCs/>
                <w:color w:val="000000"/>
                <w:sz w:val="20"/>
                <w:szCs w:val="20"/>
                <w:lang w:val="en-US" w:eastAsia="zh-CN"/>
              </w:rPr>
            </w:pPr>
            <w:r>
              <w:rPr>
                <w:rFonts w:hint="eastAsia" w:ascii="仿宋_GB2312" w:hAnsi="仿宋_GB2312" w:eastAsia="仿宋_GB2312" w:cs="仿宋_GB2312"/>
                <w:b/>
                <w:bCs/>
                <w:color w:val="000000"/>
                <w:sz w:val="20"/>
                <w:szCs w:val="20"/>
              </w:rPr>
              <w:t>数量指标</w:t>
            </w:r>
            <w:r>
              <w:rPr>
                <w:rFonts w:hint="eastAsia" w:ascii="仿宋_GB2312" w:hAnsi="仿宋_GB2312" w:eastAsia="仿宋_GB2312" w:cs="仿宋_GB2312"/>
                <w:b/>
                <w:bCs/>
                <w:color w:val="000000"/>
                <w:sz w:val="16"/>
                <w:szCs w:val="16"/>
                <w:lang w:val="en-US" w:eastAsia="zh-CN"/>
              </w:rPr>
              <w:t>(28分）</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pStyle w:val="10"/>
              <w:rPr>
                <w:rFonts w:hint="eastAsia" w:ascii="仿宋_GB2312" w:hAnsi="仿宋_GB2312" w:eastAsia="仿宋_GB2312" w:cs="仿宋_GB2312"/>
                <w:b/>
                <w:bCs/>
                <w:color w:val="000000"/>
                <w:sz w:val="20"/>
                <w:szCs w:val="20"/>
              </w:rPr>
            </w:pPr>
          </w:p>
          <w:p>
            <w:pPr>
              <w:pStyle w:val="4"/>
              <w:rPr>
                <w:rFonts w:hint="eastAsia" w:ascii="仿宋_GB2312" w:hAnsi="仿宋_GB2312" w:eastAsia="仿宋_GB2312" w:cs="仿宋_GB2312"/>
                <w:b/>
                <w:bCs/>
                <w:color w:val="000000"/>
                <w:sz w:val="20"/>
                <w:szCs w:val="20"/>
              </w:rPr>
            </w:pPr>
          </w:p>
          <w:p>
            <w:pPr>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数量指标</w:t>
            </w:r>
          </w:p>
          <w:p>
            <w:pPr>
              <w:widowControl/>
              <w:spacing w:line="240" w:lineRule="exact"/>
              <w:jc w:val="both"/>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b/>
                <w:bCs/>
                <w:color w:val="000000"/>
                <w:sz w:val="16"/>
                <w:szCs w:val="16"/>
                <w:lang w:val="en-US" w:eastAsia="zh-CN"/>
              </w:rPr>
              <w:t>28分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制订自建房安全保障制度</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4个</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4个</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489"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全市完成自建房排查</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114.6万栋</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114.6万栋</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511"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经营性自建房安全鉴定</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10978栋</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10978栋</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697"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五类重点区域鉴定自建房安全鉴定</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5422栋</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5422栋</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新开工房屋建筑总面积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615.1万平方米</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615.1万平方米</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307"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实施绿色装配式建筑项目</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none"/>
              </w:rPr>
              <w:t>104个</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104个</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368"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全年完成房地产投资</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200</w:t>
            </w:r>
            <w:r>
              <w:rPr>
                <w:rFonts w:hint="default" w:ascii="Times New Roman" w:hAnsi="Times New Roman" w:eastAsia="仿宋_GB2312" w:cs="Times New Roman"/>
                <w:b w:val="0"/>
                <w:bCs w:val="0"/>
                <w:color w:val="auto"/>
                <w:sz w:val="18"/>
                <w:szCs w:val="18"/>
              </w:rPr>
              <w:t>亿元</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204.69亿元</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超额完成任务</w:t>
            </w:r>
          </w:p>
        </w:tc>
      </w:tr>
      <w:tr>
        <w:tblPrEx>
          <w:tblCellMar>
            <w:top w:w="0" w:type="dxa"/>
            <w:left w:w="108" w:type="dxa"/>
            <w:bottom w:w="0" w:type="dxa"/>
            <w:right w:w="108" w:type="dxa"/>
          </w:tblCellMar>
        </w:tblPrEx>
        <w:trPr>
          <w:trHeight w:val="628"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新建商品房销售面积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w:t>
            </w:r>
            <w:r>
              <w:rPr>
                <w:rFonts w:hint="default" w:ascii="Times New Roman" w:hAnsi="Times New Roman" w:eastAsia="仿宋_GB2312" w:cs="Times New Roman"/>
                <w:b w:val="0"/>
                <w:bCs w:val="0"/>
                <w:color w:val="auto"/>
                <w:sz w:val="18"/>
                <w:szCs w:val="18"/>
                <w:lang w:val="en-US" w:eastAsia="zh-CN"/>
              </w:rPr>
              <w:t>50</w:t>
            </w:r>
            <w:r>
              <w:rPr>
                <w:rFonts w:hint="default" w:ascii="Times New Roman" w:hAnsi="Times New Roman" w:eastAsia="仿宋_GB2312" w:cs="Times New Roman"/>
                <w:b w:val="0"/>
                <w:bCs w:val="0"/>
                <w:color w:val="auto"/>
                <w:sz w:val="18"/>
                <w:szCs w:val="18"/>
              </w:rPr>
              <w:t>万平方米</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396.63万平方米</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超额完成任务</w:t>
            </w:r>
          </w:p>
        </w:tc>
      </w:tr>
      <w:tr>
        <w:tblPrEx>
          <w:tblCellMar>
            <w:top w:w="0" w:type="dxa"/>
            <w:left w:w="108" w:type="dxa"/>
            <w:bottom w:w="0" w:type="dxa"/>
            <w:right w:w="108" w:type="dxa"/>
          </w:tblCellMar>
        </w:tblPrEx>
        <w:trPr>
          <w:trHeight w:val="371"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恒大在湘风险处置重点工作</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31项</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31项</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auto"/>
                <w:sz w:val="18"/>
                <w:szCs w:val="18"/>
              </w:rPr>
            </w:pPr>
          </w:p>
        </w:tc>
      </w:tr>
      <w:tr>
        <w:tblPrEx>
          <w:tblCellMar>
            <w:top w:w="0" w:type="dxa"/>
            <w:left w:w="108" w:type="dxa"/>
            <w:bottom w:w="0" w:type="dxa"/>
            <w:right w:w="108" w:type="dxa"/>
          </w:tblCellMar>
        </w:tblPrEx>
        <w:trPr>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推动央企国企接盘</w:t>
            </w:r>
            <w:r>
              <w:rPr>
                <w:rFonts w:hint="default" w:ascii="Times New Roman" w:hAnsi="Times New Roman" w:eastAsia="仿宋_GB2312" w:cs="Times New Roman"/>
                <w:b w:val="0"/>
                <w:bCs w:val="0"/>
                <w:color w:val="auto"/>
                <w:sz w:val="18"/>
                <w:szCs w:val="18"/>
                <w:lang w:val="en-US" w:eastAsia="zh-CN"/>
              </w:rPr>
              <w:t>垫资续建的保交楼项目</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3</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3</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auto"/>
                <w:sz w:val="18"/>
                <w:szCs w:val="18"/>
              </w:rPr>
            </w:pPr>
          </w:p>
        </w:tc>
      </w:tr>
      <w:tr>
        <w:tblPrEx>
          <w:tblCellMar>
            <w:top w:w="0" w:type="dxa"/>
            <w:left w:w="108" w:type="dxa"/>
            <w:bottom w:w="0" w:type="dxa"/>
            <w:right w:w="108" w:type="dxa"/>
          </w:tblCellMar>
        </w:tblPrEx>
        <w:trPr>
          <w:trHeight w:val="54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争取银行专项借款</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w:t>
            </w:r>
            <w:r>
              <w:rPr>
                <w:rFonts w:hint="default" w:ascii="Times New Roman" w:hAnsi="Times New Roman" w:eastAsia="仿宋_GB2312" w:cs="Times New Roman"/>
                <w:b w:val="0"/>
                <w:bCs w:val="0"/>
                <w:color w:val="auto"/>
                <w:sz w:val="18"/>
                <w:szCs w:val="18"/>
                <w:lang w:val="en-US" w:eastAsia="zh-CN"/>
              </w:rPr>
              <w:t>0</w:t>
            </w:r>
            <w:r>
              <w:rPr>
                <w:rFonts w:hint="default" w:ascii="Times New Roman" w:hAnsi="Times New Roman" w:eastAsia="仿宋_GB2312" w:cs="Times New Roman"/>
                <w:b w:val="0"/>
                <w:bCs w:val="0"/>
                <w:color w:val="auto"/>
                <w:sz w:val="18"/>
                <w:szCs w:val="18"/>
              </w:rPr>
              <w:t>亿元</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15.9亿元</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超额完成任务</w:t>
            </w:r>
          </w:p>
        </w:tc>
      </w:tr>
      <w:tr>
        <w:tblPrEx>
          <w:tblCellMar>
            <w:top w:w="0" w:type="dxa"/>
            <w:left w:w="108" w:type="dxa"/>
            <w:bottom w:w="0" w:type="dxa"/>
            <w:right w:w="108" w:type="dxa"/>
          </w:tblCellMar>
        </w:tblPrEx>
        <w:trPr>
          <w:trHeight w:val="412"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岳阳中心城区</w:t>
            </w:r>
            <w:r>
              <w:rPr>
                <w:rFonts w:hint="default" w:ascii="Times New Roman" w:hAnsi="Times New Roman" w:eastAsia="仿宋_GB2312" w:cs="Times New Roman"/>
                <w:b w:val="0"/>
                <w:bCs w:val="0"/>
                <w:color w:val="auto"/>
                <w:sz w:val="18"/>
                <w:szCs w:val="18"/>
              </w:rPr>
              <w:t>排水主管网改造</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201.3公里</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rPr>
              <w:t>201.3公里</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404"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岳阳中心城区</w:t>
            </w:r>
            <w:r>
              <w:rPr>
                <w:rFonts w:hint="default" w:ascii="Times New Roman" w:hAnsi="Times New Roman" w:eastAsia="仿宋_GB2312" w:cs="Times New Roman"/>
                <w:b w:val="0"/>
                <w:bCs w:val="0"/>
                <w:color w:val="auto"/>
                <w:sz w:val="18"/>
                <w:szCs w:val="18"/>
              </w:rPr>
              <w:t>雨污分流改造</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958.2公顷</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rPr>
              <w:t>958.2公顷</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背街小巷改造</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18条</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18条</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404"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主城区</w:t>
            </w:r>
            <w:r>
              <w:rPr>
                <w:rFonts w:hint="default" w:ascii="Times New Roman" w:hAnsi="Times New Roman" w:eastAsia="仿宋_GB2312" w:cs="Times New Roman"/>
                <w:b w:val="0"/>
                <w:bCs w:val="0"/>
                <w:color w:val="auto"/>
                <w:sz w:val="18"/>
                <w:szCs w:val="18"/>
              </w:rPr>
              <w:t>更新改造污水管网</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173.95公里</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173.95公里</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357"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新建调蓄池</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2座</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2座</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90"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排渍泵站</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1座</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1座</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411"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生活污水处理厂提标改造</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12家</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12家</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80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实施棚户区改造项目</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3569</w:t>
            </w:r>
            <w:r>
              <w:rPr>
                <w:rFonts w:hint="default" w:ascii="Times New Roman" w:hAnsi="Times New Roman" w:eastAsia="仿宋_GB2312" w:cs="Times New Roman"/>
                <w:b w:val="0"/>
                <w:bCs w:val="0"/>
                <w:color w:val="auto"/>
                <w:sz w:val="18"/>
                <w:szCs w:val="18"/>
                <w:lang w:val="en-US" w:eastAsia="zh-CN"/>
              </w:rPr>
              <w:t>户</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3569户</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lang w:val="en-US" w:eastAsia="zh-CN"/>
              </w:rPr>
            </w:pPr>
          </w:p>
        </w:tc>
      </w:tr>
      <w:tr>
        <w:tblPrEx>
          <w:tblCellMar>
            <w:top w:w="0" w:type="dxa"/>
            <w:left w:w="108" w:type="dxa"/>
            <w:bottom w:w="0" w:type="dxa"/>
            <w:right w:w="108" w:type="dxa"/>
          </w:tblCellMar>
        </w:tblPrEx>
        <w:trPr>
          <w:trHeight w:val="827"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保障性租赁住房</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2506</w:t>
            </w:r>
            <w:r>
              <w:rPr>
                <w:rFonts w:hint="default" w:ascii="Times New Roman" w:hAnsi="Times New Roman" w:eastAsia="仿宋_GB2312" w:cs="Times New Roman"/>
                <w:b w:val="0"/>
                <w:bCs w:val="0"/>
                <w:color w:val="auto"/>
                <w:sz w:val="18"/>
                <w:szCs w:val="18"/>
              </w:rPr>
              <w:t>套</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2506套</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27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新筹建公租房</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1823套</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1823套</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360"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发放租赁补贴</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12549户</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12549户</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321"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老旧小区改造开工</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376</w:t>
            </w:r>
            <w:r>
              <w:rPr>
                <w:rFonts w:hint="default" w:ascii="Times New Roman" w:hAnsi="Times New Roman" w:eastAsia="仿宋_GB2312" w:cs="Times New Roman"/>
                <w:b w:val="0"/>
                <w:bCs w:val="0"/>
                <w:color w:val="auto"/>
                <w:sz w:val="18"/>
                <w:szCs w:val="18"/>
              </w:rPr>
              <w:t>个小区</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432个小区</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超额完成任务</w:t>
            </w:r>
          </w:p>
        </w:tc>
      </w:tr>
      <w:tr>
        <w:tblPrEx>
          <w:tblCellMar>
            <w:top w:w="0" w:type="dxa"/>
            <w:left w:w="108" w:type="dxa"/>
            <w:bottom w:w="0" w:type="dxa"/>
            <w:right w:w="108" w:type="dxa"/>
          </w:tblCellMar>
        </w:tblPrEx>
        <w:trPr>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加装电梯</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442台以上</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627台</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超额完成任务</w:t>
            </w:r>
          </w:p>
        </w:tc>
      </w:tr>
      <w:tr>
        <w:tblPrEx>
          <w:tblCellMar>
            <w:top w:w="0" w:type="dxa"/>
            <w:left w:w="108" w:type="dxa"/>
            <w:bottom w:w="0" w:type="dxa"/>
            <w:right w:w="108" w:type="dxa"/>
          </w:tblCellMar>
        </w:tblPrEx>
        <w:trPr>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农村危房改造</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1</w:t>
            </w:r>
            <w:r>
              <w:rPr>
                <w:rFonts w:hint="eastAsia" w:ascii="Times New Roman" w:hAnsi="Times New Roman" w:eastAsia="仿宋_GB2312" w:cs="Times New Roman"/>
                <w:b w:val="0"/>
                <w:bCs w:val="0"/>
                <w:color w:val="auto"/>
                <w:sz w:val="18"/>
                <w:szCs w:val="18"/>
                <w:lang w:val="en-US" w:eastAsia="zh-CN"/>
              </w:rPr>
              <w:t>462</w:t>
            </w:r>
            <w:r>
              <w:rPr>
                <w:rFonts w:hint="default" w:ascii="Times New Roman" w:hAnsi="Times New Roman" w:eastAsia="仿宋_GB2312" w:cs="Times New Roman"/>
                <w:b w:val="0"/>
                <w:bCs w:val="0"/>
                <w:color w:val="auto"/>
                <w:sz w:val="18"/>
                <w:szCs w:val="18"/>
                <w:lang w:val="en-US" w:eastAsia="zh-CN"/>
              </w:rPr>
              <w:t>户</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1462户</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lang w:val="en-US" w:eastAsia="zh-CN"/>
              </w:rPr>
            </w:pPr>
          </w:p>
        </w:tc>
      </w:tr>
      <w:tr>
        <w:tblPrEx>
          <w:tblCellMar>
            <w:top w:w="0" w:type="dxa"/>
            <w:left w:w="108" w:type="dxa"/>
            <w:bottom w:w="0" w:type="dxa"/>
            <w:right w:w="108" w:type="dxa"/>
          </w:tblCellMar>
        </w:tblPrEx>
        <w:trPr>
          <w:trHeight w:val="623"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排查梳理问题清单</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50件</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rPr>
              <w:t>50件</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32"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已挂帐销案</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30件</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rPr>
              <w:t>30件</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702"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省级文明标兵单位创建</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rPr>
              <w:t>牵头负责中心城区的创建任务落实</w:t>
            </w:r>
            <w:r>
              <w:rPr>
                <w:rFonts w:hint="default" w:ascii="Times New Roman" w:hAnsi="Times New Roman" w:eastAsia="仿宋_GB2312" w:cs="Times New Roman"/>
                <w:b w:val="0"/>
                <w:bCs w:val="0"/>
                <w:color w:val="auto"/>
                <w:sz w:val="18"/>
                <w:szCs w:val="18"/>
                <w:lang w:eastAsia="zh-CN"/>
              </w:rPr>
              <w:t>）</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916个老旧小区“三乱”专项治</w:t>
            </w:r>
            <w:r>
              <w:rPr>
                <w:rFonts w:hint="default" w:ascii="Times New Roman" w:hAnsi="Times New Roman" w:eastAsia="仿宋_GB2312" w:cs="Times New Roman"/>
                <w:b w:val="0"/>
                <w:bCs w:val="0"/>
                <w:color w:val="auto"/>
                <w:sz w:val="18"/>
                <w:szCs w:val="18"/>
                <w:lang w:val="en-US" w:eastAsia="zh-CN"/>
              </w:rPr>
              <w:t>;512个物业小区的创建任务;</w:t>
            </w:r>
            <w:r>
              <w:rPr>
                <w:rFonts w:hint="default" w:ascii="Times New Roman" w:hAnsi="Times New Roman" w:eastAsia="仿宋_GB2312" w:cs="Times New Roman"/>
                <w:b w:val="0"/>
                <w:bCs w:val="0"/>
                <w:color w:val="auto"/>
                <w:sz w:val="18"/>
                <w:szCs w:val="18"/>
              </w:rPr>
              <w:t>3个重要交通路口的文明劝导</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完成100%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6"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质量指标</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b/>
                <w:bCs/>
                <w:color w:val="000000"/>
                <w:sz w:val="18"/>
                <w:szCs w:val="18"/>
                <w:lang w:val="en-US" w:eastAsia="zh-CN"/>
              </w:rPr>
              <w:t>12分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自建房屋安全专项整治第一阶段考评合格率</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100%</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41"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自建房安全整治合格率</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100%</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73"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专项借款到帐率</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100%</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100%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43"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海绵</w:t>
            </w:r>
            <w:r>
              <w:rPr>
                <w:rFonts w:hint="eastAsia" w:ascii="Times New Roman" w:hAnsi="Times New Roman" w:eastAsia="仿宋_GB2312" w:cs="Times New Roman"/>
                <w:b w:val="0"/>
                <w:bCs w:val="0"/>
                <w:color w:val="auto"/>
                <w:sz w:val="18"/>
                <w:szCs w:val="18"/>
                <w:lang w:val="en-US" w:eastAsia="zh-CN"/>
              </w:rPr>
              <w:t>城市建设符合国家标准，</w:t>
            </w:r>
            <w:r>
              <w:rPr>
                <w:rFonts w:hint="default" w:ascii="Times New Roman" w:hAnsi="Times New Roman" w:eastAsia="仿宋_GB2312" w:cs="Times New Roman"/>
                <w:b w:val="0"/>
                <w:bCs w:val="0"/>
                <w:color w:val="auto"/>
                <w:sz w:val="18"/>
                <w:szCs w:val="18"/>
              </w:rPr>
              <w:t>海绵示范城市绩效评价</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合格</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A档</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Times New Roman" w:hAnsi="Times New Roman" w:eastAsia="仿宋_GB2312" w:cs="Times New Roman"/>
                <w:b w:val="0"/>
                <w:bCs w:val="0"/>
                <w:color w:val="auto"/>
                <w:sz w:val="18"/>
                <w:szCs w:val="18"/>
                <w:lang w:val="en-US" w:eastAsia="zh-CN"/>
              </w:rPr>
              <w:t>超额完成任务</w:t>
            </w:r>
          </w:p>
        </w:tc>
      </w:tr>
      <w:tr>
        <w:tblPrEx>
          <w:tblCellMar>
            <w:top w:w="0" w:type="dxa"/>
            <w:left w:w="108" w:type="dxa"/>
            <w:bottom w:w="0" w:type="dxa"/>
            <w:right w:w="108" w:type="dxa"/>
          </w:tblCellMar>
        </w:tblPrEx>
        <w:trPr>
          <w:trHeight w:val="620"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排水设施更新、污水处理提质</w:t>
            </w:r>
            <w:r>
              <w:rPr>
                <w:rFonts w:hint="default" w:ascii="Times New Roman" w:hAnsi="Times New Roman" w:eastAsia="仿宋_GB2312" w:cs="Times New Roman"/>
                <w:b w:val="0"/>
                <w:bCs w:val="0"/>
                <w:color w:val="auto"/>
                <w:sz w:val="18"/>
                <w:szCs w:val="18"/>
                <w:lang w:val="en-US" w:eastAsia="zh-CN"/>
              </w:rPr>
              <w:t>完成项目</w:t>
            </w:r>
            <w:r>
              <w:rPr>
                <w:rFonts w:hint="default" w:ascii="Times New Roman" w:hAnsi="Times New Roman" w:eastAsia="仿宋_GB2312" w:cs="Times New Roman"/>
                <w:b w:val="0"/>
                <w:bCs w:val="0"/>
                <w:color w:val="auto"/>
                <w:sz w:val="18"/>
                <w:szCs w:val="18"/>
              </w:rPr>
              <w:t>质量验收合格</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符合行业相关质量标准</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合格</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964"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新建保租房、公租房、老旧小区改造、加装电梯、农村危房改造</w:t>
            </w:r>
            <w:r>
              <w:rPr>
                <w:rFonts w:hint="default" w:ascii="Times New Roman" w:hAnsi="Times New Roman" w:eastAsia="仿宋_GB2312" w:cs="Times New Roman"/>
                <w:b w:val="0"/>
                <w:bCs w:val="0"/>
                <w:color w:val="auto"/>
                <w:sz w:val="18"/>
                <w:szCs w:val="18"/>
                <w:lang w:val="en-US" w:eastAsia="zh-CN"/>
              </w:rPr>
              <w:t>完成项目</w:t>
            </w:r>
            <w:r>
              <w:rPr>
                <w:rFonts w:hint="default" w:ascii="Times New Roman" w:hAnsi="Times New Roman" w:eastAsia="仿宋_GB2312" w:cs="Times New Roman"/>
                <w:b w:val="0"/>
                <w:bCs w:val="0"/>
                <w:color w:val="auto"/>
                <w:sz w:val="18"/>
                <w:szCs w:val="18"/>
              </w:rPr>
              <w:t>质量验收</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符合行业相关质量标准</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val="en-US" w:eastAsia="zh-CN"/>
              </w:rPr>
              <w:t>合格</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04"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信访事项受理率和及时回复率</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100%</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5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受理消防验收及备案抽查项目</w:t>
            </w:r>
            <w:r>
              <w:rPr>
                <w:rFonts w:hint="default" w:ascii="Times New Roman" w:hAnsi="Times New Roman" w:eastAsia="仿宋_GB2312" w:cs="Times New Roman"/>
                <w:b w:val="0"/>
                <w:bCs w:val="0"/>
                <w:color w:val="auto"/>
                <w:sz w:val="18"/>
                <w:szCs w:val="18"/>
                <w:lang w:val="en-US" w:eastAsia="zh-CN"/>
              </w:rPr>
              <w:t>合格率</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100%</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74"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在建项目</w:t>
            </w:r>
            <w:r>
              <w:rPr>
                <w:rFonts w:hint="default" w:ascii="Times New Roman" w:hAnsi="Times New Roman" w:eastAsia="仿宋_GB2312" w:cs="Times New Roman"/>
                <w:b w:val="0"/>
                <w:bCs w:val="0"/>
                <w:color w:val="auto"/>
                <w:sz w:val="18"/>
                <w:szCs w:val="18"/>
                <w:lang w:val="en-US" w:eastAsia="zh-CN"/>
              </w:rPr>
              <w:t>无安全事故</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100%</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20"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市政协提案办理合格率</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100%</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88"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负面舆情、重大事故、干部职工违规违纪处理事件</w:t>
            </w:r>
            <w:r>
              <w:rPr>
                <w:rFonts w:hint="default" w:ascii="Times New Roman" w:hAnsi="Times New Roman" w:eastAsia="仿宋_GB2312" w:cs="Times New Roman"/>
                <w:b w:val="0"/>
                <w:bCs w:val="0"/>
                <w:color w:val="auto"/>
                <w:sz w:val="18"/>
                <w:szCs w:val="18"/>
                <w:lang w:val="en-US" w:eastAsia="zh-CN"/>
              </w:rPr>
              <w:t>为0</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0</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90"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时效指标</w:t>
            </w:r>
          </w:p>
          <w:p>
            <w:pPr>
              <w:widowControl/>
              <w:spacing w:line="240" w:lineRule="exact"/>
              <w:jc w:val="center"/>
              <w:rPr>
                <w:rFonts w:hint="eastAsia" w:ascii="仿宋_GB2312" w:hAnsi="仿宋_GB2312" w:eastAsia="仿宋_GB2312" w:cs="仿宋_GB2312"/>
                <w:b/>
                <w:bCs/>
                <w:color w:val="000000"/>
                <w:sz w:val="18"/>
                <w:szCs w:val="18"/>
              </w:rPr>
            </w:pPr>
          </w:p>
          <w:p>
            <w:pPr>
              <w:widowControl/>
              <w:spacing w:line="240" w:lineRule="exact"/>
              <w:jc w:val="center"/>
              <w:rPr>
                <w:rFonts w:hint="default" w:ascii="仿宋_GB2312" w:hAnsi="仿宋_GB2312" w:eastAsia="仿宋_GB2312" w:cs="仿宋_GB2312"/>
                <w:b/>
                <w:bCs/>
                <w:color w:val="000000"/>
                <w:sz w:val="20"/>
                <w:szCs w:val="20"/>
                <w:lang w:val="en-US" w:eastAsia="zh-CN"/>
              </w:rPr>
            </w:pPr>
            <w:r>
              <w:rPr>
                <w:rFonts w:hint="eastAsia" w:ascii="仿宋_GB2312" w:hAnsi="仿宋_GB2312" w:eastAsia="仿宋_GB2312" w:cs="仿宋_GB2312"/>
                <w:b/>
                <w:bCs/>
                <w:color w:val="000000"/>
                <w:sz w:val="18"/>
                <w:szCs w:val="18"/>
                <w:lang w:val="en-US" w:eastAsia="zh-CN"/>
              </w:rPr>
              <w:t>5分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完成整改、销号等任务</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在规定时限内</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在规定时限内</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5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项目工程</w:t>
            </w:r>
            <w:r>
              <w:rPr>
                <w:rFonts w:hint="default" w:ascii="Times New Roman" w:hAnsi="Times New Roman" w:eastAsia="仿宋_GB2312" w:cs="Times New Roman"/>
                <w:b w:val="0"/>
                <w:bCs w:val="0"/>
                <w:color w:val="auto"/>
                <w:sz w:val="18"/>
                <w:szCs w:val="18"/>
                <w:lang w:val="en-US" w:eastAsia="zh-CN"/>
              </w:rPr>
              <w:t>建设时效</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按合同完成</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合同时间完成</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812"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全年本局工作任务</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在2022年12月前完成</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在2022年12月前完成</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78"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b/>
                <w:bCs/>
                <w:color w:val="000000"/>
                <w:sz w:val="20"/>
                <w:szCs w:val="20"/>
                <w:lang w:val="en-US" w:eastAsia="zh-CN"/>
              </w:rPr>
            </w:pPr>
            <w:r>
              <w:rPr>
                <w:rFonts w:hint="eastAsia" w:ascii="仿宋_GB2312" w:hAnsi="仿宋_GB2312" w:eastAsia="仿宋_GB2312" w:cs="仿宋_GB2312"/>
                <w:b/>
                <w:bCs/>
                <w:color w:val="000000"/>
                <w:sz w:val="20"/>
                <w:szCs w:val="20"/>
              </w:rPr>
              <w:t>成本指标</w:t>
            </w:r>
            <w:r>
              <w:rPr>
                <w:rFonts w:hint="eastAsia" w:ascii="仿宋_GB2312" w:hAnsi="仿宋_GB2312" w:eastAsia="仿宋_GB2312" w:cs="仿宋_GB2312"/>
                <w:b/>
                <w:bCs/>
                <w:color w:val="000000"/>
                <w:sz w:val="20"/>
                <w:szCs w:val="20"/>
                <w:lang w:val="en-US" w:eastAsia="zh-CN"/>
              </w:rPr>
              <w:t>5分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both"/>
              <w:textAlignment w:val="center"/>
              <w:rPr>
                <w:rFonts w:hint="default" w:ascii="Times New Roman" w:hAnsi="Times New Roman" w:eastAsia="仿宋_GB2312" w:cs="Times New Roman"/>
                <w:b w:val="0"/>
                <w:bCs w:val="0"/>
                <w:color w:val="auto"/>
                <w:sz w:val="18"/>
                <w:szCs w:val="18"/>
                <w:lang w:val="en-US" w:eastAsia="zh-CN"/>
              </w:rPr>
            </w:pPr>
          </w:p>
          <w:p>
            <w:pPr>
              <w:autoSpaceDN w:val="0"/>
              <w:spacing w:line="320" w:lineRule="exact"/>
              <w:jc w:val="both"/>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基本支出控制在全年预算内</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3082</w:t>
            </w:r>
            <w:r>
              <w:rPr>
                <w:rFonts w:hint="default" w:ascii="Times New Roman" w:hAnsi="Times New Roman" w:eastAsia="仿宋_GB2312" w:cs="Times New Roman"/>
                <w:b w:val="0"/>
                <w:bCs w:val="0"/>
                <w:color w:val="auto"/>
                <w:sz w:val="18"/>
                <w:szCs w:val="18"/>
                <w:lang w:val="en-US" w:eastAsia="zh-CN"/>
              </w:rPr>
              <w:t>.</w:t>
            </w:r>
            <w:r>
              <w:rPr>
                <w:rFonts w:hint="eastAsia" w:ascii="Times New Roman" w:hAnsi="Times New Roman" w:eastAsia="仿宋_GB2312" w:cs="Times New Roman"/>
                <w:b w:val="0"/>
                <w:bCs w:val="0"/>
                <w:color w:val="auto"/>
                <w:sz w:val="18"/>
                <w:szCs w:val="18"/>
                <w:lang w:val="en-US" w:eastAsia="zh-CN"/>
              </w:rPr>
              <w:t>50</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2713.00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Times New Roman" w:hAnsi="Times New Roman" w:eastAsia="仿宋_GB2312" w:cs="Times New Roman"/>
                <w:b w:val="0"/>
                <w:bCs w:val="0"/>
                <w:color w:val="auto"/>
                <w:sz w:val="18"/>
                <w:szCs w:val="18"/>
                <w:lang w:val="en-US" w:eastAsia="zh-CN"/>
              </w:rPr>
              <w:t>节省预算</w:t>
            </w:r>
          </w:p>
        </w:tc>
      </w:tr>
      <w:tr>
        <w:tblPrEx>
          <w:tblCellMar>
            <w:top w:w="0" w:type="dxa"/>
            <w:left w:w="108" w:type="dxa"/>
            <w:bottom w:w="0" w:type="dxa"/>
            <w:right w:w="108" w:type="dxa"/>
          </w:tblCellMar>
        </w:tblPrEx>
        <w:trPr>
          <w:trHeight w:val="1153"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b/>
                <w:bCs/>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both"/>
              <w:textAlignment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当年实现收支平衡</w:t>
            </w:r>
          </w:p>
          <w:p>
            <w:pPr>
              <w:autoSpaceDN w:val="0"/>
              <w:spacing w:line="320" w:lineRule="exact"/>
              <w:jc w:val="both"/>
              <w:textAlignment w:val="center"/>
              <w:rPr>
                <w:rFonts w:hint="default" w:ascii="Times New Roman" w:hAnsi="Times New Roman" w:eastAsia="仿宋_GB2312" w:cs="Times New Roman"/>
                <w:b w:val="0"/>
                <w:bCs w:val="0"/>
                <w:color w:val="auto"/>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7598.17</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8073.24</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highlight w:val="none"/>
                <w:lang w:val="en-US" w:eastAsia="zh-CN"/>
              </w:rPr>
              <w:t>原因：使用上年结转资金554.87万元。</w:t>
            </w:r>
          </w:p>
        </w:tc>
      </w:tr>
      <w:tr>
        <w:tblPrEx>
          <w:tblCellMar>
            <w:top w:w="0" w:type="dxa"/>
            <w:left w:w="108" w:type="dxa"/>
            <w:bottom w:w="0" w:type="dxa"/>
            <w:right w:w="108" w:type="dxa"/>
          </w:tblCellMar>
        </w:tblPrEx>
        <w:trPr>
          <w:trHeight w:val="654" w:hRule="atLeast"/>
          <w:jc w:val="center"/>
        </w:trPr>
        <w:tc>
          <w:tcPr>
            <w:tcW w:w="663"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效益指标</w:t>
            </w:r>
          </w:p>
          <w:p>
            <w:pPr>
              <w:widowControl/>
              <w:spacing w:line="240" w:lineRule="exact"/>
              <w:jc w:val="left"/>
              <w:rPr>
                <w:rFonts w:hint="eastAsia" w:ascii="仿宋_GB2312" w:hAnsi="仿宋_GB2312" w:eastAsia="仿宋_GB2312" w:cs="仿宋_GB2312"/>
                <w:b/>
                <w:bCs/>
                <w:color w:val="000000"/>
                <w:sz w:val="20"/>
                <w:szCs w:val="20"/>
              </w:rPr>
            </w:pPr>
          </w:p>
          <w:p>
            <w:pPr>
              <w:widowControl/>
              <w:spacing w:line="240" w:lineRule="exact"/>
              <w:jc w:val="left"/>
              <w:rPr>
                <w:rFonts w:hint="eastAsia" w:ascii="仿宋_GB2312" w:hAnsi="仿宋_GB2312" w:eastAsia="仿宋_GB2312" w:cs="仿宋_GB2312"/>
                <w:color w:val="000000"/>
                <w:sz w:val="15"/>
                <w:szCs w:val="15"/>
              </w:rPr>
            </w:pPr>
            <w:r>
              <w:rPr>
                <w:rFonts w:hint="eastAsia" w:ascii="仿宋_GB2312" w:hAnsi="仿宋_GB2312" w:eastAsia="仿宋_GB2312" w:cs="仿宋_GB2312"/>
                <w:b/>
                <w:bCs/>
                <w:color w:val="000000"/>
                <w:sz w:val="15"/>
                <w:szCs w:val="15"/>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经济效</w:t>
            </w:r>
          </w:p>
          <w:p>
            <w:pPr>
              <w:widowControl/>
              <w:spacing w:line="240" w:lineRule="exact"/>
              <w:jc w:val="center"/>
              <w:rPr>
                <w:rFonts w:hint="default" w:ascii="仿宋_GB2312" w:hAnsi="仿宋_GB2312" w:eastAsia="仿宋_GB2312" w:cs="仿宋_GB2312"/>
                <w:b/>
                <w:bCs/>
                <w:color w:val="000000"/>
                <w:sz w:val="20"/>
                <w:szCs w:val="20"/>
                <w:lang w:val="en-US" w:eastAsia="zh-CN"/>
              </w:rPr>
            </w:pPr>
            <w:r>
              <w:rPr>
                <w:rFonts w:hint="eastAsia" w:ascii="仿宋_GB2312" w:hAnsi="仿宋_GB2312" w:eastAsia="仿宋_GB2312" w:cs="仿宋_GB2312"/>
                <w:b/>
                <w:bCs/>
                <w:color w:val="000000"/>
                <w:sz w:val="20"/>
                <w:szCs w:val="20"/>
              </w:rPr>
              <w:t>益指标</w:t>
            </w:r>
            <w:r>
              <w:rPr>
                <w:rFonts w:hint="eastAsia" w:ascii="仿宋_GB2312" w:hAnsi="仿宋_GB2312" w:eastAsia="仿宋_GB2312" w:cs="仿宋_GB2312"/>
                <w:b/>
                <w:bCs/>
                <w:color w:val="000000"/>
                <w:sz w:val="20"/>
                <w:szCs w:val="20"/>
                <w:lang w:eastAsia="zh-CN"/>
              </w:rPr>
              <w:t>（</w:t>
            </w:r>
            <w:r>
              <w:rPr>
                <w:rFonts w:hint="eastAsia" w:ascii="仿宋_GB2312" w:hAnsi="仿宋_GB2312" w:eastAsia="仿宋_GB2312" w:cs="仿宋_GB2312"/>
                <w:b/>
                <w:bCs/>
                <w:color w:val="000000"/>
                <w:sz w:val="20"/>
                <w:szCs w:val="20"/>
                <w:lang w:val="en-US" w:eastAsia="zh-CN"/>
              </w:rPr>
              <w:t>5分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提振市场信心，缓改了房地产市场下行压力，增加税收入库</w:t>
            </w:r>
            <w:r>
              <w:rPr>
                <w:rFonts w:hint="default" w:ascii="Times New Roman" w:hAnsi="Times New Roman" w:eastAsia="仿宋_GB2312" w:cs="Times New Roman"/>
                <w:b w:val="0"/>
                <w:bCs w:val="0"/>
                <w:color w:val="auto"/>
                <w:sz w:val="18"/>
                <w:szCs w:val="18"/>
                <w:lang w:val="en-US" w:eastAsia="zh-CN"/>
              </w:rPr>
              <w:t>金额</w:t>
            </w:r>
          </w:p>
        </w:tc>
        <w:tc>
          <w:tcPr>
            <w:tcW w:w="14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32.66亿元</w:t>
            </w:r>
          </w:p>
        </w:tc>
        <w:tc>
          <w:tcPr>
            <w:tcW w:w="12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32.66亿元</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6"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nil"/>
              <w:right w:val="single" w:color="auto" w:sz="4" w:space="0"/>
            </w:tcBorders>
            <w:noWrap w:val="0"/>
            <w:vAlign w:val="center"/>
          </w:tcPr>
          <w:p>
            <w:pPr>
              <w:spacing w:line="240" w:lineRule="exact"/>
              <w:jc w:val="center"/>
              <w:rPr>
                <w:rFonts w:hint="eastAsia" w:ascii="仿宋_GB2312" w:hAnsi="仿宋_GB2312" w:eastAsia="仿宋_GB2312" w:cs="仿宋_GB2312"/>
                <w:b/>
                <w:bCs/>
                <w:color w:val="000000"/>
                <w:sz w:val="20"/>
                <w:szCs w:val="20"/>
              </w:rPr>
            </w:pPr>
          </w:p>
        </w:tc>
        <w:tc>
          <w:tcPr>
            <w:tcW w:w="2793"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推动建筑业持续发展，</w:t>
            </w:r>
            <w:r>
              <w:rPr>
                <w:rFonts w:hint="default" w:ascii="Times New Roman" w:hAnsi="Times New Roman" w:eastAsia="仿宋_GB2312" w:cs="Times New Roman"/>
                <w:b w:val="0"/>
                <w:bCs w:val="0"/>
                <w:color w:val="auto"/>
                <w:kern w:val="2"/>
                <w:sz w:val="18"/>
                <w:szCs w:val="18"/>
                <w:lang w:val="en-US" w:eastAsia="zh-CN" w:bidi="ar-SA"/>
              </w:rPr>
              <w:t>全市在库“四上”建筑企业</w:t>
            </w:r>
            <w:r>
              <w:rPr>
                <w:rFonts w:hint="default" w:ascii="Times New Roman" w:hAnsi="Times New Roman" w:eastAsia="仿宋_GB2312" w:cs="Times New Roman"/>
                <w:b w:val="0"/>
                <w:bCs w:val="0"/>
                <w:color w:val="auto"/>
                <w:sz w:val="18"/>
                <w:szCs w:val="18"/>
              </w:rPr>
              <w:t>增加税收入库</w:t>
            </w:r>
            <w:r>
              <w:rPr>
                <w:rFonts w:hint="default" w:ascii="Times New Roman" w:hAnsi="Times New Roman" w:eastAsia="仿宋_GB2312" w:cs="Times New Roman"/>
                <w:b w:val="0"/>
                <w:bCs w:val="0"/>
                <w:color w:val="auto"/>
                <w:sz w:val="18"/>
                <w:szCs w:val="18"/>
                <w:lang w:val="en-US" w:eastAsia="zh-CN"/>
              </w:rPr>
              <w:t>额</w:t>
            </w:r>
          </w:p>
        </w:tc>
        <w:tc>
          <w:tcPr>
            <w:tcW w:w="1445" w:type="dxa"/>
            <w:tcBorders>
              <w:top w:val="nil"/>
              <w:left w:val="nil"/>
              <w:bottom w:val="single" w:color="auto" w:sz="4" w:space="0"/>
              <w:right w:val="single" w:color="auto" w:sz="4" w:space="0"/>
            </w:tcBorders>
            <w:noWrap w:val="0"/>
            <w:vAlign w:val="center"/>
          </w:tcPr>
          <w:p>
            <w:pPr>
              <w:pStyle w:val="2"/>
              <w:ind w:left="0" w:leftChars="0" w:firstLine="0" w:firstLineChars="0"/>
              <w:jc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kern w:val="2"/>
                <w:sz w:val="18"/>
                <w:szCs w:val="18"/>
                <w:lang w:val="en-US" w:eastAsia="zh-CN" w:bidi="ar-SA"/>
              </w:rPr>
              <w:t>31.39亿元</w:t>
            </w:r>
          </w:p>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p>
        </w:tc>
        <w:tc>
          <w:tcPr>
            <w:tcW w:w="1254" w:type="dxa"/>
            <w:tcBorders>
              <w:top w:val="nil"/>
              <w:left w:val="nil"/>
              <w:bottom w:val="single" w:color="auto" w:sz="4" w:space="0"/>
              <w:right w:val="single" w:color="auto" w:sz="4" w:space="0"/>
            </w:tcBorders>
            <w:noWrap w:val="0"/>
            <w:vAlign w:val="center"/>
          </w:tcPr>
          <w:p>
            <w:pPr>
              <w:pStyle w:val="2"/>
              <w:ind w:left="0" w:leftChars="0" w:firstLine="0" w:firstLineChars="0"/>
              <w:jc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kern w:val="2"/>
                <w:sz w:val="18"/>
                <w:szCs w:val="18"/>
                <w:lang w:val="en-US" w:eastAsia="zh-CN" w:bidi="ar-SA"/>
              </w:rPr>
              <w:t>31.39亿元</w:t>
            </w:r>
          </w:p>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57"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2022年非税收入任务</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rPr>
              <w:t>9672.88万元</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rPr>
              <w:t>9672.88万元</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7"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社会效</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益指标</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default" w:ascii="仿宋_GB2312" w:hAnsi="仿宋_GB2312" w:eastAsia="仿宋_GB2312" w:cs="仿宋_GB2312"/>
                <w:b/>
                <w:bCs/>
                <w:color w:val="000000"/>
                <w:sz w:val="20"/>
                <w:szCs w:val="20"/>
                <w:lang w:val="en-US" w:eastAsia="zh-CN"/>
              </w:rPr>
            </w:pPr>
            <w:r>
              <w:rPr>
                <w:rFonts w:hint="eastAsia" w:ascii="仿宋_GB2312" w:hAnsi="仿宋_GB2312" w:eastAsia="仿宋_GB2312" w:cs="仿宋_GB2312"/>
                <w:b/>
                <w:bCs/>
                <w:color w:val="000000"/>
                <w:sz w:val="20"/>
                <w:szCs w:val="20"/>
                <w:lang w:val="en-US" w:eastAsia="zh-CN"/>
              </w:rPr>
              <w:t>15分</w:t>
            </w: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完成省级</w:t>
            </w:r>
            <w:r>
              <w:rPr>
                <w:rFonts w:hint="default" w:ascii="Times New Roman" w:hAnsi="Times New Roman" w:eastAsia="仿宋_GB2312" w:cs="Times New Roman"/>
                <w:b w:val="0"/>
                <w:bCs w:val="0"/>
                <w:color w:val="auto"/>
                <w:sz w:val="18"/>
                <w:szCs w:val="18"/>
              </w:rPr>
              <w:t>民生实事</w:t>
            </w:r>
            <w:r>
              <w:rPr>
                <w:rFonts w:hint="default" w:ascii="Times New Roman" w:hAnsi="Times New Roman" w:eastAsia="仿宋_GB2312" w:cs="Times New Roman"/>
                <w:b w:val="0"/>
                <w:bCs w:val="0"/>
                <w:color w:val="auto"/>
                <w:sz w:val="18"/>
                <w:szCs w:val="18"/>
                <w:lang w:eastAsia="zh-CN"/>
              </w:rPr>
              <w:t>，</w:t>
            </w:r>
            <w:r>
              <w:rPr>
                <w:rFonts w:hint="eastAsia" w:ascii="Times New Roman" w:hAnsi="Times New Roman" w:eastAsia="仿宋_GB2312" w:cs="Times New Roman"/>
                <w:b w:val="0"/>
                <w:bCs w:val="0"/>
                <w:color w:val="auto"/>
                <w:sz w:val="18"/>
                <w:szCs w:val="18"/>
                <w:lang w:val="en-US" w:eastAsia="zh-CN"/>
              </w:rPr>
              <w:t>解决城市低收入居民居住条件，促进社会和谐发展，具有</w:t>
            </w:r>
            <w:r>
              <w:rPr>
                <w:rFonts w:hint="default" w:ascii="Times New Roman" w:hAnsi="Times New Roman" w:eastAsia="仿宋_GB2312" w:cs="Times New Roman"/>
                <w:b w:val="0"/>
                <w:bCs w:val="0"/>
                <w:color w:val="auto"/>
                <w:sz w:val="18"/>
                <w:szCs w:val="18"/>
                <w:lang w:val="en-US" w:eastAsia="zh-CN"/>
              </w:rPr>
              <w:t>良好</w:t>
            </w:r>
            <w:r>
              <w:rPr>
                <w:rFonts w:hint="eastAsia" w:ascii="Times New Roman" w:hAnsi="Times New Roman" w:eastAsia="仿宋_GB2312" w:cs="Times New Roman"/>
                <w:b w:val="0"/>
                <w:bCs w:val="0"/>
                <w:color w:val="auto"/>
                <w:sz w:val="18"/>
                <w:szCs w:val="18"/>
                <w:lang w:val="en-US" w:eastAsia="zh-CN"/>
              </w:rPr>
              <w:t>的</w:t>
            </w:r>
            <w:r>
              <w:rPr>
                <w:rFonts w:hint="default" w:ascii="Times New Roman" w:hAnsi="Times New Roman" w:eastAsia="仿宋_GB2312" w:cs="Times New Roman"/>
                <w:b w:val="0"/>
                <w:bCs w:val="0"/>
                <w:color w:val="auto"/>
                <w:sz w:val="18"/>
                <w:szCs w:val="18"/>
              </w:rPr>
              <w:t>社会效益</w:t>
            </w:r>
            <w:r>
              <w:rPr>
                <w:rFonts w:hint="eastAsia" w:ascii="Times New Roman" w:hAnsi="Times New Roman" w:eastAsia="仿宋_GB2312" w:cs="Times New Roman"/>
                <w:b w:val="0"/>
                <w:bCs w:val="0"/>
                <w:color w:val="auto"/>
                <w:sz w:val="18"/>
                <w:szCs w:val="18"/>
                <w:lang w:eastAsia="zh-CN"/>
              </w:rPr>
              <w:t>。</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70"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b/>
                <w:bCs/>
                <w:color w:val="000000"/>
                <w:sz w:val="20"/>
                <w:szCs w:val="20"/>
              </w:rPr>
            </w:pPr>
          </w:p>
        </w:tc>
        <w:tc>
          <w:tcPr>
            <w:tcW w:w="27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highlight w:val="none"/>
                <w:lang w:val="en-US" w:eastAsia="zh-CN"/>
              </w:rPr>
              <w:t>提振房产市场，</w:t>
            </w:r>
            <w:r>
              <w:rPr>
                <w:rFonts w:hint="default" w:ascii="Times New Roman" w:hAnsi="Times New Roman" w:eastAsia="仿宋_GB2312" w:cs="Times New Roman"/>
                <w:b w:val="0"/>
                <w:bCs w:val="0"/>
                <w:color w:val="auto"/>
                <w:sz w:val="18"/>
                <w:szCs w:val="18"/>
                <w:lang w:val="en-US" w:eastAsia="zh-CN"/>
              </w:rPr>
              <w:t>化解了市场风险，维护了社会稳定。</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rPr>
              <w:t>加快建筑产业转型升级，大力推广绿色建筑，稳步提高建筑业发展质量和效益</w:t>
            </w:r>
            <w:r>
              <w:rPr>
                <w:rFonts w:hint="default" w:ascii="Times New Roman" w:hAnsi="Times New Roman" w:eastAsia="仿宋_GB2312" w:cs="Times New Roman"/>
                <w:b w:val="0"/>
                <w:bCs w:val="0"/>
                <w:color w:val="auto"/>
                <w:sz w:val="18"/>
                <w:szCs w:val="18"/>
                <w:lang w:eastAsia="zh-CN"/>
              </w:rPr>
              <w:t>。</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rPr>
              <w:t>加速城市建设，完成市委、市政府重点工作部署</w:t>
            </w:r>
            <w:r>
              <w:rPr>
                <w:rFonts w:hint="default" w:ascii="Times New Roman" w:hAnsi="Times New Roman" w:eastAsia="仿宋_GB2312" w:cs="Times New Roman"/>
                <w:b w:val="0"/>
                <w:bCs w:val="0"/>
                <w:color w:val="auto"/>
                <w:sz w:val="18"/>
                <w:szCs w:val="18"/>
                <w:lang w:eastAsia="zh-CN"/>
              </w:rPr>
              <w:t>。</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突出自建房整治，落实监管责任，</w:t>
            </w:r>
            <w:r>
              <w:rPr>
                <w:rFonts w:hint="eastAsia" w:ascii="Times New Roman" w:hAnsi="Times New Roman" w:eastAsia="仿宋_GB2312" w:cs="Times New Roman"/>
                <w:b w:val="0"/>
                <w:bCs w:val="0"/>
                <w:color w:val="auto"/>
                <w:sz w:val="18"/>
                <w:szCs w:val="18"/>
                <w:lang w:val="en-US" w:eastAsia="zh-CN"/>
              </w:rPr>
              <w:t>保障农村住房安全，</w:t>
            </w:r>
            <w:r>
              <w:rPr>
                <w:rFonts w:hint="default" w:ascii="Times New Roman" w:hAnsi="Times New Roman" w:eastAsia="仿宋_GB2312" w:cs="Times New Roman"/>
                <w:b w:val="0"/>
                <w:bCs w:val="0"/>
                <w:color w:val="auto"/>
                <w:sz w:val="18"/>
                <w:szCs w:val="18"/>
              </w:rPr>
              <w:t>为民筑起了安全防线。</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90"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加速改革创新，提升政务服务质效性</w:t>
            </w:r>
            <w:r>
              <w:rPr>
                <w:rFonts w:hint="eastAsia" w:ascii="Times New Roman" w:hAnsi="Times New Roman" w:eastAsia="仿宋_GB2312" w:cs="Times New Roman"/>
                <w:b w:val="0"/>
                <w:bCs w:val="0"/>
                <w:color w:val="auto"/>
                <w:sz w:val="18"/>
                <w:szCs w:val="18"/>
                <w:lang w:eastAsia="zh-CN"/>
              </w:rPr>
              <w:t>，</w:t>
            </w:r>
            <w:r>
              <w:rPr>
                <w:rFonts w:hint="eastAsia" w:ascii="Times New Roman" w:hAnsi="Times New Roman" w:eastAsia="仿宋_GB2312" w:cs="Times New Roman"/>
                <w:b w:val="0"/>
                <w:bCs w:val="0"/>
                <w:color w:val="auto"/>
                <w:sz w:val="18"/>
                <w:szCs w:val="18"/>
                <w:lang w:val="en-US" w:eastAsia="zh-CN"/>
              </w:rPr>
              <w:t>确保群众少跑腿。</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100%</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07"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生态效</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益指标</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default" w:ascii="仿宋_GB2312" w:hAnsi="仿宋_GB2312" w:eastAsia="仿宋_GB2312" w:cs="仿宋_GB2312"/>
                <w:b/>
                <w:bCs/>
                <w:color w:val="000000"/>
                <w:sz w:val="20"/>
                <w:szCs w:val="20"/>
                <w:lang w:val="en-US" w:eastAsia="zh-CN"/>
              </w:rPr>
            </w:pPr>
            <w:r>
              <w:rPr>
                <w:rFonts w:hint="eastAsia" w:ascii="仿宋_GB2312" w:hAnsi="仿宋_GB2312" w:eastAsia="仿宋_GB2312" w:cs="仿宋_GB2312"/>
                <w:b/>
                <w:bCs/>
                <w:color w:val="000000"/>
                <w:sz w:val="20"/>
                <w:szCs w:val="20"/>
                <w:lang w:val="en-US" w:eastAsia="zh-CN"/>
              </w:rPr>
              <w:t>5分</w:t>
            </w: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环保整改销号任务</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100%</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100%</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76"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大力推广绿色建筑，确保完成省定装配率</w:t>
            </w:r>
            <w:r>
              <w:rPr>
                <w:rFonts w:hint="default" w:ascii="Times New Roman" w:hAnsi="Times New Roman" w:eastAsia="仿宋_GB2312" w:cs="Times New Roman"/>
                <w:b w:val="0"/>
                <w:bCs w:val="0"/>
                <w:color w:val="auto"/>
                <w:sz w:val="18"/>
                <w:szCs w:val="18"/>
                <w:lang w:val="en-US" w:eastAsia="zh-CN"/>
              </w:rPr>
              <w:t>占全市新开工房屋建筑面积</w:t>
            </w:r>
            <w:r>
              <w:rPr>
                <w:rFonts w:hint="default" w:ascii="Times New Roman" w:hAnsi="Times New Roman" w:eastAsia="仿宋_GB2312" w:cs="Times New Roman"/>
                <w:b w:val="0"/>
                <w:bCs w:val="0"/>
                <w:color w:val="auto"/>
                <w:sz w:val="18"/>
                <w:szCs w:val="18"/>
              </w:rPr>
              <w:t>目标任务</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30%</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38%</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超额完成任务</w:t>
            </w:r>
          </w:p>
        </w:tc>
      </w:tr>
      <w:tr>
        <w:tblPrEx>
          <w:tblCellMar>
            <w:top w:w="0" w:type="dxa"/>
            <w:left w:w="108" w:type="dxa"/>
            <w:bottom w:w="0" w:type="dxa"/>
            <w:right w:w="108" w:type="dxa"/>
          </w:tblCellMar>
        </w:tblPrEx>
        <w:trPr>
          <w:trHeight w:val="885"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rPr>
            </w:pPr>
            <w:r>
              <w:rPr>
                <w:rFonts w:hint="default" w:ascii="Times New Roman" w:hAnsi="Times New Roman" w:eastAsia="仿宋_GB2312" w:cs="Times New Roman"/>
                <w:b w:val="0"/>
                <w:bCs w:val="0"/>
                <w:color w:val="auto"/>
                <w:sz w:val="18"/>
                <w:szCs w:val="18"/>
                <w:lang w:val="en-US" w:eastAsia="zh-CN"/>
              </w:rPr>
              <w:t>加强城镇环境综合整治，对黑臭水体治理，改造排水设施进水COD浓度低100mg/L的污水处理厂排查原因，积极整改效果</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95%</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w:t>
            </w:r>
            <w:r>
              <w:rPr>
                <w:rFonts w:hint="default" w:ascii="Times New Roman" w:hAnsi="Times New Roman" w:eastAsia="仿宋_GB2312" w:cs="Times New Roman"/>
                <w:b w:val="0"/>
                <w:bCs w:val="0"/>
                <w:color w:val="auto"/>
                <w:sz w:val="18"/>
                <w:szCs w:val="18"/>
                <w:lang w:val="en-US" w:eastAsia="zh-CN"/>
              </w:rPr>
              <w:t>95%</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07"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可持续影响指标</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default" w:ascii="仿宋_GB2312" w:hAnsi="仿宋_GB2312" w:eastAsia="仿宋_GB2312" w:cs="仿宋_GB2312"/>
                <w:b/>
                <w:bCs/>
                <w:color w:val="000000"/>
                <w:sz w:val="20"/>
                <w:szCs w:val="20"/>
                <w:lang w:val="en-US" w:eastAsia="zh-CN"/>
              </w:rPr>
            </w:pPr>
            <w:r>
              <w:rPr>
                <w:rFonts w:hint="eastAsia" w:ascii="仿宋_GB2312" w:hAnsi="仿宋_GB2312" w:eastAsia="仿宋_GB2312" w:cs="仿宋_GB2312"/>
                <w:b/>
                <w:bCs/>
                <w:color w:val="000000"/>
                <w:sz w:val="20"/>
                <w:szCs w:val="20"/>
                <w:lang w:val="en-US" w:eastAsia="zh-CN"/>
              </w:rPr>
              <w:t>5分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办</w:t>
            </w:r>
            <w:r>
              <w:rPr>
                <w:rFonts w:hint="default" w:ascii="Times New Roman" w:hAnsi="Times New Roman" w:eastAsia="仿宋_GB2312" w:cs="Times New Roman"/>
                <w:b w:val="0"/>
                <w:bCs w:val="0"/>
                <w:color w:val="auto"/>
                <w:sz w:val="18"/>
                <w:szCs w:val="18"/>
              </w:rPr>
              <w:t>民生实事</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可持续性</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可持续性</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36"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农村危房改造</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可持续性</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可持续性</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83"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加强城镇环境综合整治</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可持续性</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可持续性</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65"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b/>
                <w:bCs/>
                <w:color w:val="000000"/>
                <w:sz w:val="20"/>
                <w:szCs w:val="20"/>
              </w:rPr>
            </w:pPr>
          </w:p>
        </w:tc>
        <w:tc>
          <w:tcPr>
            <w:tcW w:w="2793"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推广绿色建筑</w:t>
            </w:r>
            <w:r>
              <w:rPr>
                <w:rFonts w:hint="eastAsia" w:ascii="Times New Roman" w:hAnsi="Times New Roman" w:eastAsia="仿宋_GB2312" w:cs="Times New Roman"/>
                <w:b w:val="0"/>
                <w:bCs w:val="0"/>
                <w:color w:val="auto"/>
                <w:sz w:val="18"/>
                <w:szCs w:val="18"/>
                <w:lang w:eastAsia="zh-CN"/>
              </w:rPr>
              <w:t>，推动建筑业持续发展。</w:t>
            </w:r>
          </w:p>
        </w:tc>
        <w:tc>
          <w:tcPr>
            <w:tcW w:w="14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可持续性</w:t>
            </w:r>
          </w:p>
        </w:tc>
        <w:tc>
          <w:tcPr>
            <w:tcW w:w="12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可持续性</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90"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color w:val="000000"/>
                <w:sz w:val="20"/>
                <w:szCs w:val="20"/>
              </w:rPr>
            </w:pP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自建房整治，落实监管责任</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可持续性</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可持续性</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84"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满意度</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bCs/>
                <w:color w:val="000000"/>
                <w:sz w:val="15"/>
                <w:szCs w:val="15"/>
              </w:rPr>
              <w:t>（10分）</w:t>
            </w:r>
          </w:p>
        </w:tc>
        <w:tc>
          <w:tcPr>
            <w:tcW w:w="485"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服务对象满意度指标</w:t>
            </w:r>
          </w:p>
        </w:tc>
        <w:tc>
          <w:tcPr>
            <w:tcW w:w="279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cs="Times New Roman"/>
                <w:b w:val="0"/>
                <w:bCs w:val="0"/>
                <w:color w:val="auto"/>
                <w:spacing w:val="-6"/>
                <w:sz w:val="18"/>
                <w:szCs w:val="18"/>
                <w:highlight w:val="none"/>
                <w:lang w:val="en-US" w:eastAsia="zh-CN"/>
              </w:rPr>
              <w:t>议</w:t>
            </w:r>
            <w:r>
              <w:rPr>
                <w:rFonts w:hint="default" w:ascii="Times New Roman" w:hAnsi="Times New Roman" w:eastAsia="仿宋_GB2312" w:cs="Times New Roman"/>
                <w:b w:val="0"/>
                <w:bCs w:val="0"/>
                <w:color w:val="auto"/>
                <w:sz w:val="18"/>
                <w:szCs w:val="18"/>
                <w:lang w:val="en-US" w:eastAsia="zh-CN"/>
              </w:rPr>
              <w:t>案回复满意率</w:t>
            </w:r>
          </w:p>
          <w:p>
            <w:pPr>
              <w:widowControl/>
              <w:spacing w:line="240" w:lineRule="exact"/>
              <w:jc w:val="both"/>
              <w:rPr>
                <w:rFonts w:hint="default" w:ascii="Times New Roman" w:hAnsi="Times New Roman" w:eastAsia="仿宋_GB2312" w:cs="Times New Roman"/>
                <w:b w:val="0"/>
                <w:bCs w:val="0"/>
                <w:color w:val="auto"/>
                <w:sz w:val="18"/>
                <w:szCs w:val="18"/>
              </w:rPr>
            </w:pPr>
          </w:p>
        </w:tc>
        <w:tc>
          <w:tcPr>
            <w:tcW w:w="144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95%以上</w:t>
            </w:r>
          </w:p>
          <w:p>
            <w:pPr>
              <w:widowControl/>
              <w:spacing w:line="240" w:lineRule="exact"/>
              <w:jc w:val="center"/>
              <w:rPr>
                <w:rFonts w:hint="default" w:ascii="Times New Roman" w:hAnsi="Times New Roman" w:eastAsia="仿宋_GB2312" w:cs="Times New Roman"/>
                <w:b w:val="0"/>
                <w:bCs w:val="0"/>
                <w:color w:val="auto"/>
                <w:sz w:val="18"/>
                <w:szCs w:val="18"/>
              </w:rPr>
            </w:pP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100%</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34"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信访办结回复满意率</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90%以上</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100%</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66" w:hRule="atLeast"/>
          <w:jc w:val="center"/>
        </w:trPr>
        <w:tc>
          <w:tcPr>
            <w:tcW w:w="7163"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4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填表人：</w:t>
      </w:r>
      <w:r>
        <w:rPr>
          <w:rFonts w:hint="eastAsia" w:eastAsia="仿宋_GB2312" w:cs="Times New Roman"/>
          <w:sz w:val="20"/>
          <w:szCs w:val="20"/>
          <w:lang w:eastAsia="zh-CN"/>
        </w:rPr>
        <w:t>任哲渔</w:t>
      </w:r>
      <w:r>
        <w:rPr>
          <w:rFonts w:hint="eastAsia" w:eastAsia="仿宋_GB2312" w:cs="Times New Roman"/>
          <w:sz w:val="20"/>
          <w:szCs w:val="20"/>
          <w:lang w:val="en-US" w:eastAsia="zh-CN"/>
        </w:rPr>
        <w:t xml:space="preserve">  </w:t>
      </w:r>
      <w:r>
        <w:rPr>
          <w:rFonts w:hint="default" w:ascii="Times New Roman" w:hAnsi="Times New Roman" w:eastAsia="仿宋_GB2312" w:cs="Times New Roman"/>
          <w:sz w:val="20"/>
          <w:szCs w:val="20"/>
        </w:rPr>
        <w:t xml:space="preserve"> 填报日期： </w:t>
      </w:r>
      <w:r>
        <w:rPr>
          <w:rFonts w:hint="eastAsia" w:eastAsia="仿宋_GB2312" w:cs="Times New Roman"/>
          <w:sz w:val="20"/>
          <w:szCs w:val="20"/>
          <w:lang w:val="en-US" w:eastAsia="zh-CN"/>
        </w:rPr>
        <w:t>2022.07.05</w:t>
      </w:r>
      <w:r>
        <w:rPr>
          <w:rFonts w:hint="default" w:ascii="Times New Roman" w:hAnsi="Times New Roman" w:eastAsia="仿宋_GB2312" w:cs="Times New Roman"/>
          <w:sz w:val="20"/>
          <w:szCs w:val="20"/>
        </w:rPr>
        <w:t xml:space="preserve">    联系电话： </w:t>
      </w:r>
      <w:r>
        <w:rPr>
          <w:rFonts w:hint="eastAsia" w:eastAsia="仿宋_GB2312" w:cs="Times New Roman"/>
          <w:sz w:val="20"/>
          <w:szCs w:val="20"/>
          <w:lang w:val="en-US" w:eastAsia="zh-CN"/>
        </w:rPr>
        <w:t>8758009</w:t>
      </w:r>
      <w:r>
        <w:rPr>
          <w:rFonts w:hint="default" w:ascii="Times New Roman" w:hAnsi="Times New Roman" w:eastAsia="仿宋_GB2312" w:cs="Times New Roman"/>
          <w:sz w:val="20"/>
          <w:szCs w:val="20"/>
        </w:rPr>
        <w:t xml:space="preserve">      单位负责人签字：</w:t>
      </w:r>
    </w:p>
    <w:p>
      <w:pPr>
        <w:widowControl/>
        <w:spacing w:line="600" w:lineRule="exact"/>
        <w:jc w:val="left"/>
        <w:rPr>
          <w:rFonts w:hint="eastAsia" w:ascii="黑体" w:hAnsi="黑体" w:eastAsia="黑体" w:cs="黑体"/>
          <w:sz w:val="32"/>
          <w:szCs w:val="32"/>
          <w:lang w:val="en-US" w:eastAsia="zh-CN"/>
        </w:rPr>
      </w:pP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2"/>
        <w:rPr>
          <w:rFonts w:hint="eastAsia"/>
        </w:rPr>
      </w:pP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14"/>
        <w:tblW w:w="9851" w:type="dxa"/>
        <w:jc w:val="center"/>
        <w:tblLayout w:type="autofit"/>
        <w:tblCellMar>
          <w:top w:w="0" w:type="dxa"/>
          <w:left w:w="108" w:type="dxa"/>
          <w:bottom w:w="0" w:type="dxa"/>
          <w:right w:w="108" w:type="dxa"/>
        </w:tblCellMar>
      </w:tblPr>
      <w:tblGrid>
        <w:gridCol w:w="1037"/>
        <w:gridCol w:w="1050"/>
        <w:gridCol w:w="938"/>
        <w:gridCol w:w="1309"/>
        <w:gridCol w:w="1421"/>
        <w:gridCol w:w="1104"/>
        <w:gridCol w:w="799"/>
        <w:gridCol w:w="868"/>
        <w:gridCol w:w="1325"/>
      </w:tblGrid>
      <w:tr>
        <w:tblPrEx>
          <w:tblCellMar>
            <w:top w:w="0" w:type="dxa"/>
            <w:left w:w="108" w:type="dxa"/>
            <w:bottom w:w="0" w:type="dxa"/>
            <w:right w:w="108" w:type="dxa"/>
          </w:tblCellMar>
        </w:tblPrEx>
        <w:trPr>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81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b/>
                <w:bCs/>
                <w:color w:val="000000"/>
                <w:sz w:val="24"/>
                <w:szCs w:val="24"/>
                <w:lang w:val="en-US" w:eastAsia="zh-CN"/>
              </w:rPr>
              <w:t>建设事务管理经费项目</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80" w:hRule="atLeast"/>
          <w:jc w:val="center"/>
        </w:trPr>
        <w:tc>
          <w:tcPr>
            <w:tcW w:w="10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7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0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99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岳阳市住房和城乡建设局</w:t>
            </w:r>
          </w:p>
        </w:tc>
      </w:tr>
      <w:tr>
        <w:tblPrEx>
          <w:tblCellMar>
            <w:top w:w="0" w:type="dxa"/>
            <w:left w:w="108" w:type="dxa"/>
            <w:bottom w:w="0" w:type="dxa"/>
            <w:right w:w="108" w:type="dxa"/>
          </w:tblCellMar>
        </w:tblPrEx>
        <w:trPr>
          <w:jc w:val="center"/>
        </w:trPr>
        <w:tc>
          <w:tcPr>
            <w:tcW w:w="103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198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98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393</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393</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353.33</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89.91%</w:t>
            </w:r>
            <w:r>
              <w:rPr>
                <w:rFonts w:hint="eastAsia" w:ascii="仿宋_GB2312" w:hAnsi="仿宋_GB2312" w:eastAsia="仿宋_GB2312" w:cs="仿宋_GB2312"/>
                <w:color w:val="000000"/>
                <w:sz w:val="20"/>
                <w:szCs w:val="20"/>
              </w:rPr>
              <w:t>　</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r>
      <w:tr>
        <w:tblPrEx>
          <w:tblCellMar>
            <w:top w:w="0" w:type="dxa"/>
            <w:left w:w="108" w:type="dxa"/>
            <w:bottom w:w="0" w:type="dxa"/>
            <w:right w:w="108" w:type="dxa"/>
          </w:tblCellMar>
        </w:tblPrEx>
        <w:trPr>
          <w:jc w:val="center"/>
        </w:trPr>
        <w:tc>
          <w:tcPr>
            <w:tcW w:w="10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98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393</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393</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353.33</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89.91%</w:t>
            </w:r>
            <w:r>
              <w:rPr>
                <w:rFonts w:hint="eastAsia" w:ascii="仿宋_GB2312" w:hAnsi="仿宋_GB2312" w:eastAsia="仿宋_GB2312" w:cs="仿宋_GB2312"/>
                <w:color w:val="000000"/>
                <w:sz w:val="20"/>
                <w:szCs w:val="20"/>
              </w:rPr>
              <w:t>　</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r>
      <w:tr>
        <w:tblPrEx>
          <w:tblCellMar>
            <w:top w:w="0" w:type="dxa"/>
            <w:left w:w="108" w:type="dxa"/>
            <w:bottom w:w="0" w:type="dxa"/>
            <w:right w:w="108" w:type="dxa"/>
          </w:tblCellMar>
        </w:tblPrEx>
        <w:trPr>
          <w:jc w:val="center"/>
        </w:trPr>
        <w:tc>
          <w:tcPr>
            <w:tcW w:w="10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98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98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3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7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09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3240" w:hRule="atLeast"/>
          <w:jc w:val="center"/>
        </w:trPr>
        <w:tc>
          <w:tcPr>
            <w:tcW w:w="10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7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市主城区装配式建筑实施率达到40%以上；2、完成2022年度全市保障性安居工程建设任务，其中申报城镇棚户区改造任务4827套、公租房建设1832套及租赁补贴发放12219户、保障性租赁住房建设1980套。3、全市建设工程优良率较上年度提高5%，确保我市建设施工领域安全生产平稳可控。4、建筑节能设计阶段实施率达到100%，中心城区施工阶段实施率达到100%；5、建立企业和个人工程建设领域信用信息目录，督查督办建设领域拖欠工程款问题；5、2022年全市计划改造老旧小区245个；计划投资119133.22万元；6、完成国家海绵示范城市年度考核任务，制订系统化实施方案；7、完成本年度农村危房改造、农村房屋安全隐患整治及农村房屋普查后续工作；7、督促完成省市下达的乡镇污水处理设施建设运营管理工作。　　</w:t>
            </w:r>
          </w:p>
        </w:tc>
        <w:tc>
          <w:tcPr>
            <w:tcW w:w="409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w:t>
            </w:r>
            <w:r>
              <w:rPr>
                <w:rFonts w:hint="eastAsia" w:ascii="仿宋_GB2312" w:hAnsi="仿宋_GB2312" w:eastAsia="仿宋_GB2312" w:cs="仿宋_GB2312"/>
                <w:color w:val="000000"/>
                <w:sz w:val="20"/>
                <w:szCs w:val="20"/>
                <w:lang w:eastAsia="zh-CN"/>
              </w:rPr>
              <w:t>按要求完成</w:t>
            </w:r>
            <w:r>
              <w:rPr>
                <w:rFonts w:hint="eastAsia" w:ascii="仿宋_GB2312" w:hAnsi="仿宋_GB2312" w:eastAsia="仿宋_GB2312" w:cs="仿宋_GB2312"/>
                <w:color w:val="000000"/>
                <w:sz w:val="20"/>
                <w:szCs w:val="20"/>
              </w:rPr>
              <w:t xml:space="preserve">      </w:t>
            </w:r>
          </w:p>
        </w:tc>
      </w:tr>
      <w:tr>
        <w:tblPrEx>
          <w:tblCellMar>
            <w:top w:w="0" w:type="dxa"/>
            <w:left w:w="108" w:type="dxa"/>
            <w:bottom w:w="0" w:type="dxa"/>
            <w:right w:w="108" w:type="dxa"/>
          </w:tblCellMar>
        </w:tblPrEx>
        <w:trPr>
          <w:jc w:val="center"/>
        </w:trPr>
        <w:tc>
          <w:tcPr>
            <w:tcW w:w="103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9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895"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93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申报2022年全市住房保障项目及资金任务</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住房保障资金16624万元</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2.5亿元</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3</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3</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eastAsia="zh-CN"/>
              </w:rPr>
              <w:t>超额完成</w:t>
            </w:r>
          </w:p>
        </w:tc>
      </w:tr>
      <w:tr>
        <w:tblPrEx>
          <w:tblCellMar>
            <w:top w:w="0" w:type="dxa"/>
            <w:left w:w="108" w:type="dxa"/>
            <w:bottom w:w="0" w:type="dxa"/>
            <w:right w:w="108" w:type="dxa"/>
          </w:tblCellMar>
        </w:tblPrEx>
        <w:trPr>
          <w:trHeight w:val="620"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老旧小区改造项目</w:t>
            </w:r>
            <w:r>
              <w:rPr>
                <w:rFonts w:hint="eastAsia" w:ascii="仿宋_GB2312" w:hAnsi="仿宋_GB2312" w:eastAsia="仿宋_GB2312" w:cs="仿宋_GB2312"/>
                <w:color w:val="000000"/>
                <w:sz w:val="16"/>
                <w:szCs w:val="16"/>
                <w:lang w:eastAsia="zh-CN"/>
              </w:rPr>
              <w:t>数</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376</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432</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3</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default"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3</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eastAsia="zh-CN"/>
              </w:rPr>
              <w:t>超额完成</w:t>
            </w:r>
          </w:p>
        </w:tc>
      </w:tr>
      <w:tr>
        <w:tblPrEx>
          <w:tblCellMar>
            <w:top w:w="0" w:type="dxa"/>
            <w:left w:w="108" w:type="dxa"/>
            <w:bottom w:w="0" w:type="dxa"/>
            <w:right w:w="108" w:type="dxa"/>
          </w:tblCellMar>
        </w:tblPrEx>
        <w:trPr>
          <w:trHeight w:val="635"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工程质量安全监督检查</w:t>
            </w:r>
            <w:r>
              <w:rPr>
                <w:rFonts w:hint="eastAsia" w:ascii="仿宋_GB2312" w:hAnsi="仿宋_GB2312" w:eastAsia="仿宋_GB2312" w:cs="仿宋_GB2312"/>
                <w:color w:val="000000"/>
                <w:sz w:val="16"/>
                <w:szCs w:val="16"/>
                <w:lang w:eastAsia="zh-CN"/>
              </w:rPr>
              <w:t>率</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tabs>
                <w:tab w:val="center" w:pos="602"/>
              </w:tabs>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100%</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100%</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trHeight w:val="675"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进行信用评价</w:t>
            </w:r>
            <w:r>
              <w:rPr>
                <w:rFonts w:hint="eastAsia" w:ascii="仿宋_GB2312" w:hAnsi="仿宋_GB2312" w:eastAsia="仿宋_GB2312" w:cs="仿宋_GB2312"/>
                <w:color w:val="000000"/>
                <w:sz w:val="16"/>
                <w:szCs w:val="16"/>
                <w:lang w:eastAsia="zh-CN"/>
              </w:rPr>
              <w:t>的</w:t>
            </w:r>
            <w:r>
              <w:rPr>
                <w:rFonts w:hint="eastAsia" w:ascii="仿宋_GB2312" w:hAnsi="仿宋_GB2312" w:eastAsia="仿宋_GB2312" w:cs="仿宋_GB2312"/>
                <w:color w:val="000000"/>
                <w:sz w:val="16"/>
                <w:szCs w:val="16"/>
              </w:rPr>
              <w:t>施工企业</w:t>
            </w:r>
            <w:r>
              <w:rPr>
                <w:rFonts w:hint="eastAsia" w:ascii="仿宋_GB2312" w:hAnsi="仿宋_GB2312" w:eastAsia="仿宋_GB2312" w:cs="仿宋_GB2312"/>
                <w:color w:val="000000"/>
                <w:sz w:val="16"/>
                <w:szCs w:val="16"/>
                <w:lang w:eastAsia="zh-CN"/>
              </w:rPr>
              <w:t>数</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210</w:t>
            </w:r>
            <w:r>
              <w:rPr>
                <w:rFonts w:hint="eastAsia" w:ascii="仿宋_GB2312" w:hAnsi="仿宋_GB2312" w:eastAsia="仿宋_GB2312" w:cs="仿宋_GB2312"/>
                <w:color w:val="000000"/>
                <w:sz w:val="16"/>
                <w:szCs w:val="16"/>
                <w:lang w:eastAsia="zh-CN"/>
              </w:rPr>
              <w:t>家</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100%</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trHeight w:val="665"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信息系统正常运转</w:t>
            </w:r>
            <w:r>
              <w:rPr>
                <w:rFonts w:hint="eastAsia" w:ascii="仿宋_GB2312" w:hAnsi="仿宋_GB2312" w:eastAsia="仿宋_GB2312" w:cs="仿宋_GB2312"/>
                <w:color w:val="000000"/>
                <w:sz w:val="16"/>
                <w:szCs w:val="16"/>
                <w:lang w:eastAsia="zh-CN"/>
              </w:rPr>
              <w:t>维护率</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100%</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100%</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trHeight w:val="720"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海绵城市建设项目</w:t>
            </w:r>
            <w:r>
              <w:rPr>
                <w:rFonts w:hint="eastAsia" w:ascii="仿宋_GB2312" w:hAnsi="仿宋_GB2312" w:eastAsia="仿宋_GB2312" w:cs="仿宋_GB2312"/>
                <w:color w:val="000000"/>
                <w:sz w:val="16"/>
                <w:szCs w:val="16"/>
                <w:lang w:eastAsia="zh-CN"/>
              </w:rPr>
              <w:t>数</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50个</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&gt;50</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trHeight w:val="1000"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督办污水处理项目建设提质增效</w:t>
            </w:r>
            <w:r>
              <w:rPr>
                <w:rFonts w:hint="eastAsia" w:ascii="仿宋_GB2312" w:hAnsi="仿宋_GB2312" w:eastAsia="仿宋_GB2312" w:cs="仿宋_GB2312"/>
                <w:color w:val="000000"/>
                <w:sz w:val="16"/>
                <w:szCs w:val="16"/>
                <w:lang w:eastAsia="zh-CN"/>
              </w:rPr>
              <w:t>项目数</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40个</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&gt;40</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trHeight w:val="90"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eastAsia="zh-CN"/>
              </w:rPr>
              <w:t>农村房屋</w:t>
            </w:r>
            <w:r>
              <w:rPr>
                <w:rFonts w:hint="eastAsia" w:ascii="仿宋_GB2312" w:hAnsi="仿宋_GB2312" w:eastAsia="仿宋_GB2312" w:cs="仿宋_GB2312"/>
                <w:color w:val="000000"/>
                <w:sz w:val="16"/>
                <w:szCs w:val="16"/>
              </w:rPr>
              <w:t>普查</w:t>
            </w:r>
            <w:r>
              <w:rPr>
                <w:rFonts w:hint="eastAsia" w:ascii="仿宋_GB2312" w:hAnsi="仿宋_GB2312" w:eastAsia="仿宋_GB2312" w:cs="仿宋_GB2312"/>
                <w:color w:val="000000"/>
                <w:sz w:val="16"/>
                <w:szCs w:val="16"/>
                <w:lang w:eastAsia="zh-CN"/>
              </w:rPr>
              <w:t>率</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100%</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100%</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开展节能建筑督查</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2次</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&gt;2次</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装备式建筑实施率</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达到省级标准</w:t>
            </w:r>
            <w:r>
              <w:rPr>
                <w:rFonts w:hint="eastAsia" w:ascii="仿宋_GB2312" w:hAnsi="仿宋_GB2312" w:eastAsia="仿宋_GB2312" w:cs="仿宋_GB2312"/>
                <w:color w:val="000000"/>
                <w:sz w:val="16"/>
                <w:szCs w:val="16"/>
                <w:lang w:val="en-US" w:eastAsia="zh-CN"/>
              </w:rPr>
              <w:t>30%</w:t>
            </w:r>
            <w:r>
              <w:rPr>
                <w:rFonts w:hint="eastAsia" w:ascii="仿宋_GB2312" w:hAnsi="仿宋_GB2312" w:eastAsia="仿宋_GB2312" w:cs="仿宋_GB2312"/>
                <w:color w:val="000000"/>
                <w:sz w:val="16"/>
                <w:szCs w:val="16"/>
              </w:rPr>
              <w:t>　</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40.7%</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超额完成</w:t>
            </w: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eastAsia="zh-CN"/>
              </w:rPr>
              <w:t>优化</w:t>
            </w:r>
            <w:r>
              <w:rPr>
                <w:rFonts w:hint="eastAsia" w:ascii="仿宋_GB2312" w:hAnsi="仿宋_GB2312" w:eastAsia="仿宋_GB2312" w:cs="仿宋_GB2312"/>
                <w:color w:val="000000"/>
                <w:sz w:val="16"/>
                <w:szCs w:val="16"/>
              </w:rPr>
              <w:t>政务流程</w:t>
            </w:r>
            <w:r>
              <w:rPr>
                <w:rFonts w:hint="eastAsia" w:ascii="仿宋_GB2312" w:hAnsi="仿宋_GB2312" w:eastAsia="仿宋_GB2312" w:cs="仿宋_GB2312"/>
                <w:color w:val="000000"/>
                <w:sz w:val="16"/>
                <w:szCs w:val="16"/>
                <w:lang w:eastAsia="zh-CN"/>
              </w:rPr>
              <w:t>，确保“一件事一次办”</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368"/>
              </w:tabs>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确保</w:t>
            </w:r>
            <w:r>
              <w:rPr>
                <w:rFonts w:hint="eastAsia" w:ascii="仿宋_GB2312" w:hAnsi="仿宋_GB2312" w:eastAsia="仿宋_GB2312" w:cs="仿宋_GB2312"/>
                <w:color w:val="000000"/>
                <w:sz w:val="16"/>
                <w:szCs w:val="16"/>
                <w:lang w:eastAsia="zh-CN"/>
              </w:rPr>
              <w:t>按要求</w:t>
            </w:r>
            <w:r>
              <w:rPr>
                <w:rFonts w:hint="eastAsia" w:ascii="仿宋_GB2312" w:hAnsi="仿宋_GB2312" w:eastAsia="仿宋_GB2312" w:cs="仿宋_GB2312"/>
                <w:color w:val="000000"/>
                <w:sz w:val="16"/>
                <w:szCs w:val="16"/>
              </w:rPr>
              <w:t>办结</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eastAsia="zh-CN"/>
              </w:rPr>
              <w:t>符合要求</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val="en-US" w:eastAsia="zh-CN"/>
              </w:rPr>
              <w:t>1</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1</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trHeight w:val="390"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海绵设施质量</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eastAsia="zh-CN"/>
              </w:rPr>
              <w:t>符合国家标准</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eastAsia="zh-CN"/>
              </w:rPr>
              <w:t>符合标准</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val="en-US" w:eastAsia="zh-CN"/>
              </w:rPr>
              <w:t>1</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1</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农村危房改造符合质量安全要求</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eastAsia="zh-CN"/>
              </w:rPr>
              <w:t>合格</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eastAsia="zh-CN"/>
              </w:rPr>
              <w:t>符合标准</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1</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1</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违法违规项目投诉率</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eastAsia="zh-CN"/>
              </w:rPr>
              <w:t>下降</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eastAsia="zh-CN"/>
              </w:rPr>
              <w:t>符合要求</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1</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1</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住房保障建设资金使用</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eastAsia="zh-CN"/>
              </w:rPr>
              <w:t>合规使用</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eastAsia="zh-CN"/>
              </w:rPr>
              <w:t>合规使用</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乡镇污水处理效果</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lang w:eastAsia="zh-CN"/>
              </w:rPr>
              <w:t>符合规定标准</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eastAsia="zh-CN"/>
              </w:rPr>
              <w:t>符合标准</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trHeight w:val="790"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按年度计划完成任务</w:t>
            </w:r>
          </w:p>
        </w:tc>
        <w:tc>
          <w:tcPr>
            <w:tcW w:w="14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2022.1-2022.12</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11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按期完成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8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1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trHeight w:val="790"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309"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经济成本指标</w:t>
            </w:r>
          </w:p>
        </w:tc>
        <w:tc>
          <w:tcPr>
            <w:tcW w:w="1421"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控制在预算范围内</w:t>
            </w:r>
          </w:p>
        </w:tc>
        <w:tc>
          <w:tcPr>
            <w:tcW w:w="110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353.33万元</w:t>
            </w:r>
          </w:p>
        </w:tc>
        <w:tc>
          <w:tcPr>
            <w:tcW w:w="799"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86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1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16"/>
                <w:szCs w:val="16"/>
                <w:lang w:eastAsia="zh-CN"/>
              </w:rPr>
              <w:t>不适用</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eastAsia="zh-CN"/>
              </w:rPr>
              <w:t>不适用</w:t>
            </w:r>
          </w:p>
        </w:tc>
        <w:tc>
          <w:tcPr>
            <w:tcW w:w="11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eastAsia="zh-CN"/>
              </w:rPr>
              <w:t>不适用</w:t>
            </w: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8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1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75"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人居环境改善</w:t>
            </w:r>
          </w:p>
        </w:tc>
        <w:tc>
          <w:tcPr>
            <w:tcW w:w="14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改善良好</w:t>
            </w:r>
          </w:p>
        </w:tc>
        <w:tc>
          <w:tcPr>
            <w:tcW w:w="11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改善良好</w:t>
            </w: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3</w:t>
            </w:r>
          </w:p>
        </w:tc>
        <w:tc>
          <w:tcPr>
            <w:tcW w:w="8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3</w:t>
            </w:r>
          </w:p>
        </w:tc>
        <w:tc>
          <w:tcPr>
            <w:tcW w:w="1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逐步消除乡镇黑臭水体</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r>
              <w:rPr>
                <w:rFonts w:hint="eastAsia" w:ascii="Times New Roman" w:hAnsi="Times New Roman" w:eastAsia="仿宋_GB2312" w:cs="Times New Roman"/>
                <w:b w:val="0"/>
                <w:bCs w:val="0"/>
                <w:color w:val="auto"/>
                <w:sz w:val="16"/>
                <w:szCs w:val="16"/>
                <w:lang w:val="en-US" w:eastAsia="zh-CN"/>
              </w:rPr>
              <w:t>有效消除</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有效消除</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持续消除农村房屋安全隐患，保障农村住房安全</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Times New Roman" w:hAnsi="Times New Roman" w:eastAsia="仿宋_GB2312" w:cs="Times New Roman"/>
                <w:b w:val="0"/>
                <w:bCs w:val="0"/>
                <w:color w:val="auto"/>
                <w:sz w:val="16"/>
                <w:szCs w:val="16"/>
                <w:lang w:val="en-US" w:eastAsia="zh-CN"/>
              </w:rPr>
              <w:t>保障安全</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kern w:val="0"/>
                <w:sz w:val="16"/>
                <w:szCs w:val="16"/>
                <w:lang w:val="en-US" w:eastAsia="zh-CN" w:bidi="ar-SA"/>
              </w:rPr>
              <w:t>持续保障</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促进建设领域诚信经营，维护建筑从业人员稳定</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Times New Roman" w:hAnsi="Times New Roman" w:eastAsia="仿宋_GB2312" w:cs="Times New Roman"/>
                <w:b w:val="0"/>
                <w:bCs w:val="0"/>
                <w:color w:val="auto"/>
                <w:sz w:val="16"/>
                <w:szCs w:val="16"/>
                <w:lang w:val="en-US" w:eastAsia="zh-CN"/>
              </w:rPr>
              <w:t>维护稳定</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有效维护</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p>
        </w:tc>
      </w:tr>
      <w:tr>
        <w:tblPrEx>
          <w:tblCellMar>
            <w:top w:w="0" w:type="dxa"/>
            <w:left w:w="108" w:type="dxa"/>
            <w:bottom w:w="0" w:type="dxa"/>
            <w:right w:w="108" w:type="dxa"/>
          </w:tblCellMar>
        </w:tblPrEx>
        <w:trPr>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解决城市低收入居民居住条件，促进社会和谐发展</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lang w:eastAsia="zh-CN"/>
              </w:rPr>
              <w:t>促进发展</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有效促进</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2</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2</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trHeight w:val="895"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节约能源减少污染，促进建筑产业绿色发展</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促进发展</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有效促进</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3</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3</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trHeight w:val="665"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提升城市生态系统功能</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有效提升</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有效提升</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3</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3</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trHeight w:val="680"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3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逐步消除乡镇黑臭水体</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逐步消除</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eastAsia="zh-CN"/>
              </w:rPr>
              <w:t>逐步消除</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3</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3</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trHeight w:val="940"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5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b w:val="0"/>
                <w:bCs w:val="0"/>
                <w:color w:val="auto"/>
                <w:kern w:val="0"/>
                <w:sz w:val="16"/>
                <w:szCs w:val="16"/>
                <w:lang w:val="en-US" w:eastAsia="zh-CN" w:bidi="ar-SA"/>
              </w:rPr>
            </w:pPr>
            <w:r>
              <w:rPr>
                <w:rFonts w:hint="eastAsia" w:ascii="Times New Roman" w:hAnsi="Times New Roman" w:eastAsia="仿宋_GB2312" w:cs="Times New Roman"/>
                <w:b w:val="0"/>
                <w:bCs w:val="0"/>
                <w:color w:val="auto"/>
                <w:sz w:val="16"/>
                <w:szCs w:val="16"/>
                <w:lang w:eastAsia="zh-CN"/>
              </w:rPr>
              <w:t>城乡居住环境持续改善</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6"/>
                <w:szCs w:val="16"/>
                <w:lang w:val="en-US" w:eastAsia="zh-CN"/>
              </w:rPr>
            </w:pPr>
            <w:r>
              <w:rPr>
                <w:rFonts w:hint="default" w:ascii="Times New Roman" w:hAnsi="Times New Roman" w:eastAsia="仿宋_GB2312" w:cs="Times New Roman"/>
                <w:b w:val="0"/>
                <w:bCs w:val="0"/>
                <w:color w:val="auto"/>
                <w:sz w:val="16"/>
                <w:szCs w:val="16"/>
                <w:lang w:val="en-US" w:eastAsia="zh-CN"/>
              </w:rPr>
              <w:t>可持续性</w:t>
            </w:r>
          </w:p>
          <w:p>
            <w:pPr>
              <w:widowControl/>
              <w:spacing w:line="240" w:lineRule="exact"/>
              <w:jc w:val="center"/>
              <w:rPr>
                <w:rFonts w:hint="eastAsia" w:ascii="Times New Roman" w:hAnsi="Times New Roman" w:eastAsia="仿宋_GB2312" w:cs="Times New Roman"/>
                <w:b w:val="0"/>
                <w:bCs w:val="0"/>
                <w:color w:val="auto"/>
                <w:kern w:val="0"/>
                <w:sz w:val="16"/>
                <w:szCs w:val="16"/>
                <w:lang w:val="en-US" w:eastAsia="zh-CN" w:bidi="ar-SA"/>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6"/>
                <w:szCs w:val="16"/>
                <w:lang w:val="en-US" w:eastAsia="zh-CN"/>
              </w:rPr>
            </w:pPr>
            <w:r>
              <w:rPr>
                <w:rFonts w:hint="eastAsia" w:ascii="Times New Roman" w:hAnsi="Times New Roman" w:eastAsia="仿宋_GB2312" w:cs="Times New Roman"/>
                <w:b w:val="0"/>
                <w:bCs w:val="0"/>
                <w:color w:val="auto"/>
                <w:sz w:val="16"/>
                <w:szCs w:val="16"/>
                <w:lang w:val="en-US" w:eastAsia="zh-CN"/>
              </w:rPr>
              <w:t>有</w:t>
            </w:r>
            <w:r>
              <w:rPr>
                <w:rFonts w:hint="default" w:ascii="Times New Roman" w:hAnsi="Times New Roman" w:eastAsia="仿宋_GB2312" w:cs="Times New Roman"/>
                <w:b w:val="0"/>
                <w:bCs w:val="0"/>
                <w:color w:val="auto"/>
                <w:sz w:val="16"/>
                <w:szCs w:val="16"/>
                <w:lang w:val="en-US" w:eastAsia="zh-CN"/>
              </w:rPr>
              <w:t>持续性</w:t>
            </w:r>
          </w:p>
          <w:p>
            <w:pPr>
              <w:widowControl/>
              <w:spacing w:line="240" w:lineRule="exact"/>
              <w:jc w:val="center"/>
              <w:rPr>
                <w:rFonts w:hint="eastAsia" w:ascii="Times New Roman" w:hAnsi="Times New Roman" w:eastAsia="仿宋_GB2312" w:cs="Times New Roman"/>
                <w:b w:val="0"/>
                <w:bCs w:val="0"/>
                <w:color w:val="auto"/>
                <w:kern w:val="0"/>
                <w:sz w:val="16"/>
                <w:szCs w:val="16"/>
                <w:lang w:val="en-US" w:eastAsia="zh-CN" w:bidi="ar-SA"/>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w:t>
            </w:r>
            <w:r>
              <w:rPr>
                <w:rFonts w:hint="eastAsia" w:ascii="仿宋_GB2312" w:hAnsi="仿宋_GB2312" w:eastAsia="仿宋_GB2312" w:cs="仿宋_GB2312"/>
                <w:color w:val="000000"/>
                <w:sz w:val="18"/>
                <w:szCs w:val="18"/>
                <w:lang w:val="en-US" w:eastAsia="zh-CN"/>
              </w:rPr>
              <w:t>10</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w:t>
            </w:r>
            <w:r>
              <w:rPr>
                <w:rFonts w:hint="eastAsia" w:ascii="仿宋_GB2312" w:hAnsi="仿宋_GB2312" w:eastAsia="仿宋_GB2312" w:cs="仿宋_GB2312"/>
                <w:color w:val="000000"/>
                <w:sz w:val="18"/>
                <w:szCs w:val="18"/>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43" w:hRule="atLeast"/>
          <w:jc w:val="center"/>
        </w:trPr>
        <w:tc>
          <w:tcPr>
            <w:tcW w:w="10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93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3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企业满意度</w:t>
            </w:r>
          </w:p>
        </w:tc>
        <w:tc>
          <w:tcPr>
            <w:tcW w:w="14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b w:val="0"/>
                <w:bCs w:val="0"/>
                <w:color w:val="auto"/>
                <w:sz w:val="16"/>
                <w:szCs w:val="16"/>
                <w:lang w:val="en-US" w:eastAsia="zh-CN"/>
              </w:rPr>
            </w:pPr>
            <w:r>
              <w:rPr>
                <w:rFonts w:hint="default" w:ascii="Times New Roman" w:hAnsi="Times New Roman" w:eastAsia="仿宋_GB2312" w:cs="Times New Roman"/>
                <w:b w:val="0"/>
                <w:bCs w:val="0"/>
                <w:color w:val="auto"/>
                <w:sz w:val="16"/>
                <w:szCs w:val="16"/>
                <w:lang w:val="en-US" w:eastAsia="zh-CN"/>
              </w:rPr>
              <w:t>95%以上</w:t>
            </w:r>
          </w:p>
          <w:p>
            <w:pPr>
              <w:widowControl/>
              <w:spacing w:line="240" w:lineRule="exact"/>
              <w:jc w:val="center"/>
              <w:rPr>
                <w:rFonts w:hint="eastAsia" w:ascii="Times New Roman" w:hAnsi="Times New Roman" w:eastAsia="仿宋_GB2312" w:cs="Times New Roman"/>
                <w:b w:val="0"/>
                <w:bCs w:val="0"/>
                <w:color w:val="auto"/>
                <w:kern w:val="0"/>
                <w:sz w:val="16"/>
                <w:szCs w:val="16"/>
                <w:lang w:val="en-US" w:eastAsia="zh-CN" w:bidi="ar-SA"/>
              </w:rPr>
            </w:pPr>
          </w:p>
        </w:tc>
        <w:tc>
          <w:tcPr>
            <w:tcW w:w="110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b w:val="0"/>
                <w:bCs w:val="0"/>
                <w:color w:val="auto"/>
                <w:kern w:val="0"/>
                <w:sz w:val="16"/>
                <w:szCs w:val="16"/>
                <w:lang w:val="en-US" w:eastAsia="zh-CN" w:bidi="ar-SA"/>
              </w:rPr>
            </w:pPr>
            <w:r>
              <w:rPr>
                <w:rFonts w:hint="default" w:ascii="Times New Roman" w:hAnsi="Times New Roman" w:eastAsia="仿宋_GB2312" w:cs="Times New Roman"/>
                <w:b w:val="0"/>
                <w:bCs w:val="0"/>
                <w:color w:val="auto"/>
                <w:sz w:val="16"/>
                <w:szCs w:val="16"/>
                <w:lang w:val="en-US" w:eastAsia="zh-CN"/>
              </w:rPr>
              <w:t>100%</w:t>
            </w: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w:t>
            </w:r>
            <w:r>
              <w:rPr>
                <w:rFonts w:hint="eastAsia" w:ascii="仿宋_GB2312" w:hAnsi="仿宋_GB2312" w:eastAsia="仿宋_GB2312" w:cs="仿宋_GB2312"/>
                <w:color w:val="000000"/>
                <w:sz w:val="18"/>
                <w:szCs w:val="18"/>
                <w:lang w:val="en-US" w:eastAsia="zh-CN"/>
              </w:rPr>
              <w:t>10</w:t>
            </w:r>
          </w:p>
        </w:tc>
        <w:tc>
          <w:tcPr>
            <w:tcW w:w="8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w:t>
            </w:r>
            <w:r>
              <w:rPr>
                <w:rFonts w:hint="eastAsia" w:ascii="仿宋_GB2312" w:hAnsi="仿宋_GB2312" w:eastAsia="仿宋_GB2312" w:cs="仿宋_GB2312"/>
                <w:color w:val="000000"/>
                <w:sz w:val="18"/>
                <w:szCs w:val="18"/>
                <w:lang w:val="en-US" w:eastAsia="zh-CN"/>
              </w:rPr>
              <w:t>10</w:t>
            </w:r>
          </w:p>
        </w:tc>
        <w:tc>
          <w:tcPr>
            <w:tcW w:w="1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10" w:hRule="atLeast"/>
          <w:jc w:val="center"/>
        </w:trPr>
        <w:tc>
          <w:tcPr>
            <w:tcW w:w="685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22"/>
          <w:szCs w:val="22"/>
        </w:rPr>
      </w:pPr>
    </w:p>
    <w:p>
      <w:pPr>
        <w:widowControl/>
        <w:spacing w:line="60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填表人：</w:t>
      </w:r>
      <w:r>
        <w:rPr>
          <w:rFonts w:hint="eastAsia" w:eastAsia="仿宋_GB2312" w:cs="Times New Roman"/>
          <w:sz w:val="20"/>
          <w:szCs w:val="20"/>
          <w:lang w:eastAsia="zh-CN"/>
        </w:rPr>
        <w:t>任哲渔</w:t>
      </w:r>
      <w:r>
        <w:rPr>
          <w:rFonts w:hint="eastAsia" w:eastAsia="仿宋_GB2312" w:cs="Times New Roman"/>
          <w:sz w:val="20"/>
          <w:szCs w:val="20"/>
          <w:lang w:val="en-US" w:eastAsia="zh-CN"/>
        </w:rPr>
        <w:t xml:space="preserve">  </w:t>
      </w:r>
      <w:r>
        <w:rPr>
          <w:rFonts w:hint="default" w:ascii="Times New Roman" w:hAnsi="Times New Roman" w:eastAsia="仿宋_GB2312" w:cs="Times New Roman"/>
          <w:sz w:val="20"/>
          <w:szCs w:val="20"/>
        </w:rPr>
        <w:t xml:space="preserve"> 填报日期： </w:t>
      </w:r>
      <w:r>
        <w:rPr>
          <w:rFonts w:hint="eastAsia" w:eastAsia="仿宋_GB2312" w:cs="Times New Roman"/>
          <w:sz w:val="20"/>
          <w:szCs w:val="20"/>
          <w:lang w:val="en-US" w:eastAsia="zh-CN"/>
        </w:rPr>
        <w:t>2022.07.05</w:t>
      </w:r>
      <w:r>
        <w:rPr>
          <w:rFonts w:hint="default" w:ascii="Times New Roman" w:hAnsi="Times New Roman" w:eastAsia="仿宋_GB2312" w:cs="Times New Roman"/>
          <w:sz w:val="20"/>
          <w:szCs w:val="20"/>
        </w:rPr>
        <w:t xml:space="preserve">    联系电话： </w:t>
      </w:r>
      <w:r>
        <w:rPr>
          <w:rFonts w:hint="eastAsia" w:eastAsia="仿宋_GB2312" w:cs="Times New Roman"/>
          <w:sz w:val="20"/>
          <w:szCs w:val="20"/>
          <w:lang w:val="en-US" w:eastAsia="zh-CN"/>
        </w:rPr>
        <w:t>8758009</w:t>
      </w:r>
      <w:r>
        <w:rPr>
          <w:rFonts w:hint="default" w:ascii="Times New Roman" w:hAnsi="Times New Roman" w:eastAsia="仿宋_GB2312" w:cs="Times New Roman"/>
          <w:sz w:val="20"/>
          <w:szCs w:val="20"/>
        </w:rPr>
        <w:t xml:space="preserve">      单位负责人签字：</w:t>
      </w: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仿宋_GB2312" w:cs="Times New Roman"/>
          <w:sz w:val="22"/>
        </w:rPr>
      </w:pPr>
    </w:p>
    <w:p>
      <w:pPr>
        <w:widowControl/>
        <w:spacing w:line="600" w:lineRule="exact"/>
        <w:jc w:val="left"/>
        <w:rPr>
          <w:rFonts w:hint="default"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14"/>
        <w:tblW w:w="9851" w:type="dxa"/>
        <w:jc w:val="center"/>
        <w:tblLayout w:type="fixed"/>
        <w:tblCellMar>
          <w:top w:w="0" w:type="dxa"/>
          <w:left w:w="108" w:type="dxa"/>
          <w:bottom w:w="0" w:type="dxa"/>
          <w:right w:w="108" w:type="dxa"/>
        </w:tblCellMar>
      </w:tblPr>
      <w:tblGrid>
        <w:gridCol w:w="1072"/>
        <w:gridCol w:w="1075"/>
        <w:gridCol w:w="1071"/>
        <w:gridCol w:w="1816"/>
        <w:gridCol w:w="1008"/>
        <w:gridCol w:w="1092"/>
        <w:gridCol w:w="462"/>
        <w:gridCol w:w="938"/>
        <w:gridCol w:w="1317"/>
      </w:tblGrid>
      <w:tr>
        <w:tblPrEx>
          <w:tblCellMar>
            <w:top w:w="0" w:type="dxa"/>
            <w:left w:w="108" w:type="dxa"/>
            <w:bottom w:w="0" w:type="dxa"/>
            <w:right w:w="108" w:type="dxa"/>
          </w:tblCellMar>
        </w:tblPrEx>
        <w:trPr>
          <w:trHeight w:val="518" w:hRule="atLeast"/>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b/>
                <w:bCs/>
                <w:color w:val="000000"/>
                <w:sz w:val="24"/>
                <w:szCs w:val="24"/>
                <w:lang w:val="en-US" w:eastAsia="zh-CN"/>
              </w:rPr>
              <w:t>施工图审查项目</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60" w:hRule="atLeast"/>
          <w:jc w:val="center"/>
        </w:trPr>
        <w:tc>
          <w:tcPr>
            <w:tcW w:w="107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9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岳阳市住房和城乡建设局</w:t>
            </w:r>
          </w:p>
        </w:tc>
        <w:tc>
          <w:tcPr>
            <w:tcW w:w="109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71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岳阳市住房和城乡建设局</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46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9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8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300</w:t>
            </w:r>
          </w:p>
        </w:tc>
        <w:tc>
          <w:tcPr>
            <w:tcW w:w="10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300</w:t>
            </w:r>
          </w:p>
        </w:tc>
        <w:tc>
          <w:tcPr>
            <w:tcW w:w="1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299.94</w:t>
            </w:r>
          </w:p>
        </w:tc>
        <w:tc>
          <w:tcPr>
            <w:tcW w:w="4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9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99.98%</w:t>
            </w:r>
            <w:r>
              <w:rPr>
                <w:rFonts w:hint="eastAsia" w:ascii="仿宋_GB2312" w:hAnsi="仿宋_GB2312" w:eastAsia="仿宋_GB2312" w:cs="仿宋_GB2312"/>
                <w:color w:val="000000"/>
                <w:sz w:val="20"/>
                <w:szCs w:val="20"/>
              </w:rPr>
              <w:t>　</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8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300</w:t>
            </w:r>
          </w:p>
        </w:tc>
        <w:tc>
          <w:tcPr>
            <w:tcW w:w="10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300</w:t>
            </w:r>
          </w:p>
        </w:tc>
        <w:tc>
          <w:tcPr>
            <w:tcW w:w="1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299.94</w:t>
            </w:r>
          </w:p>
        </w:tc>
        <w:tc>
          <w:tcPr>
            <w:tcW w:w="4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9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99.98%</w:t>
            </w:r>
            <w:r>
              <w:rPr>
                <w:rFonts w:hint="eastAsia" w:ascii="仿宋_GB2312" w:hAnsi="仿宋_GB2312" w:eastAsia="仿宋_GB2312" w:cs="仿宋_GB2312"/>
                <w:color w:val="000000"/>
                <w:sz w:val="20"/>
                <w:szCs w:val="20"/>
              </w:rPr>
              <w:t>　</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8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8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97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380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882" w:hRule="atLeast"/>
          <w:jc w:val="center"/>
        </w:trPr>
        <w:tc>
          <w:tcPr>
            <w:tcW w:w="10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97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加强施工图审查工作指导监督，确保绿色、装备式建筑和海绵城市设计方案可行。</w:t>
            </w:r>
          </w:p>
        </w:tc>
        <w:tc>
          <w:tcPr>
            <w:tcW w:w="380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本年度委托施工图审查房屋建筑和市政基础设施项目约130个，建筑面积约350万平方米,总投资约150亿元。                                                                                                                 </w:t>
            </w:r>
          </w:p>
        </w:tc>
      </w:tr>
      <w:tr>
        <w:tblPrEx>
          <w:tblCellMar>
            <w:top w:w="0" w:type="dxa"/>
            <w:left w:w="108" w:type="dxa"/>
            <w:bottom w:w="0" w:type="dxa"/>
            <w:right w:w="108" w:type="dxa"/>
          </w:tblCellMar>
        </w:tblPrEx>
        <w:trPr>
          <w:jc w:val="center"/>
        </w:trPr>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数量指标</w:t>
            </w:r>
            <w:r>
              <w:rPr>
                <w:rFonts w:hint="eastAsia" w:ascii="仿宋_GB2312" w:hAnsi="仿宋_GB2312" w:eastAsia="仿宋_GB2312" w:cs="仿宋_GB2312"/>
                <w:color w:val="000000"/>
                <w:sz w:val="20"/>
                <w:szCs w:val="20"/>
                <w:lang w:val="en-US" w:eastAsia="zh-CN"/>
              </w:rPr>
              <w:t>(20分）</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施工图审查</w:t>
            </w:r>
            <w:r>
              <w:rPr>
                <w:rFonts w:hint="eastAsia" w:ascii="仿宋_GB2312" w:hAnsi="仿宋_GB2312" w:eastAsia="仿宋_GB2312" w:cs="仿宋_GB2312"/>
                <w:color w:val="000000"/>
                <w:sz w:val="18"/>
                <w:szCs w:val="18"/>
                <w:lang w:val="en-US" w:eastAsia="zh-CN"/>
              </w:rPr>
              <w:t>项目</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eastAsia="zh-CN"/>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约130个</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140个</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审查建筑面积</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350万平方米</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263.64万平方米</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b w:val="0"/>
                <w:bCs w:val="0"/>
                <w:color w:val="000000"/>
                <w:sz w:val="18"/>
                <w:szCs w:val="18"/>
                <w:lang w:val="en-US" w:eastAsia="zh-CN"/>
              </w:rPr>
              <w:t>审查项目</w:t>
            </w:r>
            <w:r>
              <w:rPr>
                <w:rFonts w:hint="eastAsia" w:ascii="仿宋_GB2312" w:hAnsi="仿宋_GB2312" w:eastAsia="仿宋_GB2312" w:cs="仿宋_GB2312"/>
                <w:b w:val="0"/>
                <w:bCs w:val="0"/>
                <w:color w:val="000000"/>
                <w:sz w:val="18"/>
                <w:szCs w:val="18"/>
              </w:rPr>
              <w:t>总投资</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150亿元</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167.55</w:t>
            </w:r>
            <w:r>
              <w:rPr>
                <w:rFonts w:hint="eastAsia" w:ascii="仿宋_GB2312" w:hAnsi="仿宋_GB2312" w:eastAsia="仿宋_GB2312" w:cs="仿宋_GB2312"/>
                <w:color w:val="000000"/>
                <w:sz w:val="18"/>
                <w:szCs w:val="18"/>
              </w:rPr>
              <w:t>亿元</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质量指标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15分）</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图审合格率</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100%</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14</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检查中发现个别问题，无整改报告。原因：还在整改中。建议：确定时间点，督促整改，并提交整改报告。</w:t>
            </w:r>
          </w:p>
        </w:tc>
      </w:tr>
      <w:tr>
        <w:tblPrEx>
          <w:tblCellMar>
            <w:top w:w="0" w:type="dxa"/>
            <w:left w:w="108" w:type="dxa"/>
            <w:bottom w:w="0" w:type="dxa"/>
            <w:right w:w="108" w:type="dxa"/>
          </w:tblCellMar>
        </w:tblPrEx>
        <w:trPr>
          <w:trHeight w:val="638"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8分）</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按时间节点完成任务推进</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2022年1月-12月</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18"/>
                <w:szCs w:val="18"/>
                <w:lang w:val="en-US" w:eastAsia="zh-CN"/>
              </w:rPr>
              <w:t>2022年1月-12月</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22"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按合同时间支付费用</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按合同</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部分推迟时间支付</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原因：每年12月支付全年施工图审查服务费，未按合同条款中支付时间支付。建议市财政支付时分季度支付。</w:t>
            </w:r>
          </w:p>
        </w:tc>
      </w:tr>
      <w:tr>
        <w:tblPrEx>
          <w:tblCellMar>
            <w:top w:w="0" w:type="dxa"/>
            <w:left w:w="108" w:type="dxa"/>
            <w:bottom w:w="0" w:type="dxa"/>
            <w:right w:w="108" w:type="dxa"/>
          </w:tblCellMar>
        </w:tblPrEx>
        <w:trPr>
          <w:trHeight w:val="969"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7分）</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控制在预算内</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300</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299.94万元</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19"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不适用</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不适用</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18"/>
                <w:szCs w:val="18"/>
                <w:lang w:val="en-US" w:eastAsia="zh-CN"/>
              </w:rPr>
              <w:t>不适用</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sz w:val="18"/>
                <w:szCs w:val="18"/>
              </w:rPr>
              <w:t>推进工程建设领域“放、管、服”改革，优化营商环境。</w:t>
            </w:r>
            <w:r>
              <w:rPr>
                <w:rFonts w:hint="eastAsia" w:ascii="仿宋_GB2312" w:hAnsi="仿宋_GB2312" w:eastAsia="仿宋_GB2312" w:cs="仿宋_GB2312"/>
                <w:color w:val="000000"/>
                <w:sz w:val="18"/>
                <w:szCs w:val="18"/>
                <w:lang w:val="en-US" w:eastAsia="zh-CN"/>
              </w:rPr>
              <w:t>提高工程建设质量。</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SA"/>
              </w:rPr>
            </w:pPr>
            <w:r>
              <w:rPr>
                <w:rFonts w:ascii="宋体" w:hAnsi="宋体" w:eastAsia="宋体" w:cs="宋体"/>
                <w:i w:val="0"/>
                <w:iCs w:val="0"/>
                <w:color w:val="000000"/>
                <w:kern w:val="0"/>
                <w:sz w:val="13"/>
                <w:szCs w:val="13"/>
                <w:u w:val="none"/>
                <w:lang w:val="en-US" w:eastAsia="zh-CN" w:bidi="ar"/>
              </w:rPr>
              <w:t>良好</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SA"/>
              </w:rPr>
            </w:pPr>
            <w:r>
              <w:rPr>
                <w:rFonts w:ascii="宋体" w:hAnsi="宋体" w:eastAsia="宋体" w:cs="宋体"/>
                <w:i w:val="0"/>
                <w:iCs w:val="0"/>
                <w:color w:val="000000"/>
                <w:kern w:val="0"/>
                <w:sz w:val="13"/>
                <w:szCs w:val="13"/>
                <w:u w:val="none"/>
                <w:lang w:val="en-US" w:eastAsia="zh-CN" w:bidi="ar"/>
              </w:rPr>
              <w:t>良好</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加强施工图审查工作指导监督，确保绿色、装备式建筑和海绵城市设计方案可行。</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ascii="宋体" w:hAnsi="宋体" w:eastAsia="宋体" w:cs="宋体"/>
                <w:i w:val="0"/>
                <w:iCs w:val="0"/>
                <w:color w:val="000000"/>
                <w:kern w:val="0"/>
                <w:sz w:val="13"/>
                <w:szCs w:val="13"/>
                <w:u w:val="none"/>
                <w:lang w:val="en-US" w:eastAsia="zh-CN" w:bidi="ar"/>
              </w:rPr>
              <w:t>良好</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ascii="宋体" w:hAnsi="宋体" w:eastAsia="宋体" w:cs="宋体"/>
                <w:i w:val="0"/>
                <w:iCs w:val="0"/>
                <w:color w:val="000000"/>
                <w:kern w:val="0"/>
                <w:sz w:val="13"/>
                <w:szCs w:val="13"/>
                <w:u w:val="none"/>
                <w:lang w:val="en-US" w:eastAsia="zh-CN" w:bidi="ar"/>
              </w:rPr>
              <w:t>良好</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持续性效果</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良好</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18"/>
                <w:szCs w:val="18"/>
                <w:lang w:val="en-US" w:eastAsia="zh-CN"/>
              </w:rPr>
              <w:t>良好</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r>
              <w:rPr>
                <w:rFonts w:hint="eastAsia" w:ascii="仿宋_GB2312" w:hAnsi="仿宋_GB2312" w:eastAsia="仿宋_GB2312" w:cs="仿宋_GB2312"/>
                <w:color w:val="000000"/>
                <w:sz w:val="20"/>
                <w:szCs w:val="20"/>
                <w:lang w:val="en-US" w:eastAsia="zh-CN"/>
              </w:rPr>
              <w:t>0</w:t>
            </w:r>
            <w:r>
              <w:rPr>
                <w:rFonts w:hint="eastAsia" w:ascii="仿宋_GB2312" w:hAnsi="仿宋_GB2312" w:eastAsia="仿宋_GB2312" w:cs="仿宋_GB2312"/>
                <w:color w:val="000000"/>
                <w:sz w:val="20"/>
                <w:szCs w:val="20"/>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713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4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9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widowControl/>
        <w:spacing w:line="6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填表人：</w:t>
      </w:r>
      <w:r>
        <w:rPr>
          <w:rFonts w:hint="eastAsia" w:eastAsia="仿宋_GB2312" w:cs="Times New Roman"/>
          <w:sz w:val="20"/>
          <w:szCs w:val="20"/>
          <w:lang w:eastAsia="zh-CN"/>
        </w:rPr>
        <w:t>李小红</w:t>
      </w:r>
      <w:r>
        <w:rPr>
          <w:rFonts w:hint="eastAsia" w:eastAsia="仿宋_GB2312" w:cs="Times New Roman"/>
          <w:sz w:val="20"/>
          <w:szCs w:val="20"/>
          <w:lang w:val="en-US" w:eastAsia="zh-CN"/>
        </w:rPr>
        <w:t xml:space="preserve">  </w:t>
      </w:r>
      <w:r>
        <w:rPr>
          <w:rFonts w:hint="default" w:ascii="Times New Roman" w:hAnsi="Times New Roman" w:eastAsia="仿宋_GB2312" w:cs="Times New Roman"/>
          <w:sz w:val="20"/>
          <w:szCs w:val="20"/>
        </w:rPr>
        <w:t xml:space="preserve"> 填报日期： </w:t>
      </w:r>
      <w:r>
        <w:rPr>
          <w:rFonts w:hint="eastAsia" w:eastAsia="仿宋_GB2312" w:cs="Times New Roman"/>
          <w:sz w:val="20"/>
          <w:szCs w:val="20"/>
          <w:lang w:val="en-US" w:eastAsia="zh-CN"/>
        </w:rPr>
        <w:t>2022.07.05</w:t>
      </w:r>
      <w:r>
        <w:rPr>
          <w:rFonts w:hint="default" w:ascii="Times New Roman" w:hAnsi="Times New Roman" w:eastAsia="仿宋_GB2312" w:cs="Times New Roman"/>
          <w:sz w:val="20"/>
          <w:szCs w:val="20"/>
        </w:rPr>
        <w:t xml:space="preserve">   联系电话： </w:t>
      </w:r>
      <w:r>
        <w:rPr>
          <w:rFonts w:hint="eastAsia" w:eastAsia="仿宋_GB2312" w:cs="Times New Roman"/>
          <w:sz w:val="20"/>
          <w:szCs w:val="20"/>
          <w:lang w:val="en-US" w:eastAsia="zh-CN"/>
        </w:rPr>
        <w:t>8758007</w:t>
      </w:r>
      <w:r>
        <w:rPr>
          <w:rFonts w:hint="default" w:ascii="Times New Roman" w:hAnsi="Times New Roman" w:eastAsia="仿宋_GB2312" w:cs="Times New Roman"/>
          <w:sz w:val="20"/>
          <w:szCs w:val="20"/>
        </w:rPr>
        <w:t xml:space="preserve">     单位负责人签字：</w:t>
      </w: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pStyle w:val="2"/>
        <w:rPr>
          <w:rFonts w:hint="default" w:ascii="Times New Roman" w:hAnsi="Times New Roman" w:eastAsia="仿宋_GB2312" w:cs="Times New Roman"/>
          <w:sz w:val="20"/>
          <w:szCs w:val="20"/>
        </w:rPr>
      </w:pPr>
    </w:p>
    <w:p>
      <w:pPr>
        <w:widowControl/>
        <w:spacing w:line="600" w:lineRule="exact"/>
        <w:jc w:val="left"/>
        <w:rPr>
          <w:rFonts w:hint="default"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1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经济适用住房货币补贴项目</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岳阳市住房和城乡建设局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岳阳市住房和城乡建设局住房保障管理科</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88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解决我市部分城区低收入家庭的住房困难问题</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加快推进经济适用住房市场化运作进程</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推动了商品房市场的健康发展</w:t>
            </w:r>
            <w:r>
              <w:rPr>
                <w:rFonts w:hint="eastAsia" w:ascii="仿宋_GB2312" w:hAnsi="仿宋_GB2312" w:eastAsia="仿宋_GB2312" w:cs="仿宋_GB2312"/>
                <w:color w:val="000000"/>
                <w:sz w:val="20"/>
                <w:szCs w:val="20"/>
                <w:lang w:eastAsia="zh-CN"/>
              </w:rPr>
              <w:t>。</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完成27户符合领取经济适用住房货币162万元。</w:t>
            </w:r>
            <w:r>
              <w:rPr>
                <w:rFonts w:hint="eastAsia" w:ascii="仿宋_GB2312" w:hAnsi="仿宋_GB2312" w:eastAsia="仿宋_GB2312" w:cs="仿宋_GB2312"/>
                <w:color w:val="000000"/>
                <w:sz w:val="20"/>
                <w:szCs w:val="20"/>
              </w:rPr>
              <w:t>解决我市部分城区低收入家庭的住房困难问题</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加快推进经济适用住房市场化运作进程</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推动了商品房市场的健康发展</w:t>
            </w:r>
            <w:r>
              <w:rPr>
                <w:rFonts w:hint="eastAsia" w:ascii="仿宋_GB2312" w:hAnsi="仿宋_GB2312" w:eastAsia="仿宋_GB2312" w:cs="仿宋_GB2312"/>
                <w:color w:val="000000"/>
                <w:sz w:val="20"/>
                <w:szCs w:val="20"/>
                <w:lang w:eastAsia="zh-C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数量指标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20分）</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申请登记受理率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default" w:ascii="仿宋_GB2312" w:hAnsi="仿宋_GB2312" w:eastAsia="仿宋_GB2312" w:cs="仿宋_GB2312"/>
                <w:color w:val="000000"/>
                <w:sz w:val="20"/>
                <w:szCs w:val="20"/>
                <w:lang w:val="en-US" w:eastAsia="zh-CN"/>
              </w:rPr>
              <w:t>审查核实率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建立申领货币补贴家庭（个人）档案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符合条件发放补贴对象完成率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质量指标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10分）</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无举报冒领、骗取货币补贴者及提供虚假证明的单位和人员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主管单位工作人员未发生违规违法事实</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时效指标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10分）</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2022年3月1日至3月31日期间发放补贴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按时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推迟发放</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原因：资金申请时间滞后，审批程序时间偏长。建议：按时申请预算资金，积极推动缩短审批时效。</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501"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2021年7月1日至7月10日完成符合条件对象公示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按时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按时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成本指标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10分）</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每户一次性补贴按</w:t>
            </w:r>
            <w:r>
              <w:rPr>
                <w:rFonts w:hint="eastAsia" w:ascii="仿宋_GB2312" w:hAnsi="仿宋_GB2312" w:eastAsia="仿宋_GB2312" w:cs="仿宋_GB2312"/>
                <w:color w:val="000000"/>
                <w:sz w:val="20"/>
                <w:szCs w:val="20"/>
                <w:lang w:val="en-US" w:eastAsia="zh-CN"/>
              </w:rPr>
              <w:t>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6万元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6万元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补贴支出控制在审批资金范围内。</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300万元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299万元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益指标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5分）</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受助家庭减少贷款利息等家庭生活成本支出。</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20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益指标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20分）</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解决我市部分城区低收入家庭的住房困难问题</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加快推进经济适用住房市场化运作进程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推动了商品房市场的健康发展</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不适用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可持续影响指标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5分）</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项目持续开展</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持续开展</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2022年停止补贴</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原因：受房地产市场经济影响。建议：持续开展项目。</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有政策支持</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有</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有</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trHeight w:val="561"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有财政预算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有</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无</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原因：受房地产市场经济影响。建议：争取上级资金持续资金投入。</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90%及以上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90%及以上</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95分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pStyle w:val="2"/>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易学军</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填报日期：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8758021 </w:t>
      </w:r>
      <w:r>
        <w:rPr>
          <w:rFonts w:hint="default" w:ascii="Times New Roman" w:hAnsi="Times New Roman" w:eastAsia="仿宋_GB2312" w:cs="Times New Roman"/>
          <w:sz w:val="22"/>
          <w:szCs w:val="22"/>
        </w:rPr>
        <w:t>单位负责人签字：</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EFEB71-4708-4563-B923-BED6E693EC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DAFA21E-5CC5-4206-8C87-885273EC55C3}"/>
  </w:font>
  <w:font w:name="方正舒体">
    <w:panose1 w:val="02010601030101010101"/>
    <w:charset w:val="86"/>
    <w:family w:val="auto"/>
    <w:pitch w:val="default"/>
    <w:sig w:usb0="00000003" w:usb1="080E0000" w:usb2="00000000" w:usb3="00000000" w:csb0="00040000" w:csb1="00000000"/>
    <w:embedRegular r:id="rId3" w:fontKey="{5B8FBE98-387C-427B-BE7D-FE39ADA366BF}"/>
  </w:font>
  <w:font w:name="方正小标宋_GBK">
    <w:altName w:val="微软雅黑"/>
    <w:panose1 w:val="03000509000000000000"/>
    <w:charset w:val="86"/>
    <w:family w:val="script"/>
    <w:pitch w:val="default"/>
    <w:sig w:usb0="00000000" w:usb1="00000000" w:usb2="00000000" w:usb3="00000000" w:csb0="00040000" w:csb1="00000000"/>
    <w:embedRegular r:id="rId4" w:fontKey="{962E7ED1-E37A-4138-8F06-2F1CAF627864}"/>
  </w:font>
  <w:font w:name="楷体_GB2312">
    <w:altName w:val="楷体"/>
    <w:panose1 w:val="02010609030101010101"/>
    <w:charset w:val="86"/>
    <w:family w:val="modern"/>
    <w:pitch w:val="default"/>
    <w:sig w:usb0="00000000" w:usb1="00000000" w:usb2="00000010" w:usb3="00000000" w:csb0="00040000" w:csb1="00000000"/>
    <w:embedRegular r:id="rId5" w:fontKey="{4096BE11-8246-4171-9389-73450D0386F4}"/>
  </w:font>
  <w:font w:name="华文楷体">
    <w:panose1 w:val="02010600040101010101"/>
    <w:charset w:val="86"/>
    <w:family w:val="auto"/>
    <w:pitch w:val="default"/>
    <w:sig w:usb0="00000287" w:usb1="080F0000" w:usb2="00000000" w:usb3="00000000" w:csb0="0004009F" w:csb1="DFD70000"/>
    <w:embedRegular r:id="rId6" w:fontKey="{7CC5F3D7-31E4-485F-9D9A-44CA215F912F}"/>
  </w:font>
  <w:font w:name="仿宋">
    <w:panose1 w:val="02010609060101010101"/>
    <w:charset w:val="86"/>
    <w:family w:val="auto"/>
    <w:pitch w:val="default"/>
    <w:sig w:usb0="800002BF" w:usb1="38CF7CFA" w:usb2="00000016" w:usb3="00000000" w:csb0="00040001" w:csb1="00000000"/>
    <w:embedRegular r:id="rId7" w:fontKey="{2280133C-6C3F-4E93-9C0B-859EB209A387}"/>
  </w:font>
  <w:font w:name="汉仪润圆-65简">
    <w:panose1 w:val="00020600040101010101"/>
    <w:charset w:val="86"/>
    <w:family w:val="auto"/>
    <w:pitch w:val="default"/>
    <w:sig w:usb0="A00002BF" w:usb1="1ACF7CFA" w:usb2="00000016" w:usb3="00000000" w:csb0="0004009F" w:csb1="DFD70000"/>
    <w:embedRegular r:id="rId8" w:fontKey="{EB309ECA-8BE4-4012-AA20-0A577F820FD1}"/>
  </w:font>
  <w:font w:name="方正小标宋简体">
    <w:panose1 w:val="03000509000000000000"/>
    <w:charset w:val="86"/>
    <w:family w:val="auto"/>
    <w:pitch w:val="default"/>
    <w:sig w:usb0="00000001" w:usb1="080E0000" w:usb2="00000000" w:usb3="00000000" w:csb0="00040000" w:csb1="00000000"/>
    <w:embedRegular r:id="rId9" w:fontKey="{C18C76A1-F4AE-4EC2-85D1-58232E1537B3}"/>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ind w:right="360" w:firstLine="360"/>
      <w:rPr>
        <w:rFonts w:hint="eastAsia" w:ascii="仿宋" w:hAnsi="仿宋" w:eastAsia="仿宋" w:cs="仿宋"/>
        <w:b/>
        <w:bCs/>
        <w:lang w:val="en-US"/>
      </w:rPr>
    </w:pPr>
    <w:r>
      <w:rPr>
        <w:rFonts w:hint="eastAsia" w:ascii="仿宋" w:hAnsi="仿宋" w:eastAsia="仿宋" w:cs="仿宋"/>
        <w:b/>
        <w:bCs/>
        <w:lang w:val="en-US" w:eastAsia="zh-CN"/>
      </w:rPr>
      <w:t>湖南恒兴联合会计师事务所（普通合伙）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ind w:right="360"/>
      <w:rPr>
        <w:rFonts w:hint="eastAsia" w:ascii="仿宋" w:hAnsi="仿宋" w:eastAsia="仿宋" w:cs="仿宋"/>
        <w:b/>
        <w:bCs/>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ind w:right="360"/>
      <w:rPr>
        <w:rFonts w:hint="eastAsia" w:ascii="仿宋" w:hAnsi="仿宋" w:eastAsia="仿宋" w:cs="仿宋"/>
        <w:b/>
        <w:bCs/>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tabs>
        <w:tab w:val="center" w:pos="5387"/>
        <w:tab w:val="left" w:pos="7118"/>
      </w:tabs>
      <w:kinsoku/>
      <w:wordWrap/>
      <w:overflowPunct/>
      <w:topLinePunct w:val="0"/>
      <w:autoSpaceDE/>
      <w:autoSpaceDN/>
      <w:bidi w:val="0"/>
      <w:adjustRightInd/>
      <w:snapToGrid/>
      <w:spacing w:before="313" w:beforeLines="100" w:after="313" w:afterLines="100" w:line="560" w:lineRule="exact"/>
      <w:ind w:left="0" w:leftChars="0" w:firstLine="0" w:firstLineChars="0"/>
      <w:jc w:val="left"/>
      <w:textAlignment w:val="auto"/>
    </w:pPr>
    <w:r>
      <w:rPr>
        <w:rFonts w:hint="eastAsia" w:ascii="华文楷体" w:hAnsi="华文楷体" w:eastAsia="华文楷体" w:cs="华文楷体"/>
        <w:b/>
        <w:bCs w:val="0"/>
        <w:sz w:val="18"/>
        <w:szCs w:val="18"/>
        <w:lang w:val="en-US" w:eastAsia="zh-CN"/>
      </w:rPr>
      <w:tab/>
    </w:r>
    <w:r>
      <w:rPr>
        <w:rFonts w:hint="eastAsia" w:ascii="华文楷体" w:hAnsi="华文楷体" w:eastAsia="华文楷体" w:cs="华文楷体"/>
        <w:b/>
        <w:bCs w:val="0"/>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6152A"/>
    <w:multiLevelType w:val="singleLevel"/>
    <w:tmpl w:val="C676152A"/>
    <w:lvl w:ilvl="0" w:tentative="0">
      <w:start w:val="1"/>
      <w:numFmt w:val="chineseCounting"/>
      <w:suff w:val="nothing"/>
      <w:lvlText w:val="（%1）"/>
      <w:lvlJc w:val="left"/>
      <w:pPr>
        <w:ind w:left="-111"/>
      </w:pPr>
      <w:rPr>
        <w:rFonts w:hint="eastAsia"/>
      </w:rPr>
    </w:lvl>
  </w:abstractNum>
  <w:abstractNum w:abstractNumId="1">
    <w:nsid w:val="CBF14257"/>
    <w:multiLevelType w:val="singleLevel"/>
    <w:tmpl w:val="CBF14257"/>
    <w:lvl w:ilvl="0" w:tentative="0">
      <w:start w:val="2"/>
      <w:numFmt w:val="decimal"/>
      <w:suff w:val="nothing"/>
      <w:lvlText w:val="（%1）"/>
      <w:lvlJc w:val="left"/>
    </w:lvl>
  </w:abstractNum>
  <w:abstractNum w:abstractNumId="2">
    <w:nsid w:val="E6E7908D"/>
    <w:multiLevelType w:val="singleLevel"/>
    <w:tmpl w:val="E6E7908D"/>
    <w:lvl w:ilvl="0" w:tentative="0">
      <w:start w:val="1"/>
      <w:numFmt w:val="decimal"/>
      <w:suff w:val="nothing"/>
      <w:lvlText w:val="%1、"/>
      <w:lvlJc w:val="left"/>
      <w:pPr>
        <w:ind w:left="630" w:leftChars="0" w:firstLine="0" w:firstLineChars="0"/>
      </w:pPr>
    </w:lvl>
  </w:abstractNum>
  <w:abstractNum w:abstractNumId="3">
    <w:nsid w:val="ED6E7E51"/>
    <w:multiLevelType w:val="singleLevel"/>
    <w:tmpl w:val="ED6E7E51"/>
    <w:lvl w:ilvl="0" w:tentative="0">
      <w:start w:val="4"/>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MTViMmEwMzhhYzU2OTk2MGUxZGMzNGY1NjBjMTcifQ=="/>
  </w:docVars>
  <w:rsids>
    <w:rsidRoot w:val="00172A27"/>
    <w:rsid w:val="00F52A8D"/>
    <w:rsid w:val="01301342"/>
    <w:rsid w:val="01341F97"/>
    <w:rsid w:val="02900CBF"/>
    <w:rsid w:val="037800D1"/>
    <w:rsid w:val="045301F6"/>
    <w:rsid w:val="048723DA"/>
    <w:rsid w:val="04D1644C"/>
    <w:rsid w:val="07772530"/>
    <w:rsid w:val="0941157A"/>
    <w:rsid w:val="09ED69F7"/>
    <w:rsid w:val="09F856C2"/>
    <w:rsid w:val="0A184C5E"/>
    <w:rsid w:val="0A583B92"/>
    <w:rsid w:val="0D0664E9"/>
    <w:rsid w:val="0D08068F"/>
    <w:rsid w:val="0D956B28"/>
    <w:rsid w:val="0D9E2E2F"/>
    <w:rsid w:val="0E8441E3"/>
    <w:rsid w:val="0E855450"/>
    <w:rsid w:val="0ED54E67"/>
    <w:rsid w:val="0EEA7130"/>
    <w:rsid w:val="0F145CE2"/>
    <w:rsid w:val="0F651E25"/>
    <w:rsid w:val="0FA1450C"/>
    <w:rsid w:val="0FA83AEC"/>
    <w:rsid w:val="10260A97"/>
    <w:rsid w:val="106E0F54"/>
    <w:rsid w:val="107C2883"/>
    <w:rsid w:val="10846DA4"/>
    <w:rsid w:val="10E548CC"/>
    <w:rsid w:val="116B3023"/>
    <w:rsid w:val="11847C41"/>
    <w:rsid w:val="121128BC"/>
    <w:rsid w:val="1263719A"/>
    <w:rsid w:val="12706417"/>
    <w:rsid w:val="12AD766B"/>
    <w:rsid w:val="12CA0DC2"/>
    <w:rsid w:val="12ED1816"/>
    <w:rsid w:val="139A199E"/>
    <w:rsid w:val="16111CBF"/>
    <w:rsid w:val="16C94348"/>
    <w:rsid w:val="16E52614"/>
    <w:rsid w:val="181635BD"/>
    <w:rsid w:val="18393AB9"/>
    <w:rsid w:val="18DA6CE0"/>
    <w:rsid w:val="18E611E1"/>
    <w:rsid w:val="19EF458D"/>
    <w:rsid w:val="1A0641EC"/>
    <w:rsid w:val="1A0F4551"/>
    <w:rsid w:val="1A8225F1"/>
    <w:rsid w:val="1B7B1898"/>
    <w:rsid w:val="1C955CCD"/>
    <w:rsid w:val="1D3F7112"/>
    <w:rsid w:val="1DB00010"/>
    <w:rsid w:val="1EF04B68"/>
    <w:rsid w:val="1EFA2840"/>
    <w:rsid w:val="206A3341"/>
    <w:rsid w:val="20C77B4A"/>
    <w:rsid w:val="217801DA"/>
    <w:rsid w:val="240E771F"/>
    <w:rsid w:val="2430280F"/>
    <w:rsid w:val="24AD7223"/>
    <w:rsid w:val="25286B70"/>
    <w:rsid w:val="25D07DA6"/>
    <w:rsid w:val="276D35D6"/>
    <w:rsid w:val="27781B9E"/>
    <w:rsid w:val="298567F4"/>
    <w:rsid w:val="2AA50EFC"/>
    <w:rsid w:val="2C1D4AC2"/>
    <w:rsid w:val="2C8114F5"/>
    <w:rsid w:val="2DD35D80"/>
    <w:rsid w:val="2E290AD3"/>
    <w:rsid w:val="2F3B2DA0"/>
    <w:rsid w:val="300C7328"/>
    <w:rsid w:val="30640F12"/>
    <w:rsid w:val="313533C2"/>
    <w:rsid w:val="31723B02"/>
    <w:rsid w:val="323B2B8E"/>
    <w:rsid w:val="32496BD1"/>
    <w:rsid w:val="33A86E90"/>
    <w:rsid w:val="33AF19E8"/>
    <w:rsid w:val="340F73E6"/>
    <w:rsid w:val="34605B48"/>
    <w:rsid w:val="3592207D"/>
    <w:rsid w:val="35DA1C76"/>
    <w:rsid w:val="37BF1123"/>
    <w:rsid w:val="380044D3"/>
    <w:rsid w:val="3875064B"/>
    <w:rsid w:val="38BE5ED9"/>
    <w:rsid w:val="39182437"/>
    <w:rsid w:val="39233499"/>
    <w:rsid w:val="3A4D6EBA"/>
    <w:rsid w:val="3DDD212B"/>
    <w:rsid w:val="3FB35A12"/>
    <w:rsid w:val="3FD339BE"/>
    <w:rsid w:val="41F42594"/>
    <w:rsid w:val="435C1F1C"/>
    <w:rsid w:val="43E77A38"/>
    <w:rsid w:val="456E32D0"/>
    <w:rsid w:val="4636236A"/>
    <w:rsid w:val="463B050F"/>
    <w:rsid w:val="463E757E"/>
    <w:rsid w:val="46FF0150"/>
    <w:rsid w:val="4779193A"/>
    <w:rsid w:val="47B36F9E"/>
    <w:rsid w:val="48C4687C"/>
    <w:rsid w:val="4A137E1C"/>
    <w:rsid w:val="4A733183"/>
    <w:rsid w:val="4D5C08E8"/>
    <w:rsid w:val="4DE24659"/>
    <w:rsid w:val="4EFB2BFB"/>
    <w:rsid w:val="4F9C5E10"/>
    <w:rsid w:val="50AF18DD"/>
    <w:rsid w:val="523302EC"/>
    <w:rsid w:val="52BA2859"/>
    <w:rsid w:val="52E57838"/>
    <w:rsid w:val="531E2D4A"/>
    <w:rsid w:val="545A54F6"/>
    <w:rsid w:val="547C1F4D"/>
    <w:rsid w:val="54B022F5"/>
    <w:rsid w:val="554D7917"/>
    <w:rsid w:val="55954558"/>
    <w:rsid w:val="567D422C"/>
    <w:rsid w:val="569972B8"/>
    <w:rsid w:val="56B063AF"/>
    <w:rsid w:val="56DB2F3B"/>
    <w:rsid w:val="574C19DE"/>
    <w:rsid w:val="58697EF4"/>
    <w:rsid w:val="58BC3CBF"/>
    <w:rsid w:val="594023F8"/>
    <w:rsid w:val="59541257"/>
    <w:rsid w:val="5AC07302"/>
    <w:rsid w:val="5BAA161F"/>
    <w:rsid w:val="5C827377"/>
    <w:rsid w:val="5E5A31CD"/>
    <w:rsid w:val="5ED339EB"/>
    <w:rsid w:val="5FE55BA7"/>
    <w:rsid w:val="606C6C0B"/>
    <w:rsid w:val="612C0D28"/>
    <w:rsid w:val="618636DE"/>
    <w:rsid w:val="621E2D67"/>
    <w:rsid w:val="628237BE"/>
    <w:rsid w:val="62EB6C58"/>
    <w:rsid w:val="643E0102"/>
    <w:rsid w:val="64B259E8"/>
    <w:rsid w:val="65C66D54"/>
    <w:rsid w:val="66313984"/>
    <w:rsid w:val="666632EC"/>
    <w:rsid w:val="66FD119D"/>
    <w:rsid w:val="681D0554"/>
    <w:rsid w:val="685E210F"/>
    <w:rsid w:val="6A454BED"/>
    <w:rsid w:val="6ACD532A"/>
    <w:rsid w:val="6B0B7DAB"/>
    <w:rsid w:val="6B790669"/>
    <w:rsid w:val="6BB34661"/>
    <w:rsid w:val="6BF40694"/>
    <w:rsid w:val="6C586E75"/>
    <w:rsid w:val="6DBC51E2"/>
    <w:rsid w:val="6F2221F6"/>
    <w:rsid w:val="6F795A80"/>
    <w:rsid w:val="6F7E103C"/>
    <w:rsid w:val="71F43398"/>
    <w:rsid w:val="720C0443"/>
    <w:rsid w:val="721E0561"/>
    <w:rsid w:val="726D21D2"/>
    <w:rsid w:val="72E476B5"/>
    <w:rsid w:val="73176B8B"/>
    <w:rsid w:val="731C48E6"/>
    <w:rsid w:val="743B1228"/>
    <w:rsid w:val="75463AA4"/>
    <w:rsid w:val="75907680"/>
    <w:rsid w:val="7630676D"/>
    <w:rsid w:val="77070DB8"/>
    <w:rsid w:val="77383B2B"/>
    <w:rsid w:val="784B3176"/>
    <w:rsid w:val="78A813DF"/>
    <w:rsid w:val="78EA20DF"/>
    <w:rsid w:val="794F6CBD"/>
    <w:rsid w:val="79A27982"/>
    <w:rsid w:val="79E86193"/>
    <w:rsid w:val="7A3251AA"/>
    <w:rsid w:val="7A85177D"/>
    <w:rsid w:val="7AF64429"/>
    <w:rsid w:val="7B0A1C83"/>
    <w:rsid w:val="7B694BFB"/>
    <w:rsid w:val="7C855A65"/>
    <w:rsid w:val="7CFE5F71"/>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default"/>
      <w:sz w:val="21"/>
      <w:szCs w:val="24"/>
    </w:rPr>
  </w:style>
  <w:style w:type="paragraph" w:styleId="4">
    <w:name w:val="index 5"/>
    <w:basedOn w:val="1"/>
    <w:next w:val="1"/>
    <w:qFormat/>
    <w:uiPriority w:val="99"/>
    <w:pPr>
      <w:ind w:left="1680"/>
    </w:pPr>
    <w:rPr>
      <w:sz w:val="21"/>
      <w:szCs w:val="24"/>
    </w:rPr>
  </w:style>
  <w:style w:type="paragraph" w:styleId="5">
    <w:name w:val="annotation text"/>
    <w:basedOn w:val="1"/>
    <w:qFormat/>
    <w:uiPriority w:val="0"/>
    <w:pPr>
      <w:jc w:val="left"/>
    </w:pPr>
  </w:style>
  <w:style w:type="paragraph" w:styleId="6">
    <w:name w:val="Body Text"/>
    <w:basedOn w:val="1"/>
    <w:next w:val="7"/>
    <w:qFormat/>
    <w:uiPriority w:val="99"/>
    <w:pPr>
      <w:spacing w:after="120"/>
    </w:pPr>
  </w:style>
  <w:style w:type="paragraph" w:customStyle="1" w:styleId="7">
    <w:name w:val="正文首行缩进1"/>
    <w:basedOn w:val="1"/>
    <w:qFormat/>
    <w:uiPriority w:val="0"/>
    <w:pPr>
      <w:spacing w:after="120"/>
      <w:ind w:firstLine="420" w:firstLineChars="100"/>
    </w:pPr>
    <w:rPr>
      <w:rFonts w:ascii="Times New Roman" w:hAnsi="Times New Roman"/>
    </w:rPr>
  </w:style>
  <w:style w:type="paragraph" w:styleId="8">
    <w:name w:val="Body Text Indent"/>
    <w:basedOn w:val="1"/>
    <w:semiHidden/>
    <w:unhideWhenUsed/>
    <w:qFormat/>
    <w:uiPriority w:val="99"/>
    <w:pPr>
      <w:spacing w:after="120"/>
      <w:ind w:left="420" w:leftChars="200"/>
    </w:pPr>
  </w:style>
  <w:style w:type="paragraph" w:styleId="9">
    <w:name w:val="toc 5"/>
    <w:basedOn w:val="1"/>
    <w:next w:val="1"/>
    <w:qFormat/>
    <w:uiPriority w:val="0"/>
    <w:pPr>
      <w:ind w:left="1680" w:leftChars="800"/>
    </w:pPr>
  </w:style>
  <w:style w:type="paragraph" w:styleId="10">
    <w:name w:val="footer"/>
    <w:basedOn w:val="1"/>
    <w:next w:val="4"/>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6"/>
    <w:qFormat/>
    <w:uiPriority w:val="0"/>
    <w:pPr>
      <w:ind w:firstLine="420" w:firstLineChars="100"/>
    </w:pPr>
  </w:style>
  <w:style w:type="paragraph" w:styleId="13">
    <w:name w:val="Body Text First Indent 2"/>
    <w:basedOn w:val="8"/>
    <w:unhideWhenUsed/>
    <w:qFormat/>
    <w:uiPriority w:val="99"/>
    <w:pPr>
      <w:ind w:firstLine="420" w:firstLineChars="200"/>
    </w:pPr>
  </w:style>
  <w:style w:type="character" w:customStyle="1" w:styleId="16">
    <w:name w:val="NormalCharacter"/>
    <w:link w:val="17"/>
    <w:qFormat/>
    <w:uiPriority w:val="0"/>
  </w:style>
  <w:style w:type="paragraph" w:customStyle="1" w:styleId="17">
    <w:name w:val="UserStyle_2"/>
    <w:basedOn w:val="1"/>
    <w:link w:val="16"/>
    <w:qFormat/>
    <w:uiPriority w:val="0"/>
    <w:pPr>
      <w:spacing w:line="360" w:lineRule="auto"/>
      <w:jc w:val="both"/>
      <w:textAlignment w:val="baseline"/>
    </w:pPr>
  </w:style>
  <w:style w:type="character" w:customStyle="1" w:styleId="18">
    <w:name w:val="font11"/>
    <w:basedOn w:val="15"/>
    <w:qFormat/>
    <w:uiPriority w:val="0"/>
    <w:rPr>
      <w:rFonts w:hint="default" w:ascii="仿宋_GB2312" w:eastAsia="仿宋_GB2312" w:cs="仿宋_GB2312"/>
      <w:b/>
      <w:bCs/>
      <w:color w:val="000000"/>
      <w:sz w:val="24"/>
      <w:szCs w:val="24"/>
      <w:u w:val="none"/>
    </w:rPr>
  </w:style>
  <w:style w:type="character" w:customStyle="1" w:styleId="19">
    <w:name w:val="font41"/>
    <w:basedOn w:val="15"/>
    <w:qFormat/>
    <w:uiPriority w:val="0"/>
    <w:rPr>
      <w:rFonts w:hint="default" w:ascii="仿宋_GB2312" w:eastAsia="仿宋_GB2312" w:cs="仿宋_GB2312"/>
      <w:b/>
      <w:bCs/>
      <w:color w:val="000000"/>
      <w:sz w:val="24"/>
      <w:szCs w:val="24"/>
      <w:u w:val="none"/>
    </w:rPr>
  </w:style>
  <w:style w:type="character" w:customStyle="1" w:styleId="20">
    <w:name w:val="font71"/>
    <w:basedOn w:val="15"/>
    <w:qFormat/>
    <w:uiPriority w:val="0"/>
    <w:rPr>
      <w:rFonts w:hint="default" w:ascii="仿宋_GB2312" w:eastAsia="仿宋_GB2312" w:cs="仿宋_GB2312"/>
      <w:color w:val="000000"/>
      <w:sz w:val="22"/>
      <w:szCs w:val="22"/>
      <w:u w:val="none"/>
    </w:rPr>
  </w:style>
  <w:style w:type="character" w:customStyle="1" w:styleId="21">
    <w:name w:val="font01"/>
    <w:basedOn w:val="15"/>
    <w:qFormat/>
    <w:uiPriority w:val="0"/>
    <w:rPr>
      <w:rFonts w:hint="default" w:ascii="仿宋_GB2312" w:eastAsia="仿宋_GB2312" w:cs="仿宋_GB2312"/>
      <w:b/>
      <w:bCs/>
      <w:color w:val="000000"/>
      <w:sz w:val="24"/>
      <w:szCs w:val="24"/>
      <w:u w:val="none"/>
    </w:rPr>
  </w:style>
  <w:style w:type="character" w:customStyle="1" w:styleId="22">
    <w:name w:val="font21"/>
    <w:basedOn w:val="15"/>
    <w:qFormat/>
    <w:uiPriority w:val="0"/>
    <w:rPr>
      <w:rFonts w:hint="default" w:ascii="仿宋_GB2312" w:eastAsia="仿宋_GB2312" w:cs="仿宋_GB2312"/>
      <w:color w:val="000000"/>
      <w:sz w:val="22"/>
      <w:szCs w:val="22"/>
      <w:u w:val="none"/>
    </w:rPr>
  </w:style>
  <w:style w:type="character" w:customStyle="1" w:styleId="23">
    <w:name w:val="font31"/>
    <w:basedOn w:val="15"/>
    <w:qFormat/>
    <w:uiPriority w:val="0"/>
    <w:rPr>
      <w:rFonts w:hint="default" w:ascii="仿宋_GB2312" w:eastAsia="仿宋_GB2312" w:cs="仿宋_GB2312"/>
      <w:color w:val="000000"/>
      <w:sz w:val="24"/>
      <w:szCs w:val="24"/>
      <w:u w:val="none"/>
    </w:rPr>
  </w:style>
  <w:style w:type="paragraph" w:styleId="2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14177</Words>
  <Characters>16654</Characters>
  <Lines>0</Lines>
  <Paragraphs>0</Paragraphs>
  <TotalTime>2</TotalTime>
  <ScaleCrop>false</ScaleCrop>
  <LinksUpToDate>false</LinksUpToDate>
  <CharactersWithSpaces>17349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2021-06-10T03:41:00Z</dcterms:created>
  <dc:creator>Lenovo</dc:creator>
  <cp:lastModifiedBy>何蔚</cp:lastModifiedBy>
  <cp:lastPrinted>2023-07-26T09:38:00Z</cp:lastPrinted>
  <dcterms:modified xsi:type="dcterms:W3CDTF">2023-07-28T03:07:28Z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89670F6977194015A5F9AA15687985AB_13</vt:lpwstr>
  </property>
</Properties>
</file>