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sz w:val="44"/>
          <w:szCs w:val="44"/>
          <w:lang w:val="en-US" w:eastAsia="zh-CN"/>
        </w:rPr>
      </w:pPr>
    </w:p>
    <w:p>
      <w:pPr>
        <w:jc w:val="center"/>
        <w:rPr>
          <w:rFonts w:hint="eastAsia" w:eastAsia="黑体"/>
          <w:sz w:val="44"/>
          <w:szCs w:val="44"/>
          <w:lang w:val="en-US" w:eastAsia="zh-CN"/>
        </w:rPr>
      </w:pPr>
    </w:p>
    <w:p>
      <w:pPr>
        <w:jc w:val="center"/>
        <w:rPr>
          <w:rFonts w:hint="eastAsia" w:eastAsia="黑体"/>
          <w:sz w:val="44"/>
          <w:szCs w:val="44"/>
          <w:lang w:val="en-US" w:eastAsia="zh-CN"/>
        </w:rPr>
      </w:pPr>
    </w:p>
    <w:p>
      <w:pPr>
        <w:jc w:val="center"/>
        <w:rPr>
          <w:rFonts w:hint="eastAsia" w:eastAsia="黑体"/>
          <w:sz w:val="44"/>
          <w:szCs w:val="44"/>
          <w:lang w:val="en-US" w:eastAsia="zh-CN"/>
        </w:rPr>
      </w:pPr>
    </w:p>
    <w:p>
      <w:pPr>
        <w:jc w:val="center"/>
        <w:rPr>
          <w:rFonts w:hint="eastAsia" w:eastAsia="黑体"/>
          <w:sz w:val="44"/>
          <w:szCs w:val="44"/>
          <w:lang w:val="en-US" w:eastAsia="zh-CN"/>
        </w:rPr>
      </w:pPr>
      <w:r>
        <w:rPr>
          <w:rFonts w:hint="eastAsia" w:eastAsia="黑体"/>
          <w:sz w:val="44"/>
          <w:szCs w:val="44"/>
          <w:lang w:val="en-US" w:eastAsia="zh-CN"/>
        </w:rPr>
        <w:t>2022年度岳阳市公安局交通警察支队</w:t>
      </w:r>
    </w:p>
    <w:p>
      <w:pPr>
        <w:jc w:val="center"/>
        <w:rPr>
          <w:rFonts w:hint="eastAsia" w:eastAsia="黑体"/>
          <w:sz w:val="44"/>
          <w:szCs w:val="44"/>
          <w:lang w:val="en-US" w:eastAsia="zh-CN"/>
        </w:rPr>
      </w:pPr>
      <w:r>
        <w:rPr>
          <w:rFonts w:hint="eastAsia" w:eastAsia="黑体"/>
          <w:sz w:val="44"/>
          <w:szCs w:val="44"/>
          <w:lang w:val="en-US" w:eastAsia="zh-CN"/>
        </w:rPr>
        <w:t>整体支出绩效自评报告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720" w:firstLineChars="200"/>
        <w:jc w:val="center"/>
        <w:rPr>
          <w:rFonts w:hint="eastAsia" w:eastAsia="黑体"/>
          <w:sz w:val="36"/>
          <w:szCs w:val="36"/>
        </w:rPr>
      </w:pPr>
    </w:p>
    <w:p>
      <w:pPr>
        <w:ind w:firstLine="720" w:firstLineChars="200"/>
        <w:jc w:val="center"/>
        <w:rPr>
          <w:rFonts w:hint="eastAsia" w:eastAsia="黑体"/>
          <w:sz w:val="36"/>
          <w:szCs w:val="36"/>
        </w:rPr>
      </w:pPr>
    </w:p>
    <w:p>
      <w:pPr>
        <w:ind w:firstLine="720" w:firstLineChars="200"/>
        <w:jc w:val="center"/>
        <w:rPr>
          <w:rFonts w:hint="eastAsia" w:eastAsia="黑体"/>
          <w:sz w:val="36"/>
          <w:szCs w:val="36"/>
        </w:rPr>
      </w:pPr>
    </w:p>
    <w:p>
      <w:pPr>
        <w:ind w:firstLine="720" w:firstLineChars="200"/>
        <w:jc w:val="center"/>
        <w:rPr>
          <w:rFonts w:hint="eastAsia" w:eastAsia="黑体"/>
          <w:sz w:val="36"/>
          <w:szCs w:val="36"/>
        </w:rPr>
      </w:pPr>
    </w:p>
    <w:p>
      <w:pPr>
        <w:ind w:firstLine="720" w:firstLineChars="200"/>
        <w:jc w:val="center"/>
        <w:rPr>
          <w:rFonts w:hint="eastAsia" w:eastAsia="黑体"/>
          <w:sz w:val="36"/>
          <w:szCs w:val="36"/>
        </w:rPr>
      </w:pPr>
    </w:p>
    <w:p>
      <w:pPr>
        <w:ind w:firstLine="720" w:firstLineChars="200"/>
        <w:jc w:val="center"/>
        <w:rPr>
          <w:rFonts w:hint="eastAsia" w:eastAsia="黑体"/>
          <w:sz w:val="36"/>
          <w:szCs w:val="36"/>
        </w:rPr>
      </w:pPr>
    </w:p>
    <w:p>
      <w:pPr>
        <w:jc w:val="both"/>
        <w:rPr>
          <w:rFonts w:hint="eastAsia" w:eastAsia="黑体"/>
          <w:sz w:val="36"/>
          <w:szCs w:val="36"/>
          <w:u w:val="none"/>
          <w:lang w:val="en-US" w:eastAsia="zh-CN"/>
        </w:rPr>
      </w:pPr>
      <w:r>
        <w:rPr>
          <w:rFonts w:hint="eastAsia" w:eastAsia="黑体"/>
          <w:sz w:val="36"/>
          <w:szCs w:val="36"/>
          <w:lang w:val="en-US" w:eastAsia="zh-CN"/>
        </w:rPr>
        <w:t>部门（</w:t>
      </w:r>
      <w:r>
        <w:rPr>
          <w:rFonts w:hint="eastAsia" w:eastAsia="黑体"/>
          <w:sz w:val="36"/>
          <w:szCs w:val="36"/>
        </w:rPr>
        <w:t>单位</w:t>
      </w:r>
      <w:r>
        <w:rPr>
          <w:rFonts w:hint="eastAsia" w:eastAsia="黑体"/>
          <w:sz w:val="36"/>
          <w:szCs w:val="36"/>
          <w:lang w:val="en-US" w:eastAsia="zh-CN"/>
        </w:rPr>
        <w:t>）</w:t>
      </w:r>
      <w:r>
        <w:rPr>
          <w:rFonts w:hint="eastAsia" w:eastAsia="黑体"/>
          <w:sz w:val="36"/>
          <w:szCs w:val="36"/>
        </w:rPr>
        <w:t>名称</w:t>
      </w:r>
      <w:r>
        <w:rPr>
          <w:rFonts w:hint="eastAsia" w:eastAsia="黑体"/>
          <w:sz w:val="36"/>
          <w:szCs w:val="36"/>
          <w:lang w:eastAsia="zh-CN"/>
        </w:rPr>
        <w:t>：</w:t>
      </w:r>
      <w:r>
        <w:rPr>
          <w:rFonts w:hint="eastAsia" w:eastAsia="黑体"/>
          <w:sz w:val="36"/>
          <w:szCs w:val="36"/>
          <w:u w:val="single"/>
          <w:lang w:val="en-US" w:eastAsia="zh-CN"/>
        </w:rPr>
        <w:t>岳阳市公安局交通警察支队</w:t>
      </w:r>
    </w:p>
    <w:p>
      <w:pPr>
        <w:jc w:val="both"/>
        <w:rPr>
          <w:rFonts w:hint="default" w:eastAsia="黑体"/>
          <w:sz w:val="36"/>
          <w:szCs w:val="36"/>
          <w:lang w:val="en-US" w:eastAsia="zh-CN"/>
        </w:rPr>
      </w:pPr>
      <w:r>
        <w:rPr>
          <w:rFonts w:hint="eastAsia" w:eastAsia="黑体"/>
          <w:sz w:val="36"/>
          <w:szCs w:val="36"/>
          <w:lang w:val="en-US" w:eastAsia="zh-CN"/>
        </w:rPr>
        <w:t xml:space="preserve">            2023年7 月14日</w:t>
      </w:r>
    </w:p>
    <w:p>
      <w:pPr>
        <w:jc w:val="center"/>
        <w:rPr>
          <w:rFonts w:hint="eastAsia" w:eastAsia="黑体"/>
          <w:sz w:val="36"/>
          <w:szCs w:val="36"/>
        </w:rPr>
      </w:pPr>
    </w:p>
    <w:p>
      <w:pPr>
        <w:jc w:val="center"/>
        <w:rPr>
          <w:rFonts w:hint="eastAsia" w:eastAsia="黑体"/>
          <w:sz w:val="32"/>
          <w:szCs w:val="32"/>
        </w:rPr>
      </w:pPr>
    </w:p>
    <w:p>
      <w:pPr>
        <w:jc w:val="center"/>
        <w:rPr>
          <w:rFonts w:hint="eastAsia" w:eastAsia="黑体"/>
          <w:sz w:val="32"/>
          <w:szCs w:val="32"/>
        </w:rPr>
      </w:pPr>
    </w:p>
    <w:p>
      <w:pPr>
        <w:spacing w:line="600" w:lineRule="exact"/>
        <w:jc w:val="both"/>
        <w:rPr>
          <w:rFonts w:hint="eastAsia" w:eastAsia="黑体"/>
          <w:sz w:val="44"/>
          <w:szCs w:val="44"/>
          <w:lang w:val="en-US" w:eastAsia="zh-CN"/>
        </w:rPr>
      </w:pPr>
    </w:p>
    <w:p>
      <w:pPr>
        <w:spacing w:line="600" w:lineRule="exact"/>
        <w:jc w:val="center"/>
        <w:rPr>
          <w:rFonts w:hint="eastAsia" w:eastAsia="黑体"/>
          <w:sz w:val="44"/>
          <w:szCs w:val="44"/>
          <w:lang w:val="en-US" w:eastAsia="zh-CN"/>
        </w:rPr>
      </w:pPr>
      <w:r>
        <w:rPr>
          <w:rFonts w:hint="eastAsia" w:eastAsia="黑体"/>
          <w:sz w:val="44"/>
          <w:szCs w:val="44"/>
          <w:lang w:val="en-US" w:eastAsia="zh-CN"/>
        </w:rPr>
        <w:t>2022年度岳阳市公安局交通警察支队</w:t>
      </w:r>
    </w:p>
    <w:p>
      <w:pPr>
        <w:spacing w:line="600" w:lineRule="exact"/>
        <w:jc w:val="center"/>
        <w:rPr>
          <w:rFonts w:hint="default" w:eastAsia="黑体"/>
          <w:sz w:val="44"/>
          <w:szCs w:val="44"/>
          <w:lang w:val="en-US" w:eastAsia="zh-CN"/>
        </w:rPr>
      </w:pPr>
      <w:r>
        <w:rPr>
          <w:rFonts w:hint="eastAsia" w:eastAsia="黑体"/>
          <w:sz w:val="44"/>
          <w:szCs w:val="44"/>
          <w:lang w:val="en-US" w:eastAsia="zh-CN"/>
        </w:rPr>
        <w:t>整体支出绩效自评报告</w:t>
      </w:r>
    </w:p>
    <w:p>
      <w:pPr>
        <w:spacing w:line="24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20</w:t>
      </w:r>
      <w:r>
        <w:rPr>
          <w:rFonts w:hint="eastAsia" w:ascii="仿宋" w:hAnsi="仿宋" w:eastAsia="仿宋" w:cs="仿宋"/>
          <w:sz w:val="28"/>
          <w:szCs w:val="28"/>
          <w:lang w:val="en-US" w:eastAsia="zh-CN"/>
        </w:rPr>
        <w:t>22</w:t>
      </w:r>
      <w:r>
        <w:rPr>
          <w:rFonts w:hint="eastAsia" w:ascii="仿宋" w:hAnsi="仿宋" w:eastAsia="仿宋" w:cs="仿宋"/>
          <w:sz w:val="28"/>
          <w:szCs w:val="28"/>
        </w:rPr>
        <w:t>年，</w:t>
      </w:r>
      <w:r>
        <w:rPr>
          <w:rFonts w:hint="eastAsia" w:ascii="仿宋" w:hAnsi="仿宋" w:eastAsia="仿宋" w:cs="仿宋"/>
          <w:sz w:val="28"/>
          <w:szCs w:val="28"/>
          <w:lang w:val="en-US" w:eastAsia="zh-CN"/>
        </w:rPr>
        <w:t>在市局党委的坚强领导下，全市公安交管部门坚持“人民至上、生命至上”理念，围绕党的二十大交通安保主题主线，扎实推进道路交通安全管理各项工作措施，全市道路交通安全形势平稳有序。</w:t>
      </w:r>
    </w:p>
    <w:p>
      <w:pPr>
        <w:numPr>
          <w:ilvl w:val="0"/>
          <w:numId w:val="1"/>
        </w:numPr>
        <w:spacing w:line="240" w:lineRule="auto"/>
        <w:ind w:firstLine="640" w:firstLineChars="200"/>
        <w:rPr>
          <w:rFonts w:eastAsia="黑体"/>
          <w:sz w:val="32"/>
          <w:szCs w:val="32"/>
        </w:rPr>
      </w:pPr>
      <w:r>
        <w:rPr>
          <w:rFonts w:eastAsia="黑体"/>
          <w:sz w:val="32"/>
          <w:szCs w:val="32"/>
        </w:rPr>
        <w:t>部门（单位）基本情况</w:t>
      </w:r>
    </w:p>
    <w:p>
      <w:pPr>
        <w:autoSpaceDN w:val="0"/>
        <w:spacing w:line="240" w:lineRule="auto"/>
        <w:ind w:firstLine="560" w:firstLineChars="200"/>
        <w:jc w:val="left"/>
        <w:textAlignment w:val="center"/>
        <w:rPr>
          <w:rFonts w:hint="eastAsia" w:ascii="仿宋" w:hAnsi="仿宋" w:eastAsia="仿宋" w:cs="仿宋"/>
          <w:color w:val="000000"/>
          <w:sz w:val="28"/>
          <w:szCs w:val="28"/>
        </w:rPr>
      </w:pPr>
      <w:r>
        <w:rPr>
          <w:rFonts w:hint="eastAsia" w:ascii="仿宋" w:hAnsi="仿宋" w:eastAsia="仿宋" w:cs="仿宋"/>
          <w:color w:val="000000"/>
          <w:sz w:val="28"/>
          <w:szCs w:val="28"/>
        </w:rPr>
        <w:t>岳阳市公安局交通警察支队为岳阳市公安局直属副处级二级机构，</w:t>
      </w:r>
      <w:r>
        <w:rPr>
          <w:rFonts w:hint="eastAsia" w:ascii="仿宋" w:hAnsi="仿宋" w:eastAsia="仿宋" w:cs="仿宋"/>
          <w:color w:val="000000" w:themeColor="text1"/>
          <w:sz w:val="28"/>
          <w:szCs w:val="28"/>
          <w14:textFill>
            <w14:solidFill>
              <w14:schemeClr w14:val="tx1"/>
            </w14:solidFill>
          </w14:textFill>
        </w:rPr>
        <w:t>内设</w:t>
      </w:r>
      <w:r>
        <w:rPr>
          <w:rFonts w:hint="eastAsia" w:ascii="仿宋" w:hAnsi="仿宋" w:eastAsia="仿宋" w:cs="仿宋"/>
          <w:color w:val="000000" w:themeColor="text1"/>
          <w:sz w:val="28"/>
          <w:szCs w:val="28"/>
          <w:lang w:val="en-US" w:eastAsia="zh-CN"/>
          <w14:textFill>
            <w14:solidFill>
              <w14:schemeClr w14:val="tx1"/>
            </w14:solidFill>
          </w14:textFill>
        </w:rPr>
        <w:t>9</w:t>
      </w:r>
      <w:r>
        <w:rPr>
          <w:rFonts w:hint="eastAsia" w:ascii="仿宋" w:hAnsi="仿宋" w:eastAsia="仿宋" w:cs="仿宋"/>
          <w:color w:val="000000" w:themeColor="text1"/>
          <w:sz w:val="28"/>
          <w:szCs w:val="28"/>
          <w14:textFill>
            <w14:solidFill>
              <w14:schemeClr w14:val="tx1"/>
            </w14:solidFill>
          </w14:textFill>
        </w:rPr>
        <w:t>个科室所、</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个业务指导大队、</w:t>
      </w:r>
      <w:r>
        <w:rPr>
          <w:rFonts w:hint="eastAsia" w:ascii="仿宋" w:hAnsi="仿宋" w:eastAsia="仿宋" w:cs="仿宋"/>
          <w:color w:val="000000" w:themeColor="text1"/>
          <w:sz w:val="28"/>
          <w:szCs w:val="28"/>
          <w:lang w:val="en-US" w:eastAsia="zh-CN"/>
          <w14:textFill>
            <w14:solidFill>
              <w14:schemeClr w14:val="tx1"/>
            </w14:solidFill>
          </w14:textFill>
        </w:rPr>
        <w:t>10</w:t>
      </w:r>
      <w:r>
        <w:rPr>
          <w:rFonts w:hint="eastAsia" w:ascii="仿宋" w:hAnsi="仿宋" w:eastAsia="仿宋" w:cs="仿宋"/>
          <w:color w:val="000000" w:themeColor="text1"/>
          <w:sz w:val="28"/>
          <w:szCs w:val="28"/>
          <w14:textFill>
            <w14:solidFill>
              <w14:schemeClr w14:val="tx1"/>
            </w14:solidFill>
          </w14:textFill>
        </w:rPr>
        <w:t>个一线勤务大队，共25个正科级机构。支队主要负责市城区的交通安全直管及全市7个县市大队的业务指导。支队</w:t>
      </w:r>
      <w:r>
        <w:rPr>
          <w:rFonts w:hint="eastAsia" w:ascii="仿宋" w:hAnsi="仿宋" w:eastAsia="仿宋" w:cs="仿宋"/>
          <w:color w:val="000000" w:themeColor="text1"/>
          <w:sz w:val="28"/>
          <w:szCs w:val="28"/>
          <w:lang w:val="en-US" w:eastAsia="zh-CN"/>
          <w14:textFill>
            <w14:solidFill>
              <w14:schemeClr w14:val="tx1"/>
            </w14:solidFill>
          </w14:textFill>
        </w:rPr>
        <w:t>民警</w:t>
      </w:r>
      <w:r>
        <w:rPr>
          <w:rFonts w:hint="eastAsia" w:ascii="仿宋" w:hAnsi="仿宋" w:eastAsia="仿宋" w:cs="仿宋"/>
          <w:color w:val="000000" w:themeColor="text1"/>
          <w:sz w:val="28"/>
          <w:szCs w:val="28"/>
          <w14:textFill>
            <w14:solidFill>
              <w14:schemeClr w14:val="tx1"/>
            </w14:solidFill>
          </w14:textFill>
        </w:rPr>
        <w:t>实有</w:t>
      </w:r>
      <w:r>
        <w:rPr>
          <w:rFonts w:hint="eastAsia" w:ascii="仿宋" w:hAnsi="仿宋" w:eastAsia="仿宋" w:cs="仿宋"/>
          <w:color w:val="000000" w:themeColor="text1"/>
          <w:sz w:val="28"/>
          <w:szCs w:val="28"/>
          <w:lang w:val="en-US" w:eastAsia="zh-CN"/>
          <w14:textFill>
            <w14:solidFill>
              <w14:schemeClr w14:val="tx1"/>
            </w14:solidFill>
          </w14:textFill>
        </w:rPr>
        <w:t>396</w:t>
      </w:r>
      <w:r>
        <w:rPr>
          <w:rFonts w:hint="eastAsia" w:ascii="仿宋" w:hAnsi="仿宋" w:eastAsia="仿宋" w:cs="仿宋"/>
          <w:color w:val="000000" w:themeColor="text1"/>
          <w:sz w:val="28"/>
          <w:szCs w:val="28"/>
          <w14:textFill>
            <w14:solidFill>
              <w14:schemeClr w14:val="tx1"/>
            </w14:solidFill>
          </w14:textFill>
        </w:rPr>
        <w:t>人，</w:t>
      </w:r>
      <w:r>
        <w:rPr>
          <w:rFonts w:hint="eastAsia" w:ascii="仿宋" w:hAnsi="仿宋" w:eastAsia="仿宋" w:cs="仿宋"/>
          <w:color w:val="000000" w:themeColor="text1"/>
          <w:sz w:val="28"/>
          <w:szCs w:val="28"/>
          <w:lang w:val="en-US" w:eastAsia="zh-CN"/>
          <w14:textFill>
            <w14:solidFill>
              <w14:schemeClr w14:val="tx1"/>
            </w14:solidFill>
          </w14:textFill>
        </w:rPr>
        <w:t>辅警530</w:t>
      </w:r>
      <w:r>
        <w:rPr>
          <w:rFonts w:hint="eastAsia" w:ascii="仿宋" w:hAnsi="仿宋" w:eastAsia="仿宋" w:cs="仿宋"/>
          <w:color w:val="000000" w:themeColor="text1"/>
          <w:sz w:val="28"/>
          <w:szCs w:val="28"/>
          <w14:textFill>
            <w14:solidFill>
              <w14:schemeClr w14:val="tx1"/>
            </w14:solidFill>
          </w14:textFill>
        </w:rPr>
        <w:t>人。</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2022年度主要工作内容：</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1、借力交通问题顽瘴痼疾整治和事故预防“减量控大”，紧盯“人车路企”四大源头风险隐患。</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2、全面疏堵治乱、综合治理，提升农村交通安全，重要节点安保大维稳。</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3、进一步整合整治办、道安办力量，共享信息，部门警种勤联动。</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4、“放管服”落实落地，设施建设有序推进，持续优化营商环境。</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5、加强宣传密度，扩宽覆盖广度，丰富宣传维度。</w:t>
      </w:r>
    </w:p>
    <w:p>
      <w:pPr>
        <w:numPr>
          <w:ilvl w:val="0"/>
          <w:numId w:val="0"/>
        </w:numPr>
        <w:spacing w:line="240" w:lineRule="auto"/>
        <w:ind w:firstLine="560" w:firstLineChars="200"/>
        <w:rPr>
          <w:rFonts w:eastAsia="黑体"/>
          <w:sz w:val="32"/>
          <w:szCs w:val="32"/>
        </w:rPr>
      </w:pPr>
      <w:r>
        <w:rPr>
          <w:rFonts w:hint="eastAsia" w:ascii="仿宋" w:hAnsi="仿宋" w:eastAsia="仿宋" w:cs="仿宋"/>
          <w:color w:val="000000"/>
          <w:sz w:val="28"/>
          <w:szCs w:val="28"/>
          <w:lang w:val="en-US" w:eastAsia="zh-CN"/>
        </w:rPr>
        <w:t>6、抓牢队伍建设，抓实教育培训，抓紧基层建设，抓严督导问责。</w:t>
      </w:r>
    </w:p>
    <w:p>
      <w:pPr>
        <w:spacing w:line="600" w:lineRule="exact"/>
        <w:ind w:firstLine="640" w:firstLineChars="200"/>
        <w:rPr>
          <w:rFonts w:eastAsia="黑体"/>
          <w:sz w:val="32"/>
          <w:szCs w:val="32"/>
        </w:rPr>
      </w:pPr>
      <w:r>
        <w:rPr>
          <w:rFonts w:eastAsia="黑体"/>
          <w:sz w:val="32"/>
          <w:szCs w:val="32"/>
        </w:rPr>
        <w:t>二、一般公共预算支出情况</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（一）基本支出情况</w:t>
      </w:r>
    </w:p>
    <w:p>
      <w:p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2022年基本支出为18328.38万元，其中人员经费8938.2万元，公用支出为9390.16万元。</w:t>
      </w:r>
    </w:p>
    <w:p>
      <w:p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（二）项目支出情况</w:t>
      </w:r>
    </w:p>
    <w:p>
      <w:p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2022年项目支出为5157.8万元，其中2750万元为智能交通建设还款，已支付给城建投；2407.8万元为业务工作经费。</w:t>
      </w:r>
    </w:p>
    <w:p>
      <w:pPr>
        <w:numPr>
          <w:ilvl w:val="0"/>
          <w:numId w:val="0"/>
        </w:numPr>
        <w:spacing w:line="600" w:lineRule="exact"/>
        <w:ind w:leftChars="200"/>
        <w:rPr>
          <w:rFonts w:eastAsia="黑体"/>
          <w:sz w:val="32"/>
          <w:szCs w:val="32"/>
        </w:rPr>
      </w:pPr>
      <w:r>
        <w:rPr>
          <w:rFonts w:hint="eastAsia" w:eastAsia="黑体"/>
          <w:sz w:val="32"/>
          <w:szCs w:val="32"/>
          <w:lang w:val="en-US" w:eastAsia="zh-CN"/>
        </w:rPr>
        <w:t>三、</w:t>
      </w:r>
      <w:r>
        <w:rPr>
          <w:rFonts w:eastAsia="黑体"/>
          <w:sz w:val="32"/>
          <w:szCs w:val="32"/>
        </w:rPr>
        <w:t>政府性基金预算支出情况</w:t>
      </w:r>
    </w:p>
    <w:p>
      <w:pPr>
        <w:numPr>
          <w:ilvl w:val="0"/>
          <w:numId w:val="0"/>
        </w:numPr>
        <w:spacing w:line="600" w:lineRule="exact"/>
        <w:ind w:leftChars="200"/>
        <w:rPr>
          <w:rFonts w:hint="eastAsia" w:eastAsia="黑体"/>
          <w:sz w:val="32"/>
          <w:szCs w:val="32"/>
          <w:lang w:val="en-US" w:eastAsia="zh-CN"/>
        </w:rPr>
      </w:pPr>
      <w:r>
        <w:rPr>
          <w:rFonts w:hint="eastAsia" w:ascii="仿宋" w:hAnsi="仿宋" w:eastAsia="仿宋" w:cs="仿宋"/>
          <w:color w:val="000000"/>
          <w:sz w:val="28"/>
          <w:szCs w:val="28"/>
          <w:lang w:val="en-US" w:eastAsia="zh-CN"/>
        </w:rPr>
        <w:t>无</w:t>
      </w:r>
    </w:p>
    <w:p>
      <w:pPr>
        <w:numPr>
          <w:ilvl w:val="0"/>
          <w:numId w:val="0"/>
        </w:numPr>
        <w:spacing w:line="600" w:lineRule="exact"/>
        <w:ind w:leftChars="200"/>
        <w:rPr>
          <w:rFonts w:eastAsia="黑体"/>
          <w:sz w:val="32"/>
          <w:szCs w:val="32"/>
        </w:rPr>
      </w:pPr>
      <w:r>
        <w:rPr>
          <w:rFonts w:hint="eastAsia" w:eastAsia="黑体"/>
          <w:sz w:val="32"/>
          <w:szCs w:val="32"/>
          <w:lang w:val="en-US" w:eastAsia="zh-CN"/>
        </w:rPr>
        <w:t>四、</w:t>
      </w:r>
      <w:r>
        <w:rPr>
          <w:rFonts w:eastAsia="黑体"/>
          <w:sz w:val="32"/>
          <w:szCs w:val="32"/>
        </w:rPr>
        <w:t>国有资本经营预算支出情况</w:t>
      </w:r>
    </w:p>
    <w:p>
      <w:pPr>
        <w:numPr>
          <w:ilvl w:val="0"/>
          <w:numId w:val="0"/>
        </w:numPr>
        <w:spacing w:line="600" w:lineRule="exact"/>
        <w:ind w:leftChars="200"/>
        <w:rPr>
          <w:rFonts w:hint="eastAsia" w:eastAsia="黑体"/>
          <w:sz w:val="32"/>
          <w:szCs w:val="32"/>
          <w:lang w:val="en-US" w:eastAsia="zh-CN"/>
        </w:rPr>
      </w:pPr>
      <w:r>
        <w:rPr>
          <w:rFonts w:hint="eastAsia" w:ascii="仿宋" w:hAnsi="仿宋" w:eastAsia="仿宋" w:cs="仿宋"/>
          <w:color w:val="000000"/>
          <w:sz w:val="28"/>
          <w:szCs w:val="28"/>
          <w:lang w:val="en-US" w:eastAsia="zh-CN"/>
        </w:rPr>
        <w:t>无</w:t>
      </w:r>
    </w:p>
    <w:p>
      <w:pPr>
        <w:numPr>
          <w:ilvl w:val="0"/>
          <w:numId w:val="0"/>
        </w:numPr>
        <w:spacing w:line="600" w:lineRule="exact"/>
        <w:ind w:leftChars="200"/>
        <w:rPr>
          <w:rFonts w:eastAsia="黑体"/>
          <w:sz w:val="32"/>
          <w:szCs w:val="32"/>
        </w:rPr>
      </w:pPr>
      <w:r>
        <w:rPr>
          <w:rFonts w:hint="eastAsia" w:eastAsia="黑体"/>
          <w:sz w:val="32"/>
          <w:szCs w:val="32"/>
          <w:lang w:val="en-US" w:eastAsia="zh-CN"/>
        </w:rPr>
        <w:t>五、</w:t>
      </w:r>
      <w:r>
        <w:rPr>
          <w:rFonts w:eastAsia="黑体"/>
          <w:sz w:val="32"/>
          <w:szCs w:val="32"/>
        </w:rPr>
        <w:t>社会保险基金预算支出情况</w:t>
      </w:r>
    </w:p>
    <w:p>
      <w:pPr>
        <w:numPr>
          <w:ilvl w:val="0"/>
          <w:numId w:val="0"/>
        </w:numPr>
        <w:spacing w:line="600" w:lineRule="exact"/>
        <w:ind w:left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无</w:t>
      </w:r>
    </w:p>
    <w:p>
      <w:pPr>
        <w:spacing w:line="600" w:lineRule="exact"/>
        <w:ind w:firstLine="640" w:firstLineChars="200"/>
        <w:rPr>
          <w:rFonts w:eastAsia="黑体"/>
          <w:sz w:val="32"/>
          <w:szCs w:val="32"/>
        </w:rPr>
      </w:pPr>
      <w:r>
        <w:rPr>
          <w:rFonts w:eastAsia="黑体"/>
          <w:sz w:val="32"/>
          <w:szCs w:val="32"/>
        </w:rPr>
        <w:t>六、部门整体支出绩效情况</w:t>
      </w:r>
    </w:p>
    <w:p>
      <w:pPr>
        <w:numPr>
          <w:ilvl w:val="0"/>
          <w:numId w:val="2"/>
        </w:numPr>
        <w:autoSpaceDN w:val="0"/>
        <w:spacing w:line="240" w:lineRule="auto"/>
        <w:ind w:firstLine="560" w:firstLineChars="200"/>
        <w:jc w:val="left"/>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铁腕整治风险隐患。联合检查运输企业220余家，排查整改源头性安全隐患102处，重型挂车、危化品车违法处理率达100%。整改治理临水临崖、急弯陡坡、“五小工程”、穿村过镇等风险路段，47处部省级督办的重点路口路段全部整改完毕，107国道岳阳段纳入省级示范公路创建。全市重点运输企业备案率100%。</w:t>
      </w:r>
    </w:p>
    <w:p>
      <w:pPr>
        <w:numPr>
          <w:ilvl w:val="0"/>
          <w:numId w:val="2"/>
        </w:num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精准发力秩序管控。全面疏堵治乱、综合治理，智能交通系统二期建设已向市政府报告，正有序推进。全市农村手机APP安装率以及劝导员、村辅警劝导率达100%以上。</w:t>
      </w:r>
    </w:p>
    <w:p>
      <w:pPr>
        <w:numPr>
          <w:ilvl w:val="0"/>
          <w:numId w:val="2"/>
        </w:num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高频高效部门联动。进一步整合整治办、道安办力量，通过“两个平台”“六个专班”，完善联动共管模式，加强精准指导，凝聚强大合力。对涉及多部门执法监管领域的“人、车、路、企”问题隐患，精准把脉、联合攻坚，确保“线上+线下”双监督、“路面+源头”双管控，提升跨部门协作效率。</w:t>
      </w:r>
    </w:p>
    <w:p>
      <w:pPr>
        <w:numPr>
          <w:ilvl w:val="0"/>
          <w:numId w:val="2"/>
        </w:num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聚力聚焦民生重点。一是“放管服”落实落地，受理小型汽车异地考试业务，“一证通考”业务。“交管12123”、湖南公安服务平台等“掌中办”全市覆盖，建成应用“道安监管云”一期，可归集各类交通管理数据。二是设施建设有序推进。今年以来，结合人大、政协代表的意见和建议，调整洞庭大道、德胜南路、金凤桥路、东城小学等路段标志标线，优化岳阳大道、巴陵大道、建湘路等路口信号灯，市人大常委会高票审议通过全市道路交通安全管理意见整改落实情况。三是警保警医合作高效，2022年全市主城区线上业务量占总量的81.07%，连续3年居全省先进行列。借力道路交通救助基金，积极开展警医联动。</w:t>
      </w:r>
    </w:p>
    <w:p>
      <w:pPr>
        <w:numPr>
          <w:ilvl w:val="0"/>
          <w:numId w:val="2"/>
        </w:num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多维立体创新宣教。“五大曝光行动”全媒体覆盖，建立村口固定式警示牌，通过农村“大喇叭”、微信群推送警示提示类信息，全方位丰富宣传维度。</w:t>
      </w:r>
    </w:p>
    <w:p>
      <w:pPr>
        <w:numPr>
          <w:ilvl w:val="0"/>
          <w:numId w:val="2"/>
        </w:numPr>
        <w:autoSpaceDN w:val="0"/>
        <w:spacing w:line="240" w:lineRule="auto"/>
        <w:ind w:firstLine="560" w:firstLineChars="200"/>
        <w:jc w:val="left"/>
        <w:textAlignment w:val="center"/>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党建引领严管队伍。抓牢队伍建设，抓实教育培训。组织全体民警观看警示教育片，支队党委理论学习中心组开展集中学习，党委书记讲授专题党课。开展实战大练兵，严格警辅人员管理，贯彻落实《湖南省警务辅助人员条例》。</w:t>
      </w:r>
    </w:p>
    <w:p>
      <w:pPr>
        <w:numPr>
          <w:ilvl w:val="0"/>
          <w:numId w:val="3"/>
        </w:numPr>
        <w:spacing w:line="600" w:lineRule="exact"/>
        <w:ind w:firstLine="640" w:firstLineChars="200"/>
        <w:rPr>
          <w:rFonts w:eastAsia="黑体"/>
          <w:sz w:val="32"/>
          <w:szCs w:val="32"/>
        </w:rPr>
      </w:pPr>
      <w:r>
        <w:rPr>
          <w:rFonts w:eastAsia="黑体"/>
          <w:sz w:val="32"/>
          <w:szCs w:val="32"/>
        </w:rPr>
        <w:t>存在的问题及原因分析</w:t>
      </w:r>
    </w:p>
    <w:p>
      <w:pPr>
        <w:numPr>
          <w:numId w:val="0"/>
        </w:numPr>
        <w:spacing w:line="600" w:lineRule="exact"/>
        <w:rPr>
          <w:rFonts w:hint="default" w:ascii="仿宋_GB2312" w:eastAsia="仿宋_GB2312" w:cs="仿宋_GB2312"/>
          <w:bCs/>
          <w:sz w:val="32"/>
          <w:szCs w:val="32"/>
          <w:lang w:val="en-US" w:eastAsia="zh-CN"/>
        </w:rPr>
      </w:pPr>
      <w:r>
        <w:rPr>
          <w:rFonts w:hint="eastAsia" w:eastAsia="黑体"/>
          <w:sz w:val="32"/>
          <w:szCs w:val="32"/>
          <w:lang w:val="en-US" w:eastAsia="zh-CN"/>
        </w:rPr>
        <w:t xml:space="preserve">    </w:t>
      </w:r>
      <w:r>
        <w:rPr>
          <w:rFonts w:hint="eastAsia" w:ascii="仿宋_GB2312" w:eastAsia="仿宋_GB2312" w:cs="仿宋_GB2312"/>
          <w:bCs/>
          <w:sz w:val="32"/>
          <w:szCs w:val="32"/>
          <w:lang w:val="en-US" w:eastAsia="zh-CN"/>
        </w:rPr>
        <w:t>预算管理工作需完善、绩效理念需加强，绩效激励约束作用有待提高。</w:t>
      </w:r>
      <w:bookmarkStart w:id="0" w:name="_GoBack"/>
      <w:bookmarkEnd w:id="0"/>
    </w:p>
    <w:p>
      <w:pPr>
        <w:numPr>
          <w:ilvl w:val="0"/>
          <w:numId w:val="4"/>
        </w:numPr>
        <w:spacing w:line="480" w:lineRule="auto"/>
        <w:ind w:firstLine="640" w:firstLineChars="200"/>
        <w:rPr>
          <w:rFonts w:eastAsia="黑体"/>
          <w:sz w:val="32"/>
          <w:szCs w:val="32"/>
        </w:rPr>
      </w:pPr>
      <w:r>
        <w:rPr>
          <w:rFonts w:eastAsia="黑体"/>
          <w:sz w:val="32"/>
          <w:szCs w:val="32"/>
        </w:rPr>
        <w:t>下一步改进措施</w:t>
      </w:r>
    </w:p>
    <w:p>
      <w:pPr>
        <w:numPr>
          <w:ilvl w:val="0"/>
          <w:numId w:val="0"/>
        </w:numPr>
        <w:spacing w:line="480" w:lineRule="auto"/>
        <w:ind w:firstLine="640" w:firstLineChars="200"/>
        <w:rPr>
          <w:rFonts w:hint="eastAsia" w:ascii="仿宋_GB2312" w:eastAsia="仿宋_GB2312" w:cs="仿宋_GB2312"/>
          <w:bCs/>
          <w:sz w:val="32"/>
          <w:szCs w:val="32"/>
        </w:rPr>
      </w:pPr>
      <w:r>
        <w:rPr>
          <w:rFonts w:hint="eastAsia" w:ascii="仿宋_GB2312" w:eastAsia="仿宋_GB2312" w:cs="仿宋_GB2312"/>
          <w:bCs/>
          <w:sz w:val="32"/>
          <w:szCs w:val="32"/>
        </w:rPr>
        <w:t>支队在今后的工作中</w:t>
      </w:r>
      <w:r>
        <w:rPr>
          <w:rFonts w:hint="eastAsia" w:ascii="仿宋_GB2312" w:eastAsia="仿宋_GB2312" w:cs="仿宋_GB2312"/>
          <w:bCs/>
          <w:sz w:val="32"/>
          <w:szCs w:val="32"/>
          <w:lang w:val="en-US" w:eastAsia="zh-CN"/>
        </w:rPr>
        <w:t>加强预算编制工作，认真做好预算的编制，提升财务人员工作能力，加强学习，做到</w:t>
      </w:r>
      <w:r>
        <w:rPr>
          <w:rFonts w:hint="eastAsia" w:ascii="仿宋_GB2312" w:eastAsia="仿宋_GB2312" w:cs="仿宋_GB2312"/>
          <w:bCs/>
          <w:sz w:val="32"/>
          <w:szCs w:val="32"/>
        </w:rPr>
        <w:t>进一步合理安排资金支付，提高预算执行率</w:t>
      </w:r>
      <w:r>
        <w:rPr>
          <w:rFonts w:hint="eastAsia" w:ascii="仿宋_GB2312" w:eastAsia="仿宋_GB2312" w:cs="仿宋_GB2312"/>
          <w:bCs/>
          <w:sz w:val="32"/>
          <w:szCs w:val="32"/>
          <w:lang w:eastAsia="zh-CN"/>
        </w:rPr>
        <w:t>。</w:t>
      </w:r>
      <w:r>
        <w:rPr>
          <w:rFonts w:hint="eastAsia" w:ascii="仿宋_GB2312" w:eastAsia="仿宋_GB2312" w:cs="仿宋_GB2312"/>
          <w:bCs/>
          <w:sz w:val="32"/>
          <w:szCs w:val="32"/>
          <w:lang w:val="en-US" w:eastAsia="zh-CN"/>
        </w:rPr>
        <w:t>加强财务管理，严格按照预算规定的用途进行资金使用审核，确保资金使用合法合规、安全高效。</w:t>
      </w:r>
      <w:r>
        <w:rPr>
          <w:rFonts w:hint="eastAsia" w:ascii="仿宋_GB2312" w:eastAsia="仿宋_GB2312" w:cs="仿宋_GB2312"/>
          <w:bCs/>
          <w:sz w:val="32"/>
          <w:szCs w:val="32"/>
        </w:rPr>
        <w:t>结合实际完善内部控制体系建设，强化对资金绩效实现情况的责任约束，提高项目财务管理制度的完备性，加强财政资金使用效益跟踪“回头看”，及时预控、查找资金使用和管理过程中的薄弱环节，提出纠偏措施，确保后续绩效目标的有效实现提供有力支撑。</w:t>
      </w: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十、其他需要说明的情况</w:t>
      </w:r>
    </w:p>
    <w:p>
      <w:pPr>
        <w:rPr>
          <w:rFonts w:hint="default" w:eastAsia="宋体"/>
          <w:lang w:val="en-US" w:eastAsia="zh-CN"/>
        </w:rPr>
      </w:pPr>
      <w:r>
        <w:rPr>
          <w:rFonts w:hint="eastAsia"/>
          <w:lang w:val="en-US" w:eastAsia="zh-CN"/>
        </w:rPr>
        <w:t xml:space="preserve">     </w:t>
      </w:r>
      <w:r>
        <w:rPr>
          <w:rFonts w:hint="eastAsia" w:ascii="仿宋" w:hAnsi="仿宋" w:eastAsia="仿宋" w:cs="仿宋"/>
          <w:color w:val="000000"/>
          <w:sz w:val="28"/>
          <w:szCs w:val="28"/>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D643A"/>
    <w:multiLevelType w:val="singleLevel"/>
    <w:tmpl w:val="C33D643A"/>
    <w:lvl w:ilvl="0" w:tentative="0">
      <w:start w:val="1"/>
      <w:numFmt w:val="decimal"/>
      <w:suff w:val="nothing"/>
      <w:lvlText w:val="%1、"/>
      <w:lvlJc w:val="left"/>
    </w:lvl>
  </w:abstractNum>
  <w:abstractNum w:abstractNumId="1">
    <w:nsid w:val="06AAE6B9"/>
    <w:multiLevelType w:val="singleLevel"/>
    <w:tmpl w:val="06AAE6B9"/>
    <w:lvl w:ilvl="0" w:tentative="0">
      <w:start w:val="8"/>
      <w:numFmt w:val="chineseCounting"/>
      <w:suff w:val="nothing"/>
      <w:lvlText w:val="%1、"/>
      <w:lvlJc w:val="left"/>
      <w:rPr>
        <w:rFonts w:hint="eastAsia"/>
      </w:rPr>
    </w:lvl>
  </w:abstractNum>
  <w:abstractNum w:abstractNumId="2">
    <w:nsid w:val="5672C45D"/>
    <w:multiLevelType w:val="singleLevel"/>
    <w:tmpl w:val="5672C45D"/>
    <w:lvl w:ilvl="0" w:tentative="0">
      <w:start w:val="1"/>
      <w:numFmt w:val="chineseCounting"/>
      <w:suff w:val="nothing"/>
      <w:lvlText w:val="%1、"/>
      <w:lvlJc w:val="left"/>
      <w:rPr>
        <w:rFonts w:hint="eastAsia"/>
      </w:rPr>
    </w:lvl>
  </w:abstractNum>
  <w:abstractNum w:abstractNumId="3">
    <w:nsid w:val="6B1C5922"/>
    <w:multiLevelType w:val="singleLevel"/>
    <w:tmpl w:val="6B1C5922"/>
    <w:lvl w:ilvl="0" w:tentative="0">
      <w:start w:val="7"/>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867BFB"/>
    <w:rsid w:val="02867BFB"/>
    <w:rsid w:val="0DBB1AC7"/>
    <w:rsid w:val="1897702B"/>
    <w:rsid w:val="1FF460B7"/>
    <w:rsid w:val="21AB5DA2"/>
    <w:rsid w:val="239718D3"/>
    <w:rsid w:val="24C4056E"/>
    <w:rsid w:val="27B23C09"/>
    <w:rsid w:val="284D1E60"/>
    <w:rsid w:val="351C4D5E"/>
    <w:rsid w:val="4E0E6097"/>
    <w:rsid w:val="4F306000"/>
    <w:rsid w:val="524B7979"/>
    <w:rsid w:val="59AF6746"/>
    <w:rsid w:val="5C57027B"/>
    <w:rsid w:val="5C9C2286"/>
    <w:rsid w:val="5EEE21C4"/>
    <w:rsid w:val="5F9167D9"/>
    <w:rsid w:val="61201ED2"/>
    <w:rsid w:val="62681B88"/>
    <w:rsid w:val="632F49AC"/>
    <w:rsid w:val="6E2766F1"/>
    <w:rsid w:val="6EAB5497"/>
    <w:rsid w:val="6F0A02ED"/>
    <w:rsid w:val="76932EBD"/>
    <w:rsid w:val="76D81A7B"/>
    <w:rsid w:val="7A117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2023-06-12T03:25:00Z</dcterms:created>
  <dc:creator>关关雎鸠</dc:creator>
  <cp:lastModifiedBy>关关雎鸠</cp:lastModifiedBy>
  <dcterms:modified xsi:type="dcterms:W3CDTF">2023-07-14T09:05:28Z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83DBA945082B48C7B5AF80B830765548</vt:lpwstr>
  </property>
</Properties>
</file>