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both"/>
        <w:rPr>
          <w:sz w:val="84"/>
          <w:szCs w:val="84"/>
        </w:rPr>
      </w:pPr>
    </w:p>
    <w:p>
      <w:pPr>
        <w:pStyle w:val="9"/>
        <w:jc w:val="center"/>
        <w:rPr>
          <w:sz w:val="84"/>
          <w:szCs w:val="84"/>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sz w:val="84"/>
          <w:szCs w:val="84"/>
        </w:rPr>
      </w:pPr>
      <w:r>
        <w:rPr>
          <w:rFonts w:hint="eastAsia"/>
          <w:sz w:val="84"/>
          <w:szCs w:val="84"/>
          <w:lang w:eastAsia="zh-CN"/>
        </w:rPr>
        <w:t>岳阳市科学技术局</w:t>
      </w: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lang w:eastAsia="zh-CN"/>
        </w:rPr>
        <w:t>岳阳市科学技术局</w:t>
      </w:r>
      <w:r>
        <w:rPr>
          <w:rFonts w:hint="eastAsia"/>
          <w:b/>
          <w:sz w:val="28"/>
          <w:szCs w:val="28"/>
        </w:rPr>
        <w:t>概况</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eastAsiaTheme="minorEastAsia"/>
          <w:color w:val="000000"/>
          <w:kern w:val="0"/>
          <w:sz w:val="28"/>
          <w:szCs w:val="28"/>
          <w:lang w:eastAsia="zh-CN"/>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eastAsiaTheme="minorEastAsia"/>
          <w:sz w:val="28"/>
          <w:szCs w:val="28"/>
        </w:rPr>
        <w:t>国有资本经营预算财政拨款支出决算</w:t>
      </w:r>
      <w:r>
        <w:rPr>
          <w:rFonts w:hint="eastAsia" w:cs="仿宋_GB2312" w:asciiTheme="minorEastAsia" w:hAnsiTheme="minorEastAsia"/>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w:t>
      </w:r>
      <w:r>
        <w:rPr>
          <w:rFonts w:hint="eastAsia" w:ascii="仿宋_GB2312" w:hAnsi="仿宋_GB2312" w:cs="仿宋_GB2312"/>
          <w:color w:val="000000"/>
          <w:kern w:val="0"/>
          <w:sz w:val="28"/>
          <w:szCs w:val="28"/>
        </w:rPr>
        <w:t>政府采购支出说明</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keepNext w:val="0"/>
        <w:keepLines w:val="0"/>
        <w:pageBreakBefore w:val="0"/>
        <w:widowControl w:val="0"/>
        <w:kinsoku/>
        <w:wordWrap/>
        <w:overflowPunct/>
        <w:topLinePunct w:val="0"/>
        <w:bidi w:val="0"/>
        <w:snapToGrid/>
        <w:spacing w:line="620" w:lineRule="exact"/>
        <w:jc w:val="center"/>
        <w:textAlignment w:val="auto"/>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eastAsia="zh-CN"/>
        </w:rPr>
        <w:t>岳阳市科学技术局</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10"/>
        <w:numPr>
          <w:ilvl w:val="0"/>
          <w:numId w:val="2"/>
        </w:numPr>
        <w:ind w:leftChars="0" w:firstLine="640" w:firstLineChars="200"/>
        <w:jc w:val="left"/>
        <w:rPr>
          <w:rFonts w:hint="eastAsia" w:asciiTheme="minorEastAsia" w:hAnsiTheme="minorEastAsia"/>
          <w:sz w:val="32"/>
          <w:szCs w:val="32"/>
        </w:rPr>
      </w:pPr>
      <w:r>
        <w:rPr>
          <w:rFonts w:hint="eastAsia" w:asciiTheme="minorEastAsia" w:hAnsiTheme="minorEastAsia"/>
          <w:sz w:val="32"/>
          <w:szCs w:val="32"/>
        </w:rPr>
        <w:t>负责全市科学技术进步的宏观管理和统筹协调。贯彻执行国家、省科技法律、法规和方针、政策；牵头拟订全市科技发展规划，确定科技发展的战略布局和优先发展领域；拟订相关政策，并监督实施；参与对经济社会发展有重大影响的跨部门、多学科的综合性项目的论证与决策。</w:t>
      </w:r>
    </w:p>
    <w:p>
      <w:pPr>
        <w:pStyle w:val="10"/>
        <w:numPr>
          <w:ilvl w:val="0"/>
          <w:numId w:val="2"/>
        </w:numPr>
        <w:ind w:left="0" w:leftChars="0" w:firstLine="640" w:firstLineChars="200"/>
        <w:jc w:val="left"/>
        <w:rPr>
          <w:rFonts w:hint="eastAsia" w:asciiTheme="minorEastAsia" w:hAnsiTheme="minorEastAsia"/>
          <w:sz w:val="32"/>
          <w:szCs w:val="32"/>
        </w:rPr>
      </w:pPr>
      <w:r>
        <w:rPr>
          <w:rFonts w:hint="eastAsia" w:asciiTheme="minorEastAsia" w:hAnsiTheme="minorEastAsia"/>
          <w:sz w:val="32"/>
          <w:szCs w:val="32"/>
        </w:rPr>
        <w:t>组织实施市科技重大专项工作。制定相关配套政策；组织科技重大专项实施中的方案论证、评审立项、跟踪管理与评估验收等；统筹申报和组织实施国家、省科技重大专项工作，协调市科技重大专项与国家、省科技重大专项的衔接与配套。</w:t>
      </w:r>
    </w:p>
    <w:p>
      <w:pPr>
        <w:pStyle w:val="10"/>
        <w:numPr>
          <w:ilvl w:val="0"/>
          <w:numId w:val="2"/>
        </w:numPr>
        <w:ind w:leftChars="0" w:firstLine="640" w:firstLineChars="200"/>
        <w:jc w:val="left"/>
        <w:rPr>
          <w:rFonts w:hint="eastAsia" w:asciiTheme="minorEastAsia" w:hAnsiTheme="minorEastAsia"/>
          <w:sz w:val="32"/>
          <w:szCs w:val="32"/>
        </w:rPr>
      </w:pPr>
      <w:r>
        <w:rPr>
          <w:rFonts w:hint="eastAsia" w:asciiTheme="minorEastAsia" w:hAnsiTheme="minorEastAsia"/>
          <w:sz w:val="32"/>
          <w:szCs w:val="32"/>
        </w:rPr>
        <w:t>负责组织实施市级科技计划工作。负责组织制定和实施基础研究计划、科技支撑计划、科技创新引导计划等各类市级科技计划；负责相关国家、省科技计划项目申报、推荐和管理；牵头组织全市经济社会发展重要领域的重大关键技术攻关。</w:t>
      </w:r>
    </w:p>
    <w:p>
      <w:pPr>
        <w:pStyle w:val="10"/>
        <w:numPr>
          <w:ilvl w:val="0"/>
          <w:numId w:val="2"/>
        </w:numPr>
        <w:ind w:left="0" w:leftChars="0" w:firstLine="640" w:firstLineChars="200"/>
        <w:jc w:val="left"/>
        <w:rPr>
          <w:rFonts w:hint="eastAsia" w:asciiTheme="minorEastAsia" w:hAnsiTheme="minorEastAsia"/>
          <w:sz w:val="32"/>
          <w:szCs w:val="32"/>
        </w:rPr>
      </w:pPr>
      <w:r>
        <w:rPr>
          <w:rFonts w:hint="eastAsia" w:asciiTheme="minorEastAsia" w:hAnsiTheme="minorEastAsia"/>
          <w:sz w:val="32"/>
          <w:szCs w:val="32"/>
        </w:rPr>
        <w:t>牵头组织全市农村和社会发展领域的科技进步工作。组织拟订科技促进农村和社会发展的规划和政策。</w:t>
      </w:r>
    </w:p>
    <w:p>
      <w:pPr>
        <w:pStyle w:val="10"/>
        <w:numPr>
          <w:ilvl w:val="0"/>
          <w:numId w:val="2"/>
        </w:numPr>
        <w:ind w:left="0" w:leftChars="0" w:firstLine="640" w:firstLineChars="200"/>
        <w:jc w:val="left"/>
        <w:rPr>
          <w:rFonts w:hint="eastAsia" w:asciiTheme="minorEastAsia" w:hAnsiTheme="minorEastAsia"/>
          <w:sz w:val="32"/>
          <w:szCs w:val="32"/>
        </w:rPr>
      </w:pPr>
      <w:r>
        <w:rPr>
          <w:rFonts w:hint="eastAsia" w:asciiTheme="minorEastAsia" w:hAnsiTheme="minorEastAsia"/>
          <w:sz w:val="32"/>
          <w:szCs w:val="32"/>
        </w:rPr>
        <w:t>牵头组织协调促进全市产学研结合工作。会同有关部门拟订促进产学研结合的相关政策；组织重大科技成果应用示范，加强科技成果转化和推广，推动企业技术创新能力建设；拟订促进技术市场、科技中介组织发展政策，负责全市技术市场体系建设和管理，推进科技服务体系发展。</w:t>
      </w:r>
    </w:p>
    <w:p>
      <w:pPr>
        <w:pStyle w:val="10"/>
        <w:numPr>
          <w:ilvl w:val="0"/>
          <w:numId w:val="2"/>
        </w:numPr>
        <w:ind w:left="0" w:leftChars="0" w:firstLine="640" w:firstLineChars="200"/>
        <w:jc w:val="left"/>
        <w:rPr>
          <w:rFonts w:hint="eastAsia" w:asciiTheme="minorEastAsia" w:hAnsiTheme="minorEastAsia"/>
          <w:sz w:val="32"/>
          <w:szCs w:val="32"/>
        </w:rPr>
      </w:pPr>
      <w:r>
        <w:rPr>
          <w:rFonts w:hint="eastAsia" w:asciiTheme="minorEastAsia" w:hAnsiTheme="minorEastAsia"/>
          <w:sz w:val="32"/>
          <w:szCs w:val="32"/>
        </w:rPr>
        <w:t>主管全市高新技术的研究开发、成果转化以及产业化工作。会同有关部门拟订高新技术发展及产业化的规划和政策，组织实施市高新技术产业化重大科技项目；归口管理和指导协调高新技术产业开发区等科技园区及特色产业化基地建设；组织认定高新技术企业、技术先进型服务企业和自主创新产品等相关工作；指导并推动高新技术企业创新发展；参与高新创业投资有关工作。</w:t>
      </w:r>
    </w:p>
    <w:p>
      <w:pPr>
        <w:keepNext/>
        <w:keepLines/>
        <w:shd w:val="clear" w:color="auto" w:fill="FFFFFF"/>
        <w:spacing w:beforeLines="0" w:afterLines="0"/>
        <w:ind w:firstLine="640"/>
        <w:jc w:val="left"/>
        <w:rPr>
          <w:rFonts w:hint="eastAsia" w:asciiTheme="minorEastAsia" w:hAnsiTheme="minorEastAsia"/>
          <w:sz w:val="32"/>
          <w:szCs w:val="32"/>
        </w:rPr>
      </w:pPr>
      <w:r>
        <w:rPr>
          <w:rFonts w:hint="eastAsia" w:asciiTheme="minorEastAsia" w:hAnsiTheme="minorEastAsia"/>
          <w:sz w:val="32"/>
          <w:szCs w:val="32"/>
        </w:rPr>
        <w:t>（七）会同有关部门提出全市科技体制改革的政策和措施建议，推进全市创新体系建设；审核相关科研机构的组建和调整。</w:t>
      </w:r>
    </w:p>
    <w:p>
      <w:pPr>
        <w:keepNext/>
        <w:keepLines/>
        <w:shd w:val="clear" w:color="auto" w:fill="FFFFFF"/>
        <w:spacing w:beforeLines="0" w:afterLines="0"/>
        <w:ind w:firstLine="640"/>
        <w:jc w:val="left"/>
        <w:rPr>
          <w:rFonts w:hint="eastAsia" w:asciiTheme="minorEastAsia" w:hAnsiTheme="minorEastAsia"/>
          <w:sz w:val="32"/>
          <w:szCs w:val="32"/>
        </w:rPr>
      </w:pPr>
      <w:r>
        <w:rPr>
          <w:rFonts w:hint="eastAsia" w:asciiTheme="minorEastAsia" w:hAnsiTheme="minorEastAsia"/>
          <w:sz w:val="32"/>
          <w:szCs w:val="32"/>
        </w:rPr>
        <w:t>（八）负责本部门及归口管理的市级科技经费预决算和经费使用的监督管理；会同有关部门制定多渠道增加科技投入的政策措施；组织拟定全市科研条件保障的规划和相关政策；负责制定并会同有关部门实施全市科技基础条件平台建设计划；推进科技基础条件平台共建共享；会同有关部门提出科技资源合理配置的政策建议。</w:t>
      </w:r>
    </w:p>
    <w:p>
      <w:pPr>
        <w:keepNext/>
        <w:keepLines/>
        <w:shd w:val="clear" w:color="auto" w:fill="FFFFFF"/>
        <w:spacing w:beforeLines="0" w:afterLines="0"/>
        <w:ind w:firstLine="640"/>
        <w:jc w:val="left"/>
        <w:rPr>
          <w:rFonts w:hint="eastAsia" w:asciiTheme="minorEastAsia" w:hAnsiTheme="minorEastAsia"/>
          <w:sz w:val="32"/>
          <w:szCs w:val="32"/>
        </w:rPr>
      </w:pPr>
      <w:r>
        <w:rPr>
          <w:rFonts w:hint="eastAsia" w:asciiTheme="minorEastAsia" w:hAnsiTheme="minorEastAsia"/>
          <w:sz w:val="32"/>
          <w:szCs w:val="32"/>
        </w:rPr>
        <w:t>（九）拟订全市国际与区域科技合作与交流的规划、政策和措施，负责组织实施国际与区域科技合作计划，承办与国外政府间以及国际组织间科技合作和交流事宜。</w:t>
      </w:r>
    </w:p>
    <w:p>
      <w:pPr>
        <w:keepNext/>
        <w:keepLines/>
        <w:shd w:val="clear" w:color="auto" w:fill="FFFFFF"/>
        <w:spacing w:beforeLines="0" w:afterLines="0"/>
        <w:ind w:firstLine="640"/>
        <w:jc w:val="left"/>
        <w:rPr>
          <w:rFonts w:hint="eastAsia" w:asciiTheme="minorEastAsia" w:hAnsiTheme="minorEastAsia"/>
          <w:sz w:val="32"/>
          <w:szCs w:val="32"/>
        </w:rPr>
      </w:pPr>
      <w:r>
        <w:rPr>
          <w:rFonts w:hint="eastAsia" w:asciiTheme="minorEastAsia" w:hAnsiTheme="minorEastAsia"/>
          <w:sz w:val="32"/>
          <w:szCs w:val="32"/>
        </w:rPr>
        <w:t>（十）归口管理全市引进国（境）外智力工作。</w:t>
      </w:r>
    </w:p>
    <w:p>
      <w:pPr>
        <w:keepNext/>
        <w:keepLines/>
        <w:shd w:val="clear" w:color="auto" w:fill="FFFFFF"/>
        <w:spacing w:beforeLines="0" w:afterLines="0"/>
        <w:ind w:firstLine="640"/>
        <w:jc w:val="left"/>
        <w:rPr>
          <w:rFonts w:hint="eastAsia" w:asciiTheme="minorEastAsia" w:hAnsiTheme="minorEastAsia"/>
          <w:sz w:val="32"/>
          <w:szCs w:val="32"/>
        </w:rPr>
      </w:pPr>
      <w:r>
        <w:rPr>
          <w:rFonts w:hint="eastAsia" w:asciiTheme="minorEastAsia" w:hAnsiTheme="minorEastAsia"/>
          <w:sz w:val="32"/>
          <w:szCs w:val="32"/>
        </w:rPr>
        <w:t>（十一）负责全市科学普及工作，拟订全市科普工作规划和相关政策，组织实施科普计划，负责市级科普基地和示范基地认定，进行督促检查，推动科普工作发展。</w:t>
      </w:r>
    </w:p>
    <w:p>
      <w:pPr>
        <w:keepNext/>
        <w:keepLines/>
        <w:shd w:val="clear" w:color="auto" w:fill="FFFFFF"/>
        <w:spacing w:beforeLines="0" w:afterLines="0"/>
        <w:ind w:firstLine="640"/>
        <w:jc w:val="left"/>
        <w:rPr>
          <w:rFonts w:hint="eastAsia" w:asciiTheme="minorEastAsia" w:hAnsiTheme="minorEastAsia"/>
          <w:sz w:val="32"/>
          <w:szCs w:val="32"/>
        </w:rPr>
      </w:pPr>
      <w:r>
        <w:rPr>
          <w:rFonts w:hint="eastAsia" w:asciiTheme="minorEastAsia" w:hAnsiTheme="minorEastAsia"/>
          <w:sz w:val="32"/>
          <w:szCs w:val="32"/>
        </w:rPr>
        <w:t>（十二）负责全市科技人才有关工作。会同有关部门拟订科技人才队伍建设规划，提出相关政策建议；承担全市科技人才队伍建设和科技创新团队建设有关工作。</w:t>
      </w:r>
    </w:p>
    <w:p>
      <w:pPr>
        <w:keepNext/>
        <w:keepLines/>
        <w:shd w:val="clear" w:color="auto" w:fill="FFFFFF"/>
        <w:spacing w:beforeLines="0" w:afterLines="0"/>
        <w:ind w:firstLine="640"/>
        <w:jc w:val="left"/>
        <w:rPr>
          <w:rFonts w:hint="eastAsia" w:asciiTheme="minorEastAsia" w:hAnsiTheme="minorEastAsia"/>
          <w:sz w:val="32"/>
          <w:szCs w:val="32"/>
        </w:rPr>
      </w:pPr>
      <w:r>
        <w:rPr>
          <w:rFonts w:hint="eastAsia" w:asciiTheme="minorEastAsia" w:hAnsiTheme="minorEastAsia"/>
          <w:sz w:val="32"/>
          <w:szCs w:val="32"/>
        </w:rPr>
        <w:t>（十三）负责全市科技奖励、科技保密、科技评估、科技统计、科技信息管理等工作。</w:t>
      </w:r>
    </w:p>
    <w:p>
      <w:pPr>
        <w:keepNext/>
        <w:keepLines/>
        <w:shd w:val="clear" w:color="auto" w:fill="FFFFFF"/>
        <w:spacing w:beforeLines="0" w:afterLines="0"/>
        <w:ind w:firstLine="640"/>
        <w:jc w:val="left"/>
        <w:rPr>
          <w:rFonts w:asciiTheme="minorEastAsia" w:hAnsiTheme="minorEastAsia"/>
          <w:i/>
          <w:iCs/>
          <w:sz w:val="32"/>
          <w:szCs w:val="32"/>
        </w:rPr>
      </w:pPr>
      <w:r>
        <w:rPr>
          <w:rFonts w:hint="eastAsia" w:asciiTheme="minorEastAsia" w:hAnsiTheme="minorEastAsia"/>
          <w:sz w:val="32"/>
          <w:szCs w:val="32"/>
        </w:rPr>
        <w:t>（十四）承办市委、市人民政府交办其他事项。</w:t>
      </w:r>
    </w:p>
    <w:p>
      <w:pPr>
        <w:widowControl/>
        <w:spacing w:line="600" w:lineRule="exact"/>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一）内设机构设置。岳阳市科技局内设机构包括：办公室、战略规划与资源配置科、高新技术发展及产业化科、农村科技科、社会发展科技科、成果转化与区域创新科、外国专家服务科、人事科、机关党委、机关纪委、机关工会</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 xml:space="preserve">离退休人员管理服务科。          </w:t>
      </w:r>
    </w:p>
    <w:p>
      <w:pPr>
        <w:widowControl/>
        <w:numPr>
          <w:ilvl w:val="0"/>
          <w:numId w:val="0"/>
        </w:numPr>
        <w:spacing w:line="600" w:lineRule="exact"/>
        <w:ind w:firstLine="640" w:firstLineChars="200"/>
        <w:rPr>
          <w:rFonts w:asciiTheme="minorEastAsia" w:hAnsiTheme="minorEastAsia"/>
          <w:bCs/>
          <w:i/>
          <w:iCs/>
          <w:kern w:val="0"/>
          <w:sz w:val="32"/>
          <w:szCs w:val="32"/>
        </w:rPr>
      </w:pPr>
      <w:r>
        <w:rPr>
          <w:rFonts w:hint="eastAsia" w:asciiTheme="minorEastAsia" w:hAnsiTheme="minorEastAsia"/>
          <w:bCs/>
          <w:kern w:val="0"/>
          <w:sz w:val="32"/>
          <w:szCs w:val="32"/>
        </w:rPr>
        <w:t>（二）决算单位构成。岳阳市科技局202</w:t>
      </w:r>
      <w:r>
        <w:rPr>
          <w:rFonts w:hint="eastAsia" w:asciiTheme="minorEastAsia" w:hAnsiTheme="minorEastAsia"/>
          <w:bCs/>
          <w:kern w:val="0"/>
          <w:sz w:val="32"/>
          <w:szCs w:val="32"/>
          <w:lang w:val="en-US" w:eastAsia="zh-CN"/>
        </w:rPr>
        <w:t>1</w:t>
      </w:r>
      <w:r>
        <w:rPr>
          <w:rFonts w:hint="eastAsia" w:asciiTheme="minorEastAsia" w:hAnsiTheme="minorEastAsia"/>
          <w:bCs/>
          <w:kern w:val="0"/>
          <w:sz w:val="32"/>
          <w:szCs w:val="32"/>
        </w:rPr>
        <w:t>年度部门决算汇总公开单位构成包括：岳阳市科技局本级和岳阳市科技</w:t>
      </w:r>
      <w:r>
        <w:rPr>
          <w:rFonts w:hint="eastAsia" w:asciiTheme="minorEastAsia" w:hAnsiTheme="minorEastAsia"/>
          <w:bCs/>
          <w:kern w:val="0"/>
          <w:sz w:val="32"/>
          <w:szCs w:val="32"/>
          <w:lang w:eastAsia="zh-CN"/>
        </w:rPr>
        <w:t>事务中心</w:t>
      </w:r>
      <w:r>
        <w:rPr>
          <w:rFonts w:hint="eastAsia" w:asciiTheme="minorEastAsia" w:hAnsiTheme="minorEastAsia"/>
          <w:bCs/>
          <w:kern w:val="0"/>
          <w:sz w:val="32"/>
          <w:szCs w:val="32"/>
        </w:rPr>
        <w:t>。</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rFonts w:hint="eastAsia"/>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2021年度收、支总计1156.44万元。与上年相比，减少</w:t>
      </w:r>
      <w:r>
        <w:rPr>
          <w:rFonts w:hint="eastAsia" w:asciiTheme="minorEastAsia" w:hAnsiTheme="minorEastAsia" w:eastAsiaTheme="minorEastAsia"/>
          <w:sz w:val="32"/>
          <w:szCs w:val="32"/>
          <w:lang w:val="en-US" w:eastAsia="zh-CN"/>
        </w:rPr>
        <w:t>143.34</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11.03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人员减少、</w:t>
      </w:r>
      <w:r>
        <w:rPr>
          <w:rFonts w:hint="eastAsia" w:asciiTheme="minorEastAsia" w:hAnsiTheme="minorEastAsia" w:eastAsiaTheme="minorEastAsia"/>
          <w:sz w:val="32"/>
          <w:szCs w:val="32"/>
        </w:rPr>
        <w:t>积极贯彻落实中央关于厉行节约的要求</w:t>
      </w:r>
      <w:r>
        <w:rPr>
          <w:rFonts w:hint="eastAsia" w:asciiTheme="minorEastAsia" w:hAnsiTheme="minorEastAsia" w:eastAsiaTheme="minorEastAsia"/>
          <w:sz w:val="32"/>
          <w:szCs w:val="32"/>
          <w:lang w:eastAsia="zh-CN"/>
        </w:rPr>
        <w:t>，资金使用效率有所提高。</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2021年度收入合计969.72万元，其中：财政拨款收入932.66万元，占</w:t>
      </w:r>
      <w:r>
        <w:rPr>
          <w:rFonts w:hint="eastAsia" w:asciiTheme="minorEastAsia" w:hAnsiTheme="minorEastAsia" w:eastAsiaTheme="minorEastAsia"/>
          <w:sz w:val="32"/>
          <w:szCs w:val="32"/>
          <w:lang w:val="en-US" w:eastAsia="zh-CN"/>
        </w:rPr>
        <w:t>96.18</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%；其他收入37.06万元，占</w:t>
      </w:r>
      <w:r>
        <w:rPr>
          <w:rFonts w:hint="eastAsia" w:asciiTheme="minorEastAsia" w:hAnsiTheme="minorEastAsia" w:eastAsiaTheme="minorEastAsia"/>
          <w:sz w:val="32"/>
          <w:szCs w:val="32"/>
          <w:lang w:val="en-US" w:eastAsia="zh-CN"/>
        </w:rPr>
        <w:t>3.82</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2021年度支出合计1091.32万元，其中：基本支出828.54万元，占</w:t>
      </w:r>
      <w:r>
        <w:rPr>
          <w:rFonts w:hint="eastAsia" w:asciiTheme="minorEastAsia" w:hAnsiTheme="minorEastAsia" w:eastAsiaTheme="minorEastAsia"/>
          <w:sz w:val="32"/>
          <w:szCs w:val="32"/>
          <w:lang w:val="en-US" w:eastAsia="zh-CN"/>
        </w:rPr>
        <w:t>75.92</w:t>
      </w:r>
      <w:r>
        <w:rPr>
          <w:rFonts w:hint="eastAsia" w:asciiTheme="minorEastAsia" w:hAnsiTheme="minorEastAsia" w:eastAsiaTheme="minorEastAsia"/>
          <w:sz w:val="32"/>
          <w:szCs w:val="32"/>
        </w:rPr>
        <w:t>%；项目支出262.78万元，占</w:t>
      </w:r>
      <w:r>
        <w:rPr>
          <w:rFonts w:hint="eastAsia" w:asciiTheme="minorEastAsia" w:hAnsiTheme="minorEastAsia" w:eastAsiaTheme="minorEastAsia"/>
          <w:sz w:val="32"/>
          <w:szCs w:val="32"/>
          <w:lang w:val="en-US" w:eastAsia="zh-CN"/>
        </w:rPr>
        <w:t>24.08</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ind w:firstLine="640" w:firstLineChars="200"/>
        <w:rPr>
          <w:rFonts w:asciiTheme="minorEastAsia" w:hAnsiTheme="minorEastAsia" w:eastAsiaTheme="minorEastAsia"/>
          <w:i/>
          <w:iCs/>
          <w:sz w:val="32"/>
          <w:szCs w:val="32"/>
        </w:rPr>
      </w:pPr>
      <w:r>
        <w:rPr>
          <w:rFonts w:hint="eastAsia" w:asciiTheme="minorEastAsia" w:hAnsiTheme="minorEastAsia" w:eastAsiaTheme="minorEastAsia"/>
          <w:sz w:val="32"/>
          <w:szCs w:val="32"/>
        </w:rPr>
        <w:t xml:space="preserve"> 2021年度财政拨款收、支总计1088.69万元，与上年相比，减少</w:t>
      </w:r>
      <w:r>
        <w:rPr>
          <w:rFonts w:hint="eastAsia" w:asciiTheme="minorEastAsia" w:hAnsiTheme="minorEastAsia" w:eastAsiaTheme="minorEastAsia"/>
          <w:sz w:val="32"/>
          <w:szCs w:val="32"/>
          <w:lang w:val="en-US" w:eastAsia="zh-CN"/>
        </w:rPr>
        <w:t>109.18</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9.11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人员较上年减少，</w:t>
      </w:r>
      <w:r>
        <w:rPr>
          <w:rFonts w:hint="eastAsia" w:asciiTheme="minorEastAsia" w:hAnsiTheme="minorEastAsia" w:eastAsiaTheme="minorEastAsia"/>
          <w:sz w:val="32"/>
          <w:szCs w:val="32"/>
        </w:rPr>
        <w:t>财政拨款</w:t>
      </w:r>
      <w:r>
        <w:rPr>
          <w:rFonts w:hint="eastAsia" w:asciiTheme="minorEastAsia" w:hAnsiTheme="minorEastAsia" w:eastAsiaTheme="minorEastAsia"/>
          <w:sz w:val="32"/>
          <w:szCs w:val="32"/>
          <w:lang w:eastAsia="zh-CN"/>
        </w:rPr>
        <w:t>经费减少。</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2021年度财政拨款支出1064.28万元，占本年支出合计的</w:t>
      </w:r>
      <w:r>
        <w:rPr>
          <w:rFonts w:hint="eastAsia" w:asciiTheme="minorEastAsia" w:hAnsiTheme="minorEastAsia" w:eastAsiaTheme="minorEastAsia"/>
          <w:sz w:val="32"/>
          <w:szCs w:val="32"/>
          <w:lang w:val="en-US" w:eastAsia="zh-CN"/>
        </w:rPr>
        <w:t>92.03</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22.7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2.18</w:t>
      </w:r>
      <w:r>
        <w:rPr>
          <w:rFonts w:hint="eastAsia" w:asciiTheme="minorEastAsia" w:hAnsiTheme="minorEastAsia" w:eastAsiaTheme="minorEastAsia"/>
          <w:sz w:val="32"/>
          <w:szCs w:val="32"/>
        </w:rPr>
        <w:t>%，主要是因为科学技术管理事务</w:t>
      </w:r>
      <w:r>
        <w:rPr>
          <w:rFonts w:hint="eastAsia" w:asciiTheme="minorEastAsia" w:hAnsiTheme="minorEastAsia" w:eastAsiaTheme="minorEastAsia"/>
          <w:sz w:val="32"/>
          <w:szCs w:val="32"/>
          <w:lang w:eastAsia="zh-CN"/>
        </w:rPr>
        <w:t>增加导致财政拨款支出增加。</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2021年度财政拨款支出1064.28万元，主要用于以下方面：科学技术支出</w:t>
      </w:r>
      <w:r>
        <w:rPr>
          <w:rFonts w:hint="eastAsia" w:asciiTheme="minorEastAsia" w:hAnsiTheme="minorEastAsia" w:eastAsiaTheme="minorEastAsia"/>
          <w:sz w:val="32"/>
          <w:szCs w:val="32"/>
          <w:lang w:val="en-US" w:eastAsia="zh-CN"/>
        </w:rPr>
        <w:t>1001.68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94.12</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47.27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4.44</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15.34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1.44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511.07</w:t>
      </w:r>
      <w:r>
        <w:rPr>
          <w:rFonts w:hint="eastAsia" w:asciiTheme="minorEastAsia" w:hAnsiTheme="minorEastAsia" w:eastAsiaTheme="minorEastAsia"/>
          <w:sz w:val="32"/>
          <w:szCs w:val="32"/>
        </w:rPr>
        <w:t>万元，支出决算数为1064.28万元，完成年初预算的</w:t>
      </w:r>
      <w:r>
        <w:rPr>
          <w:rFonts w:hint="eastAsia" w:asciiTheme="minorEastAsia" w:hAnsiTheme="minorEastAsia" w:eastAsiaTheme="minorEastAsia"/>
          <w:sz w:val="32"/>
          <w:szCs w:val="32"/>
          <w:lang w:val="en-US" w:eastAsia="zh-CN"/>
        </w:rPr>
        <w:t>208.25</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1、科学技术（类）科学技术管理事务（款）行政运行（项）。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highlight w:val="none"/>
        </w:rPr>
        <w:t>初预算为</w:t>
      </w:r>
      <w:r>
        <w:rPr>
          <w:rFonts w:hint="eastAsia" w:asciiTheme="minorEastAsia" w:hAnsiTheme="minorEastAsia" w:eastAsiaTheme="minorEastAsia"/>
          <w:sz w:val="32"/>
          <w:szCs w:val="32"/>
          <w:highlight w:val="none"/>
          <w:lang w:val="en-US" w:eastAsia="zh-CN"/>
        </w:rPr>
        <w:t>345.03</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528.41</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153.15</w:t>
      </w:r>
      <w:r>
        <w:rPr>
          <w:rFonts w:hint="eastAsia" w:asciiTheme="minorEastAsia" w:hAnsiTheme="minorEastAsia" w:eastAsiaTheme="minorEastAsia"/>
          <w:sz w:val="32"/>
          <w:szCs w:val="32"/>
          <w:highlight w:val="none"/>
        </w:rPr>
        <w:t>%，决算数大于年初预算数</w:t>
      </w:r>
      <w:r>
        <w:rPr>
          <w:rFonts w:hint="eastAsia" w:asciiTheme="minorEastAsia" w:hAnsiTheme="minorEastAsia" w:eastAsiaTheme="minorEastAsia"/>
          <w:sz w:val="32"/>
          <w:szCs w:val="32"/>
        </w:rPr>
        <w:t>的主要原因是</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年初工资进行了调整。</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2、科学技术（类）科学技术管理事务（款）一般行政管理事务（项）。</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190.49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%，决算数大于年初预算数的主要原因是：上年项目经费略有结余。</w:t>
      </w:r>
    </w:p>
    <w:p>
      <w:pPr>
        <w:pStyle w:val="9"/>
        <w:numPr>
          <w:ilvl w:val="0"/>
          <w:numId w:val="3"/>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科学技术（类）</w:t>
      </w:r>
      <w:r>
        <w:rPr>
          <w:rFonts w:hint="eastAsia" w:asciiTheme="minorEastAsia" w:hAnsiTheme="minorEastAsia" w:eastAsiaTheme="minorEastAsia"/>
          <w:sz w:val="32"/>
          <w:szCs w:val="32"/>
          <w:lang w:eastAsia="zh-CN"/>
        </w:rPr>
        <w:t>科技条件与服务</w:t>
      </w:r>
      <w:r>
        <w:rPr>
          <w:rFonts w:hint="eastAsia" w:asciiTheme="minorEastAsia" w:hAnsiTheme="minorEastAsia" w:eastAsiaTheme="minorEastAsia"/>
          <w:sz w:val="32"/>
          <w:szCs w:val="32"/>
        </w:rPr>
        <w:t>（款）其他</w:t>
      </w:r>
      <w:r>
        <w:rPr>
          <w:rFonts w:hint="eastAsia" w:asciiTheme="minorEastAsia" w:hAnsiTheme="minorEastAsia" w:eastAsiaTheme="minorEastAsia"/>
          <w:sz w:val="32"/>
          <w:szCs w:val="32"/>
          <w:lang w:eastAsia="zh-CN"/>
        </w:rPr>
        <w:t>科技条件与服务</w:t>
      </w:r>
      <w:r>
        <w:rPr>
          <w:rFonts w:hint="eastAsia" w:asciiTheme="minorEastAsia" w:hAnsiTheme="minorEastAsia" w:eastAsiaTheme="minorEastAsia"/>
          <w:sz w:val="32"/>
          <w:szCs w:val="32"/>
        </w:rPr>
        <w:t>支出（项）。</w:t>
      </w:r>
    </w:p>
    <w:p>
      <w:pPr>
        <w:pStyle w:val="9"/>
        <w:numPr>
          <w:ilvl w:val="0"/>
          <w:numId w:val="0"/>
        </w:numPr>
        <w:ind w:firstLine="960" w:firstLineChars="3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5.00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相同。</w:t>
      </w:r>
    </w:p>
    <w:p>
      <w:pPr>
        <w:pStyle w:val="9"/>
        <w:numPr>
          <w:ilvl w:val="0"/>
          <w:numId w:val="3"/>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科学技术（类）</w:t>
      </w:r>
      <w:r>
        <w:rPr>
          <w:rFonts w:hint="eastAsia" w:asciiTheme="minorEastAsia" w:hAnsiTheme="minorEastAsia" w:eastAsiaTheme="minorEastAsia"/>
          <w:sz w:val="32"/>
          <w:szCs w:val="32"/>
          <w:lang w:eastAsia="zh-CN"/>
        </w:rPr>
        <w:t>科技交流与合作</w:t>
      </w:r>
      <w:r>
        <w:rPr>
          <w:rFonts w:hint="eastAsia" w:asciiTheme="minorEastAsia" w:hAnsiTheme="minorEastAsia" w:eastAsiaTheme="minorEastAsia"/>
          <w:sz w:val="32"/>
          <w:szCs w:val="32"/>
        </w:rPr>
        <w:t>（款）其他</w:t>
      </w:r>
      <w:r>
        <w:rPr>
          <w:rFonts w:hint="eastAsia" w:asciiTheme="minorEastAsia" w:hAnsiTheme="minorEastAsia" w:eastAsiaTheme="minorEastAsia"/>
          <w:sz w:val="32"/>
          <w:szCs w:val="32"/>
          <w:lang w:eastAsia="zh-CN"/>
        </w:rPr>
        <w:t>科技交流与合作</w:t>
      </w:r>
      <w:r>
        <w:rPr>
          <w:rFonts w:hint="eastAsia" w:asciiTheme="minorEastAsia" w:hAnsiTheme="minorEastAsia" w:eastAsiaTheme="minorEastAsia"/>
          <w:sz w:val="32"/>
          <w:szCs w:val="32"/>
        </w:rPr>
        <w:t>支出（项）。</w:t>
      </w:r>
    </w:p>
    <w:p>
      <w:pPr>
        <w:pStyle w:val="9"/>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5.80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5.80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相同。</w:t>
      </w:r>
    </w:p>
    <w:p>
      <w:pPr>
        <w:pStyle w:val="9"/>
        <w:numPr>
          <w:ilvl w:val="0"/>
          <w:numId w:val="3"/>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科学技术（类）</w:t>
      </w:r>
      <w:r>
        <w:rPr>
          <w:rFonts w:hint="eastAsia" w:asciiTheme="minorEastAsia" w:hAnsiTheme="minorEastAsia" w:eastAsiaTheme="minorEastAsia"/>
          <w:sz w:val="32"/>
          <w:szCs w:val="32"/>
          <w:lang w:eastAsia="zh-CN"/>
        </w:rPr>
        <w:t>其他科学技术支出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其他科学技术支出</w:t>
      </w:r>
      <w:r>
        <w:rPr>
          <w:rFonts w:hint="eastAsia" w:asciiTheme="minorEastAsia" w:hAnsiTheme="minorEastAsia" w:eastAsiaTheme="minorEastAsia"/>
          <w:sz w:val="32"/>
          <w:szCs w:val="32"/>
        </w:rPr>
        <w:t>（项）。</w:t>
      </w:r>
    </w:p>
    <w:p>
      <w:pPr>
        <w:pStyle w:val="9"/>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271.98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%，决算数大于年初预算数的主要原因是：单位临时承担的政府工作经费没有纳入年初预算。</w:t>
      </w:r>
    </w:p>
    <w:p>
      <w:pPr>
        <w:pStyle w:val="9"/>
        <w:numPr>
          <w:ilvl w:val="0"/>
          <w:numId w:val="3"/>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社会保障和就业支出（类）行政事业单位养老支出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行政单位离退休</w:t>
      </w:r>
      <w:r>
        <w:rPr>
          <w:rFonts w:hint="eastAsia" w:asciiTheme="minorEastAsia" w:hAnsiTheme="minorEastAsia" w:eastAsiaTheme="minorEastAsia"/>
          <w:sz w:val="32"/>
          <w:szCs w:val="32"/>
        </w:rPr>
        <w:t>（项）。</w:t>
      </w:r>
    </w:p>
    <w:p>
      <w:pPr>
        <w:pStyle w:val="9"/>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11.16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11.16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相同。</w:t>
      </w:r>
    </w:p>
    <w:p>
      <w:pPr>
        <w:pStyle w:val="9"/>
        <w:numPr>
          <w:ilvl w:val="0"/>
          <w:numId w:val="3"/>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社会保障和就业支出（类）行政事业单位养老支出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机关事业单位基本养老保险缴费支出</w:t>
      </w:r>
      <w:r>
        <w:rPr>
          <w:rFonts w:hint="eastAsia" w:asciiTheme="minorEastAsia" w:hAnsiTheme="minorEastAsia" w:eastAsiaTheme="minorEastAsia"/>
          <w:sz w:val="32"/>
          <w:szCs w:val="32"/>
        </w:rPr>
        <w:t>（项）。</w:t>
      </w:r>
    </w:p>
    <w:p>
      <w:pPr>
        <w:pStyle w:val="9"/>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33.12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33.12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相同。</w:t>
      </w:r>
    </w:p>
    <w:p>
      <w:pPr>
        <w:pStyle w:val="9"/>
        <w:numPr>
          <w:ilvl w:val="0"/>
          <w:numId w:val="3"/>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社会保障和就业支出（类）行政事业单位养老支出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其他行政事业单位养老支出</w:t>
      </w:r>
      <w:r>
        <w:rPr>
          <w:rFonts w:hint="eastAsia" w:asciiTheme="minorEastAsia" w:hAnsiTheme="minorEastAsia" w:eastAsiaTheme="minorEastAsia"/>
          <w:sz w:val="32"/>
          <w:szCs w:val="32"/>
        </w:rPr>
        <w:t>（项）。</w:t>
      </w:r>
    </w:p>
    <w:p>
      <w:pPr>
        <w:pStyle w:val="9"/>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0.36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%，决算数大于年初预算数的主要原因是：上年项目经费略有结余。</w:t>
      </w:r>
    </w:p>
    <w:p>
      <w:pPr>
        <w:pStyle w:val="9"/>
        <w:numPr>
          <w:ilvl w:val="0"/>
          <w:numId w:val="3"/>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社会保障和就业支出（类）残疾人事业</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其他残疾人事业支出</w:t>
      </w:r>
      <w:r>
        <w:rPr>
          <w:rFonts w:hint="eastAsia" w:asciiTheme="minorEastAsia" w:hAnsiTheme="minorEastAsia" w:eastAsiaTheme="minorEastAsia"/>
          <w:sz w:val="32"/>
          <w:szCs w:val="32"/>
        </w:rPr>
        <w:t>（项）。</w:t>
      </w:r>
    </w:p>
    <w:p>
      <w:pPr>
        <w:pStyle w:val="9"/>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2.63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2.63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相同。</w:t>
      </w:r>
    </w:p>
    <w:p>
      <w:pPr>
        <w:pStyle w:val="9"/>
        <w:numPr>
          <w:ilvl w:val="0"/>
          <w:numId w:val="3"/>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卫生健康支出（类）行政事业单位医疗</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行政单位医疗</w:t>
      </w:r>
      <w:r>
        <w:rPr>
          <w:rFonts w:hint="eastAsia" w:asciiTheme="minorEastAsia" w:hAnsiTheme="minorEastAsia" w:eastAsiaTheme="minorEastAsia"/>
          <w:sz w:val="32"/>
          <w:szCs w:val="32"/>
        </w:rPr>
        <w:t>（项）。</w:t>
      </w:r>
    </w:p>
    <w:p>
      <w:pPr>
        <w:pStyle w:val="9"/>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15.34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15.34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相同。</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801.50</w:t>
      </w:r>
      <w:r>
        <w:rPr>
          <w:rFonts w:hint="eastAsia" w:asciiTheme="minorEastAsia" w:hAnsiTheme="minorEastAsia" w:eastAsiaTheme="minorEastAsia"/>
          <w:sz w:val="32"/>
          <w:szCs w:val="32"/>
        </w:rPr>
        <w:t>万元，其中：人员经费756.24万元，占基本支出的</w:t>
      </w:r>
      <w:r>
        <w:rPr>
          <w:rFonts w:hint="eastAsia" w:asciiTheme="minorEastAsia" w:hAnsiTheme="minorEastAsia" w:eastAsiaTheme="minorEastAsia"/>
          <w:sz w:val="32"/>
          <w:szCs w:val="32"/>
          <w:lang w:val="en-US" w:eastAsia="zh-CN"/>
        </w:rPr>
        <w:t>94.35</w:t>
      </w:r>
      <w:r>
        <w:rPr>
          <w:rFonts w:hint="eastAsia" w:asciiTheme="minorEastAsia" w:hAnsiTheme="minorEastAsia" w:eastAsiaTheme="minorEastAsia"/>
          <w:sz w:val="32"/>
          <w:szCs w:val="32"/>
        </w:rPr>
        <w:t>%,主要包括主要包括基本工资、津贴补贴、</w:t>
      </w:r>
      <w:r>
        <w:rPr>
          <w:rFonts w:hint="eastAsia" w:asciiTheme="minorEastAsia" w:hAnsiTheme="minorEastAsia" w:eastAsiaTheme="minor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45.27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5.65</w:t>
      </w:r>
      <w:r>
        <w:rPr>
          <w:rFonts w:hint="eastAsia" w:asciiTheme="minorEastAsia" w:hAnsiTheme="minorEastAsia" w:eastAsiaTheme="minor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39.5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4.71</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2020年度和</w:t>
      </w:r>
      <w:r>
        <w:rPr>
          <w:rFonts w:hint="eastAsia" w:asciiTheme="minorEastAsia" w:hAnsiTheme="minorEastAsia" w:eastAsiaTheme="minorEastAsia"/>
          <w:sz w:val="32"/>
          <w:szCs w:val="32"/>
          <w:highlight w:val="none"/>
        </w:rPr>
        <w:t>202</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年度都没有因公出国（境）事项。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16.5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1.74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10.55</w:t>
      </w:r>
      <w:r>
        <w:rPr>
          <w:rFonts w:hint="eastAsia" w:asciiTheme="minorEastAsia" w:hAnsiTheme="minorEastAsia" w:eastAsiaTheme="minorEastAsia"/>
          <w:sz w:val="32"/>
          <w:szCs w:val="32"/>
        </w:rPr>
        <w:t>%，决算数小于预算数的主要原因是认真贯彻落实中央“八项规定”精神和厉行节约要求，从严控制公务接待费开支，与上年相比减少</w:t>
      </w:r>
      <w:r>
        <w:rPr>
          <w:rFonts w:hint="eastAsia" w:asciiTheme="minorEastAsia" w:hAnsiTheme="minorEastAsia" w:eastAsiaTheme="minorEastAsia"/>
          <w:sz w:val="32"/>
          <w:szCs w:val="32"/>
          <w:lang w:val="en-US" w:eastAsia="zh-CN"/>
        </w:rPr>
        <w:t>0.16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8.42</w:t>
      </w:r>
      <w:r>
        <w:rPr>
          <w:rFonts w:hint="eastAsia" w:asciiTheme="minorEastAsia" w:hAnsiTheme="minorEastAsia" w:eastAsiaTheme="minorEastAsia"/>
          <w:sz w:val="32"/>
          <w:szCs w:val="32"/>
        </w:rPr>
        <w:t>%，减少的主要原因是积极贯彻落实中央关于厉行节约的要求，从严控制公务接待行为。</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%，决算数大于小于预算数的主要原因是</w:t>
      </w:r>
      <w:r>
        <w:rPr>
          <w:rFonts w:hint="eastAsia" w:asciiTheme="minorEastAsia" w:hAnsiTheme="minorEastAsia" w:eastAsiaTheme="minorEastAsia"/>
          <w:sz w:val="32"/>
          <w:szCs w:val="32"/>
          <w:lang w:eastAsia="zh-CN"/>
        </w:rPr>
        <w:t>今年未购置公务用车。</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（公务用车购置费</w:t>
      </w:r>
      <w:r>
        <w:rPr>
          <w:rFonts w:hint="eastAsia" w:asciiTheme="minorEastAsia" w:hAnsiTheme="minorEastAsia" w:eastAsiaTheme="minorEastAsia"/>
          <w:sz w:val="32"/>
          <w:szCs w:val="32"/>
          <w:lang w:val="en-US" w:eastAsia="zh-CN"/>
        </w:rPr>
        <w:t>0万元、公务用车运行费0.12万元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，完成预算的</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%，决算数小于预算数的主要原因是贯彻落实中央公务用车制度改革精神，公务用车数量减少和部分公务用车停驶，</w:t>
      </w:r>
      <w:r>
        <w:rPr>
          <w:rFonts w:hint="eastAsia" w:asciiTheme="minorEastAsia" w:hAnsiTheme="minorEastAsia" w:eastAsiaTheme="minorEastAsia"/>
          <w:sz w:val="32"/>
          <w:szCs w:val="32"/>
          <w:lang w:val="en-US" w:eastAsia="zh-CN"/>
        </w:rPr>
        <w:t>2020年度和2021年度都没有购置公车，2020年度和2021年度</w:t>
      </w:r>
      <w:r>
        <w:rPr>
          <w:rFonts w:hint="eastAsia" w:asciiTheme="minorEastAsia" w:hAnsiTheme="minorEastAsia" w:eastAsiaTheme="minorEastAsia"/>
          <w:sz w:val="32"/>
          <w:szCs w:val="32"/>
          <w:lang w:eastAsia="zh-CN"/>
        </w:rPr>
        <w:t>公务用车运行费</w:t>
      </w:r>
      <w:r>
        <w:rPr>
          <w:rFonts w:hint="eastAsia" w:asciiTheme="minorEastAsia" w:hAnsiTheme="minorEastAsia" w:eastAsiaTheme="minorEastAsia"/>
          <w:sz w:val="32"/>
          <w:szCs w:val="32"/>
        </w:rPr>
        <w:t>相</w:t>
      </w:r>
      <w:r>
        <w:rPr>
          <w:rFonts w:hint="eastAsia" w:asciiTheme="minorEastAsia" w:hAnsiTheme="minorEastAsia" w:eastAsiaTheme="minorEastAsia"/>
          <w:sz w:val="32"/>
          <w:szCs w:val="32"/>
          <w:lang w:eastAsia="zh-CN"/>
        </w:rPr>
        <w:t>同</w:t>
      </w:r>
      <w:r>
        <w:rPr>
          <w:rFonts w:hint="eastAsia" w:asciiTheme="minorEastAsia" w:hAnsiTheme="minorEastAsia" w:eastAsiaTheme="minorEastAsia"/>
          <w:sz w:val="32"/>
          <w:szCs w:val="32"/>
        </w:rPr>
        <w:t>。</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1.74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93.55</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0.12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6.45</w:t>
      </w:r>
      <w:r>
        <w:rPr>
          <w:rFonts w:hint="eastAsia" w:asciiTheme="minorEastAsia" w:hAnsiTheme="minorEastAsia" w:eastAsiaTheme="minorEastAsia"/>
          <w:sz w:val="32"/>
          <w:szCs w:val="32"/>
        </w:rPr>
        <w:t>%。其中：</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开支内容</w:t>
      </w:r>
      <w:r>
        <w:rPr>
          <w:rFonts w:hint="eastAsia" w:asciiTheme="minorEastAsia" w:hAnsiTheme="minorEastAsia" w:eastAsiaTheme="minorEastAsia"/>
          <w:sz w:val="32"/>
          <w:szCs w:val="32"/>
          <w:lang w:eastAsia="zh-CN"/>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1.74</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28</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146</w:t>
      </w:r>
      <w:r>
        <w:rPr>
          <w:rFonts w:hint="eastAsia" w:asciiTheme="minorEastAsia" w:hAnsiTheme="minorEastAsia" w:eastAsiaTheme="minorEastAsia"/>
          <w:sz w:val="32"/>
          <w:szCs w:val="32"/>
        </w:rPr>
        <w:t>人次，主要是与相关单位交流工作情况及接受相关部门检查指导工作发生的接待支出。</w:t>
      </w:r>
    </w:p>
    <w:p>
      <w:pPr>
        <w:ind w:firstLine="640" w:firstLineChars="20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0.12</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lang w:eastAsia="zh-CN"/>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0.12</w:t>
      </w:r>
      <w:r>
        <w:rPr>
          <w:rFonts w:hint="eastAsia" w:asciiTheme="minorEastAsia" w:hAnsi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sz w:val="32"/>
          <w:szCs w:val="32"/>
        </w:rPr>
        <w:t>主要是开展市内跨县、区、场检查、调研业务所需过桥过路费及维修费等支出，截止2021年12月31日，我单位开支财政拨款的公务用车保有量为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bookmarkStart w:id="0" w:name="_GoBack"/>
      <w:bookmarkEnd w:id="0"/>
    </w:p>
    <w:p>
      <w:pPr>
        <w:pStyle w:val="9"/>
        <w:rPr>
          <w:rFonts w:hAnsi="黑体"/>
          <w:b/>
          <w:sz w:val="32"/>
          <w:szCs w:val="32"/>
        </w:rPr>
      </w:pPr>
      <w:r>
        <w:rPr>
          <w:rFonts w:hint="eastAsia" w:hAnsi="黑体"/>
          <w:b/>
          <w:sz w:val="32"/>
          <w:szCs w:val="32"/>
        </w:rPr>
        <w:t>八、政府性基金预算收入支出决算情况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年度本单位无政府性基金收支。</w:t>
      </w:r>
    </w:p>
    <w:p>
      <w:pPr>
        <w:pStyle w:val="9"/>
        <w:numPr>
          <w:ilvl w:val="0"/>
          <w:numId w:val="4"/>
        </w:numPr>
        <w:rPr>
          <w:rFonts w:hint="eastAsia" w:hAnsi="黑体"/>
          <w:b/>
          <w:sz w:val="32"/>
          <w:szCs w:val="32"/>
          <w:lang w:eastAsia="zh-CN"/>
        </w:rPr>
      </w:pPr>
      <w:r>
        <w:rPr>
          <w:rFonts w:hint="eastAsia" w:hAnsi="黑体"/>
          <w:b/>
          <w:sz w:val="32"/>
          <w:szCs w:val="32"/>
        </w:rPr>
        <w:t>国有资本经营预算财政拨款支出决算</w:t>
      </w:r>
      <w:r>
        <w:rPr>
          <w:rFonts w:hint="eastAsia" w:hAnsi="黑体"/>
          <w:b/>
          <w:sz w:val="32"/>
          <w:szCs w:val="32"/>
          <w:lang w:eastAsia="zh-CN"/>
        </w:rPr>
        <w:t>情况</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年度本单位无国有资本经营预算财政拨款支出。</w:t>
      </w:r>
    </w:p>
    <w:p>
      <w:pPr>
        <w:pStyle w:val="9"/>
        <w:rPr>
          <w:rFonts w:hAnsi="黑体"/>
          <w:b/>
          <w:sz w:val="32"/>
          <w:szCs w:val="32"/>
        </w:rPr>
      </w:pPr>
      <w:r>
        <w:rPr>
          <w:rFonts w:hint="eastAsia" w:hAnsi="黑体"/>
          <w:b/>
          <w:sz w:val="32"/>
          <w:szCs w:val="32"/>
        </w:rPr>
        <w:t>十、机关运行经费支出说明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45.27</w:t>
      </w:r>
      <w:r>
        <w:rPr>
          <w:rFonts w:hint="eastAsia" w:asciiTheme="minorEastAsia" w:hAnsiTheme="minorEastAsia" w:eastAsiaTheme="minorEastAsia"/>
          <w:sz w:val="32"/>
          <w:szCs w:val="32"/>
        </w:rPr>
        <w:t>万元，比上年决算数增加</w:t>
      </w:r>
      <w:r>
        <w:rPr>
          <w:rFonts w:hint="eastAsia" w:asciiTheme="minorEastAsia" w:hAnsiTheme="minorEastAsia" w:eastAsiaTheme="minorEastAsia"/>
          <w:sz w:val="32"/>
          <w:szCs w:val="32"/>
          <w:lang w:val="en-US" w:eastAsia="zh-CN"/>
        </w:rPr>
        <w:t>8.01</w:t>
      </w:r>
      <w:r>
        <w:rPr>
          <w:rFonts w:hint="eastAsia" w:asciiTheme="minorEastAsia" w:hAnsiTheme="minorEastAsia" w:eastAsiaTheme="minorEastAsia"/>
          <w:sz w:val="32"/>
          <w:szCs w:val="32"/>
        </w:rPr>
        <w:t xml:space="preserve"> 万元，增长</w:t>
      </w:r>
      <w:r>
        <w:rPr>
          <w:rFonts w:hint="eastAsia" w:asciiTheme="minorEastAsia" w:hAnsiTheme="minorEastAsia" w:eastAsiaTheme="minorEastAsia"/>
          <w:sz w:val="32"/>
          <w:szCs w:val="32"/>
          <w:lang w:val="en-US" w:eastAsia="zh-CN"/>
        </w:rPr>
        <w:t>21.50</w:t>
      </w:r>
      <w:r>
        <w:rPr>
          <w:rFonts w:hint="eastAsia" w:asciiTheme="minorEastAsia" w:hAnsiTheme="minorEastAsia" w:eastAsiaTheme="minorEastAsia"/>
          <w:sz w:val="32"/>
          <w:szCs w:val="32"/>
        </w:rPr>
        <w:t>%。主要原因是科学技术管理事务</w:t>
      </w:r>
      <w:r>
        <w:rPr>
          <w:rFonts w:hint="eastAsia" w:asciiTheme="minorEastAsia" w:hAnsiTheme="minorEastAsia" w:eastAsiaTheme="minorEastAsia"/>
          <w:sz w:val="32"/>
          <w:szCs w:val="32"/>
          <w:lang w:eastAsia="zh-CN"/>
        </w:rPr>
        <w:t>增加导致机关运行支出增加。</w:t>
      </w:r>
    </w:p>
    <w:p>
      <w:pPr>
        <w:pStyle w:val="9"/>
        <w:rPr>
          <w:rFonts w:hAnsi="黑体"/>
          <w:b/>
          <w:sz w:val="32"/>
          <w:szCs w:val="32"/>
        </w:rPr>
      </w:pPr>
      <w:r>
        <w:rPr>
          <w:rFonts w:hint="eastAsia" w:hAnsi="黑体"/>
          <w:b/>
          <w:sz w:val="32"/>
          <w:szCs w:val="32"/>
        </w:rPr>
        <w:t>十一、一般性支出情况说明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2021年本</w:t>
      </w:r>
      <w:r>
        <w:rPr>
          <w:rFonts w:hint="eastAsia" w:asciiTheme="minorEastAsia" w:hAnsiTheme="minorEastAsia" w:eastAsiaTheme="minorEastAsia"/>
          <w:sz w:val="32"/>
          <w:szCs w:val="32"/>
          <w:lang w:eastAsia="zh-CN"/>
        </w:rPr>
        <w:t>部门</w:t>
      </w:r>
      <w:r>
        <w:rPr>
          <w:rFonts w:hint="eastAsia" w:asciiTheme="minorEastAsia" w:hAnsiTheme="minorEastAsia" w:eastAsiaTheme="minorEastAsia"/>
          <w:sz w:val="32"/>
          <w:szCs w:val="32"/>
        </w:rPr>
        <w:t>开支会议费</w:t>
      </w:r>
      <w:r>
        <w:rPr>
          <w:rFonts w:hint="eastAsia" w:asciiTheme="minorEastAsia" w:hAnsiTheme="minorEastAsia" w:eastAsiaTheme="minorEastAsia"/>
          <w:sz w:val="32"/>
          <w:szCs w:val="32"/>
          <w:lang w:val="en-US" w:eastAsia="zh-CN"/>
        </w:rPr>
        <w:t>1.85</w:t>
      </w:r>
      <w:r>
        <w:rPr>
          <w:rFonts w:hint="eastAsia" w:asciiTheme="minorEastAsia" w:hAnsiTheme="minorEastAsia" w:eastAsiaTheme="minorEastAsia"/>
          <w:sz w:val="32"/>
          <w:szCs w:val="32"/>
        </w:rPr>
        <w:t>万元，用于召开全市科技绩效考核工作调度会议、召开科技活动周启动仪式暨全市科技工作会议（三类会议），人数</w:t>
      </w:r>
      <w:r>
        <w:rPr>
          <w:rFonts w:hint="eastAsia" w:asciiTheme="minorEastAsia" w:hAnsiTheme="minorEastAsia" w:eastAsiaTheme="minorEastAsia"/>
          <w:sz w:val="32"/>
          <w:szCs w:val="32"/>
          <w:lang w:val="en-US" w:eastAsia="zh-CN"/>
        </w:rPr>
        <w:t>805</w:t>
      </w:r>
      <w:r>
        <w:rPr>
          <w:rFonts w:hint="eastAsia" w:asciiTheme="minorEastAsia" w:hAnsiTheme="minorEastAsia" w:eastAsiaTheme="minorEastAsia"/>
          <w:sz w:val="32"/>
          <w:szCs w:val="32"/>
        </w:rPr>
        <w:t xml:space="preserve"> 人，内容为对全市科技绩效考核开展情况进行汇报，分析各自存在的问题差距、以“科技强国、科普惠民”为主题，进一步使科技活动重心下移、服务基层；开支培训费</w:t>
      </w:r>
      <w:r>
        <w:rPr>
          <w:rFonts w:hint="eastAsia" w:asciiTheme="minorEastAsia" w:hAnsiTheme="minorEastAsia" w:eastAsiaTheme="minorEastAsia"/>
          <w:sz w:val="32"/>
          <w:szCs w:val="32"/>
          <w:lang w:val="en-US" w:eastAsia="zh-CN"/>
        </w:rPr>
        <w:t>0.8</w:t>
      </w:r>
      <w:r>
        <w:rPr>
          <w:rFonts w:hint="eastAsia" w:asciiTheme="minorEastAsia" w:hAnsiTheme="minorEastAsia" w:eastAsiaTheme="minorEastAsia"/>
          <w:sz w:val="32"/>
          <w:szCs w:val="32"/>
        </w:rPr>
        <w:t>万元，用于开展科创板上市培训、高校科研院所奖补培训、高新技术企业认定培训、保密工作培训，人数</w:t>
      </w:r>
      <w:r>
        <w:rPr>
          <w:rFonts w:hint="eastAsia" w:asciiTheme="minorEastAsia" w:hAnsiTheme="minorEastAsia" w:eastAsiaTheme="minorEastAsia"/>
          <w:sz w:val="32"/>
          <w:szCs w:val="32"/>
          <w:lang w:val="en-US" w:eastAsia="zh-CN"/>
        </w:rPr>
        <w:t>298</w:t>
      </w:r>
      <w:r>
        <w:rPr>
          <w:rFonts w:hint="eastAsia" w:asciiTheme="minorEastAsia" w:hAnsiTheme="minorEastAsia" w:eastAsiaTheme="minorEastAsia"/>
          <w:sz w:val="32"/>
          <w:szCs w:val="32"/>
        </w:rPr>
        <w:t>人，内容为对科创板定位及基础制度建设进行培训、20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年高校科研院所奖补申报进行培训、202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年高企认定优惠政策、保密工作进行培训人数</w:t>
      </w:r>
      <w:r>
        <w:rPr>
          <w:rFonts w:hint="eastAsia" w:asciiTheme="minorEastAsia" w:hAnsiTheme="minorEastAsia" w:eastAsiaTheme="minorEastAsia"/>
          <w:sz w:val="32"/>
          <w:szCs w:val="32"/>
          <w:lang w:val="en-US" w:eastAsia="zh-CN"/>
        </w:rPr>
        <w:t>302</w:t>
      </w:r>
      <w:r>
        <w:rPr>
          <w:rFonts w:hint="eastAsia" w:asciiTheme="minorEastAsia" w:hAnsiTheme="minorEastAsia" w:eastAsiaTheme="minorEastAsia"/>
          <w:sz w:val="32"/>
          <w:szCs w:val="32"/>
        </w:rPr>
        <w:t>人，内容为对科创板定位及基础制度建设进行培训、20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年高校科研院所奖补申报进行培训、202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年高企认定优惠政策、保密工作进行培训；举办节庆、晚会、论坛、赛事等活动，开支为0万元。</w:t>
      </w:r>
    </w:p>
    <w:p>
      <w:pPr>
        <w:pStyle w:val="9"/>
        <w:rPr>
          <w:rFonts w:hAnsi="黑体"/>
          <w:b/>
          <w:sz w:val="32"/>
          <w:szCs w:val="32"/>
        </w:rPr>
      </w:pPr>
      <w:r>
        <w:rPr>
          <w:rFonts w:hint="eastAsia" w:hAnsi="黑体"/>
          <w:b/>
          <w:sz w:val="32"/>
          <w:szCs w:val="32"/>
        </w:rPr>
        <w:t>十二、政府采购支出说明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部门</w:t>
      </w:r>
      <w:r>
        <w:rPr>
          <w:rFonts w:hint="eastAsia" w:asciiTheme="minorEastAsia" w:hAnsiTheme="minorEastAsia" w:eastAsiaTheme="minorEastAsia"/>
          <w:sz w:val="32"/>
          <w:szCs w:val="32"/>
        </w:rPr>
        <w:t>2021年度政府采购支出总额</w:t>
      </w:r>
      <w:r>
        <w:rPr>
          <w:rFonts w:hint="eastAsia" w:asciiTheme="minorEastAsia" w:hAnsiTheme="minorEastAsia" w:eastAsiaTheme="minorEastAsia"/>
          <w:sz w:val="32"/>
          <w:szCs w:val="32"/>
          <w:lang w:val="en-US" w:eastAsia="zh-CN"/>
        </w:rPr>
        <w:t>282.78</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282.78</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282.78</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282.78</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十三、国有资产占用情况说明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lang w:eastAsia="zh-CN"/>
        </w:rPr>
        <w:t>十四、</w:t>
      </w:r>
      <w:r>
        <w:rPr>
          <w:rFonts w:hint="eastAsia" w:hAnsi="黑体"/>
          <w:b/>
          <w:sz w:val="32"/>
          <w:szCs w:val="32"/>
        </w:rPr>
        <w:t>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我单位高度重视绩效评价工作，积极组织，成立了以办公室牵头，财务具体实施，其他业务科室配合完成的绩效评价工作小组。</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自评过程中，我单位对部门年度总预算收支情况及财政预算收支情况、整体支出管理及使用情况、整体支出主要绩效等方面对各项支出使用绩效进行评价。从经济性、效率性和有效性三个方面对预算配置、执行、管理和资产管理等绩效目标完成情况进行综合分析。</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hint="eastAsia" w:cs="黑体" w:asciiTheme="minorEastAsia" w:hAnsiTheme="minorEastAsia" w:eastAsiaTheme="minorEastAsia"/>
          <w:b/>
          <w:bCs/>
          <w:i/>
          <w:iCs/>
          <w:color w:val="FF0000"/>
          <w:kern w:val="0"/>
          <w:sz w:val="36"/>
          <w:szCs w:val="36"/>
          <w:lang w:eastAsia="zh-CN"/>
        </w:rPr>
      </w:pPr>
      <w:r>
        <w:rPr>
          <w:rFonts w:hint="eastAsia" w:cs="黑体" w:asciiTheme="minorEastAsia" w:hAnsiTheme="minorEastAsia"/>
          <w:color w:val="000000"/>
          <w:kern w:val="0"/>
          <w:sz w:val="32"/>
          <w:szCs w:val="32"/>
        </w:rPr>
        <w:t>按照中央、省、市的部署，积极推进预算绩效管理改革，以目标管理、第三方评价、信息公开等为着力点，认真贯彻落实市委、市政府的决策部署，高度重视绩效管理工作，将绩效管理融入预算编制、执行过程。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年度部门整体支出绩效自评等级为“优”，绩效自评报告已按财政要求在我单位门户网站上公开（作为需随同部门决算一同公开的绩效信息见附件2）</w:t>
      </w:r>
    </w:p>
    <w:p>
      <w:pPr>
        <w:pStyle w:val="9"/>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二、机关运行经费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cs="黑体" w:asciiTheme="minorEastAsia" w:hAnsiTheme="minorEastAsia"/>
          <w:color w:val="000000"/>
          <w:kern w:val="0"/>
          <w:sz w:val="32"/>
          <w:szCs w:val="32"/>
        </w:rPr>
        <w:t>……</w:t>
      </w:r>
    </w:p>
    <w:p>
      <w:pPr>
        <w:pStyle w:val="9"/>
        <w:jc w:val="center"/>
        <w:rPr>
          <w:rFonts w:asciiTheme="minorEastAsia" w:hAnsiTheme="minorEastAsia"/>
          <w:sz w:val="32"/>
          <w:szCs w:val="32"/>
        </w:rPr>
      </w:pPr>
      <w:r>
        <w:rPr>
          <w:rFonts w:asciiTheme="minorEastAsia" w:hAnsiTheme="minorEastAsia"/>
          <w:sz w:val="32"/>
          <w:szCs w:val="32"/>
        </w:rPr>
        <w:t>………</w:t>
      </w:r>
    </w:p>
    <w:p>
      <w:pPr>
        <w:widowControl/>
        <w:jc w:val="left"/>
        <w:rPr>
          <w:rFonts w:eastAsia="黑体" w:cs="黑体" w:asciiTheme="minorEastAsia" w:hAnsiTheme="minorEastAsia"/>
          <w:color w:val="000000"/>
          <w:kern w:val="0"/>
          <w:sz w:val="28"/>
          <w:szCs w:val="32"/>
        </w:rPr>
      </w:pPr>
      <w:r>
        <w:rPr>
          <w:rFonts w:hint="eastAsia" w:asciiTheme="minorEastAsia" w:hAnsiTheme="minorEastAsia"/>
          <w:b/>
          <w:bCs/>
          <w:i/>
          <w:iCs/>
          <w:color w:val="FF0000"/>
          <w:sz w:val="32"/>
          <w:szCs w:val="36"/>
        </w:rPr>
        <w:t>（名词解释应包含本部门专有名词，如省财政厅应有对“财政事务”科目的解释</w:t>
      </w:r>
      <w:r>
        <w:rPr>
          <w:rFonts w:hint="eastAsia" w:asciiTheme="minorEastAsia" w:hAnsiTheme="minorEastAsia"/>
          <w:b/>
          <w:bCs/>
          <w:i/>
          <w:iCs/>
          <w:color w:val="FF0000"/>
          <w:sz w:val="32"/>
          <w:szCs w:val="36"/>
          <w:lang w:eastAsia="zh-CN"/>
        </w:rPr>
        <w:t>，各单位需根据实际情况增减</w:t>
      </w:r>
      <w:r>
        <w:rPr>
          <w:rFonts w:hint="eastAsia" w:asciiTheme="minorEastAsia" w:hAnsiTheme="minorEastAsia"/>
          <w:sz w:val="28"/>
          <w:szCs w:val="32"/>
        </w:rPr>
        <w:t>）</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hint="eastAsia" w:cs="黑体" w:asciiTheme="minorEastAsia" w:hAnsiTheme="minorEastAsia" w:eastAsiaTheme="minorEastAsia"/>
          <w:b/>
          <w:color w:val="000000"/>
          <w:kern w:val="0"/>
          <w:sz w:val="32"/>
          <w:szCs w:val="32"/>
          <w:lang w:val="en-US" w:eastAsia="zh-CN"/>
        </w:rPr>
      </w:pPr>
      <w:r>
        <w:rPr>
          <w:rFonts w:hint="eastAsia" w:cs="黑体" w:asciiTheme="minorEastAsia" w:hAnsiTheme="minorEastAsia"/>
          <w:b/>
          <w:color w:val="000000"/>
          <w:kern w:val="0"/>
          <w:sz w:val="32"/>
          <w:szCs w:val="32"/>
          <w:lang w:val="en-US" w:eastAsia="zh-CN"/>
        </w:rPr>
        <w:t>1、2021年部门决算公开表格</w:t>
      </w: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2021年度部门整体支出绩效评价报告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A298D"/>
    <w:multiLevelType w:val="singleLevel"/>
    <w:tmpl w:val="B16A298D"/>
    <w:lvl w:ilvl="0" w:tentative="0">
      <w:start w:val="9"/>
      <w:numFmt w:val="chineseCounting"/>
      <w:suff w:val="nothing"/>
      <w:lvlText w:val="%1、"/>
      <w:lvlJc w:val="left"/>
      <w:rPr>
        <w:rFonts w:hint="eastAsia"/>
      </w:rPr>
    </w:lvl>
  </w:abstractNum>
  <w:abstractNum w:abstractNumId="1">
    <w:nsid w:val="05A547A7"/>
    <w:multiLevelType w:val="singleLevel"/>
    <w:tmpl w:val="05A547A7"/>
    <w:lvl w:ilvl="0" w:tentative="0">
      <w:start w:val="3"/>
      <w:numFmt w:val="decimal"/>
      <w:suff w:val="nothing"/>
      <w:lvlText w:val="%1、"/>
      <w:lvlJc w:val="left"/>
    </w:lvl>
  </w:abstractNum>
  <w:abstractNum w:abstractNumId="2">
    <w:nsid w:val="07838C94"/>
    <w:multiLevelType w:val="singleLevel"/>
    <w:tmpl w:val="07838C94"/>
    <w:lvl w:ilvl="0" w:tentative="0">
      <w:start w:val="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MWFmNWUwNzY2NjEzODE5NDU5NDgzZjVlYjcyNmQifQ=="/>
  </w:docVars>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5633A58"/>
    <w:rsid w:val="06B411F0"/>
    <w:rsid w:val="087403E0"/>
    <w:rsid w:val="0BE56081"/>
    <w:rsid w:val="13BE003E"/>
    <w:rsid w:val="16773773"/>
    <w:rsid w:val="17A87124"/>
    <w:rsid w:val="1E2E3C90"/>
    <w:rsid w:val="27DB542D"/>
    <w:rsid w:val="366364DD"/>
    <w:rsid w:val="370B6762"/>
    <w:rsid w:val="3B0926B0"/>
    <w:rsid w:val="416B6A8D"/>
    <w:rsid w:val="45F9639D"/>
    <w:rsid w:val="48ED43E7"/>
    <w:rsid w:val="49154775"/>
    <w:rsid w:val="4DB30006"/>
    <w:rsid w:val="5F20741E"/>
    <w:rsid w:val="5F685A79"/>
    <w:rsid w:val="60A907EA"/>
    <w:rsid w:val="613D2F35"/>
    <w:rsid w:val="6145544E"/>
    <w:rsid w:val="740B1954"/>
    <w:rsid w:val="7F47795F"/>
    <w:rsid w:val="7FCF0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6003</Words>
  <Characters>6519</Characters>
  <Lines>69</Lines>
  <Paragraphs>19</Paragraphs>
  <TotalTime>0</TotalTime>
  <ScaleCrop>false</ScaleCrop>
  <LinksUpToDate>false</LinksUpToDate>
  <CharactersWithSpaces>6544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가인</cp:lastModifiedBy>
  <cp:lastPrinted>2022-07-27T12:55:00Z</cp:lastPrinted>
  <dcterms:modified xsi:type="dcterms:W3CDTF">2023-09-06T01:33:49Z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B1225F95036547F39484F2CDAEF1AE79</vt:lpwstr>
  </property>
</Properties>
</file>