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岳阳市科学技术局本级2022年度单位预算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12、一般公共预算基本支出表-人员经费（商品和服务支出）（按政府预算经济分类）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13、一般公共预算基本支出表-人员经费（商品和服务支出）（按部门预算经济分类）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全市科学技术进步的宏观管理和统筹协调。贯彻执行国家、省科技法律、法规和方针、政策；牵头拟订全市科技发展规划，确定科技发展的战略布局和优先发展领域；拟订相关政策，并监督实施；参与对经济社会发展有重大影响的跨部门、多学科的综合性项目的论证与决策。</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组织实施市科技重大专项工作。制定相关配套政策；组织科技重大专项实施中的方案论证、评审立项、跟踪管理与评估验收等；统筹申报和组织实施国家、省科技重大专项工作，协调市科技重大专项与国家、省科技重大专项的衔接与配套。</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负责组织实施市级科技计划工作。负责组织制定和实施基础研究计划、科技支撑计划、科技创新引导计划等各类市级科技计划；负责相关国家、省科技计划项目申报、推荐和管理；牵头组织全市经济社会发展重要领域的重大关键技术攻关。</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4.牵头组织全市农村和社会发展领域的科技进步工作。组织拟订科技促进农村和社会发展的规划和政策。</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牵头组织协调促进全市产学研结合工作。会同有关部门拟订促进产学研结合的相关政策；组织重大科技成果应用示范，加强科技成果转化和推广，推动企业技术创新能力建设；拟订促进技术市场、科技中介组织发展政策，负责全市技术市场体系建设和管理，推进科技服务体系发展。</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主管全市高新技术的研究开发、成果转化以及产业化工作。会同有关部门拟订高新技术发展及产业化的规划和政策，组织实施市高新技术产业化重大科技项目；归口管理和指导协调高新技术产业开发区等科技园区及特色产业化基地建设；组织认定高新技术企业、技术先进型服务企业和自主创新产品等相关工作；指导并推动高新技术企业创新发展；参与高新创业投资有关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7.会同有关部门提出全市科技体制改革的政策和措施建议，推进全市创新体系建设；审核相关科研机构的组建和调整。</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负责本部门及归口管理的市级科技经费预决算和经费使用的监督管理；会同有关部门制定多渠道增加科技投入的政策措施；组织拟定全市科研条件保障的规划和相关政策；负责制定并会同有关部门实施全市科技基础条件平台建设计划；推进科技基础条件平台共建共享；会同有关部门提出科技资源合理配置的政策建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9.拟订全市国际与区域科技合作与交流的规划、政策和措施，负责组织实施国际与区域科技合作计划，承办与国外政府间以及国际组织间科技合作和交流事宜。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10.归口管理全市引进国（境）外智力工作。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11.负责全市科学普及工作，拟订全市科普工作规划和相关政策，组织实施科普计划，负责市级科普基地和示范基地认定，进行督促检查，推动科普工作发展。</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12.负责全市科技人才有关工作。会同有关部门拟订科技人才队伍建设规划，提出相关政策建议；承担全市科技人才队伍建设和科技创新团队建设有关工作。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13.负责全市科技奖励、科技保密、科技评估、科技统计、科技信息管理等工作。</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承办市委、市人民政府交办其他事项。</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根据编委核定，我局内设12个科室，全部纳入2022年部门预算编制范围。</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内设科室分别是办公室、战略规划与资源配置科、高新技术发展及产业化科、农村科技科、社会发展科技科、成果转化与区域创新科、外国专家服务科、人事科、机关党委、机关纪委、机关工会和离退休人员管理服务科。</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22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545.81万元，其中，一般公共预算拨款545.81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收入较去年增加169.74万元，主要是因为2022年度单独申报了伙食补助、工会经费补助、物业服务补贴、预安排综合绩效奖和平安岳阳建设奖等经费。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单位支出预算545.81万元，其中，科学技术支出471.82万元，占比86.44%，社会保障和就业支出30.04万元，占比5.50%，卫生健康支出21.42万元，占比3.92%，住房保障支出22.53万元，占比4.13%。支出较去年增加169.74万元，其中基本支出减少22.24万元，项目支出增加191.98万元。其中基本支出较上年减少主要是因为2名同志退休，工资福利待遇和公用经费减少，项目支出增加主要是因为2022年度单独申报了伙食补助、工会经费补助、物业服务补贴、预安排综合绩效奖和平安岳阳建设奖等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545.81万元，其中，科学技术支出471.82万元，占比86.44%，社会保障和就业支出30.04万元，占比5.50%，卫生健康支出21.42万元，占比3.92%，住房保障支出22.53万元，占比4.13%。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343.03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202.78万元，是指单位为完成特定行政工作任务或事业发展目标而发生的支出，包括有关业务工作经费、运行维护经费等。其中：业务工作经费支出10万元，主要用于科技条件与服务、科技交流与合作等方面；运行维护经费192.78万元，主要用于伙食补助、工会经费补助、物业服务补贴、发放综合绩效奖和平安岳阳建设奖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本单位2022年机关运行经费当年一般公共预算拨款67.43万元，比上一年增加7.56万元，增加11.21%。主要原因是申报了车补经费。</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18万元，其中，公务接待费5万元，因公出国（境）费10万元，公务用车购置及运行费3万元，其中公务用车购置费0万元，公务用车运行费3万元。比上一年减少52万元，降低74.28%，主要原因是厉行节约，车补经费未列入三公经费范畴。</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度会议费预算2万元，拟召开1次会议，人数200人，内容为岳阳市科技创新大会；培训费预算1万元，拟开展2次培训，人数300人，内容为高新技术企业认定工作和星创天地申报认定工作。2022年度未计划举办节庆、晚会、论坛、赛事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本单位2022年政府采购预算总额35.92万元，其中货物类35.92万元</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工程类0万元，服务类0万元</w:t>
            </w:r>
            <w:r>
              <w:rPr>
                <w:rFonts w:hint="eastAsia" w:ascii="仿宋_GB2312" w:hAnsi="宋体" w:eastAsia="仿宋_GB2312" w:cs="宋体"/>
                <w:kern w:val="0"/>
                <w:sz w:val="28"/>
                <w:szCs w:val="28"/>
              </w:rPr>
              <w:t>。</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截至上一年12月底，本单位共有车辆1辆，其中一般公务用车1辆</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领导干部用车0辆，其他用车0辆</w:t>
            </w:r>
            <w:r>
              <w:rPr>
                <w:rFonts w:hint="eastAsia" w:ascii="仿宋_GB2312" w:hAnsi="宋体" w:eastAsia="仿宋_GB2312" w:cs="宋体"/>
                <w:kern w:val="0"/>
                <w:sz w:val="28"/>
                <w:szCs w:val="28"/>
              </w:rPr>
              <w:t>。单位价值50万元以上通用设备0台，单位价值100万元以上专用设备0台。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bookmarkStart w:id="0" w:name="_GoBack"/>
            <w:bookmarkEnd w:id="0"/>
            <w:r>
              <w:rPr>
                <w:rFonts w:hint="eastAsia" w:ascii="仿宋_GB2312" w:hAnsi="宋体" w:eastAsia="仿宋_GB2312" w:cs="宋体"/>
                <w:kern w:val="0"/>
                <w:sz w:val="28"/>
                <w:szCs w:val="28"/>
              </w:rPr>
              <w:t>。</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本单位所有支出实行绩效目标管理。纳入2022年部门整体支出绩效目标的金额为545.81万元，其中，基本支出343.03万元，项目支出202.78万元，详见文尾附表中单位预算公开表格的表21-22。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12、一般公共预算基本支出表-人员经费（商品和服务支出）（按政府预算经济分类）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13、一般公共预算基本支出表-人员经费（商品和服务支出）（按部门预算经济分类）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D46DBB-D589-4326-A93B-DE879ED21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0C91E9F-6EC7-4352-9891-8186D6F5812E}"/>
  </w:font>
  <w:font w:name="仿宋_GB2312">
    <w:panose1 w:val="02010609030101010101"/>
    <w:charset w:val="86"/>
    <w:family w:val="auto"/>
    <w:pitch w:val="default"/>
    <w:sig w:usb0="00000001" w:usb1="080E0000" w:usb2="00000000" w:usb3="00000000" w:csb0="00040000" w:csb1="00000000"/>
    <w:embedRegular r:id="rId3" w:fontKey="{AA980862-A017-4CB4-8DEC-B424F462AAB8}"/>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embedRegular r:id="rId4" w:fontKey="{6A5BD677-C2FC-4FE7-9186-E05ACE8084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MGFmMTJjZDc5MTY3YTY1N2I2YTE3ZGU3YTY2NDUifQ=="/>
  </w:docVars>
  <w:rsids>
    <w:rsidRoot w:val="0016292A"/>
    <w:rsid w:val="000479F0"/>
    <w:rsid w:val="0016292A"/>
    <w:rsid w:val="00E35868"/>
    <w:rsid w:val="00E82130"/>
    <w:rsid w:val="00E937A8"/>
    <w:rsid w:val="00FF0364"/>
    <w:rsid w:val="1430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4264</Words>
  <Characters>4570</Characters>
  <Lines>33</Lines>
  <Paragraphs>9</Paragraphs>
  <TotalTime>15</TotalTime>
  <ScaleCrop>false</ScaleCrop>
  <LinksUpToDate>false</LinksUpToDate>
  <CharactersWithSpaces>4631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2023-06-05T03:27:00Z</dcterms:created>
  <dc:creator>微软用户</dc:creator>
  <cp:lastModifiedBy>German Phillip</cp:lastModifiedBy>
  <dcterms:modified xsi:type="dcterms:W3CDTF">2023-09-06T07:22:07Z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ACDB83E6612244D792EB81D7CA9F28E5_12</vt:lpwstr>
  </property>
</Properties>
</file>