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ascii="Calibri" w:hAnsi="Calibri" w:cs="Calibri"/>
          <w:sz w:val="21"/>
          <w:szCs w:val="21"/>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0" w:type="auto"/>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widowControl/>
              <w:ind w:firstLine="0" w:firstLineChars="0"/>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岳阳市人民政府金融工作办公室2022年度</w:t>
            </w:r>
            <w:r>
              <w:rPr>
                <w:rFonts w:hint="eastAsia" w:ascii="方正小标宋_GBK" w:hAnsi="宋体" w:eastAsia="方正小标宋_GBK" w:cs="宋体"/>
                <w:color w:val="000000"/>
                <w:kern w:val="0"/>
                <w:sz w:val="40"/>
                <w:szCs w:val="40"/>
                <w:lang w:val="en-US" w:eastAsia="zh-CN"/>
              </w:rPr>
              <w:t>部门</w:t>
            </w:r>
            <w:r>
              <w:rPr>
                <w:rFonts w:hint="eastAsia" w:ascii="方正小标宋_GBK" w:hAnsi="宋体" w:eastAsia="方正小标宋_GBK" w:cs="宋体"/>
                <w:color w:val="000000"/>
                <w:kern w:val="0"/>
                <w:sz w:val="40"/>
                <w:szCs w:val="40"/>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wAfter w:w="0" w:type="auto"/>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widowControl/>
              <w:ind w:firstLine="0" w:firstLineChars="0"/>
              <w:jc w:val="center"/>
              <w:rPr>
                <w:rFonts w:hint="default" w:ascii="黑体" w:hAnsi="黑体" w:eastAsia="黑体" w:cs="宋体"/>
                <w:kern w:val="0"/>
                <w:sz w:val="36"/>
                <w:szCs w:val="36"/>
              </w:rPr>
            </w:pPr>
            <w:r>
              <w:rPr>
                <w:rFonts w:hint="eastAsia" w:ascii="黑体" w:hAnsi="黑体" w:eastAsia="黑体" w:cs="宋体"/>
                <w:kern w:val="0"/>
                <w:sz w:val="36"/>
                <w:szCs w:val="36"/>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wAfter w:w="0" w:type="auto"/>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widowControl/>
              <w:ind w:firstLine="0" w:firstLineChars="0"/>
              <w:jc w:val="center"/>
              <w:rPr>
                <w:rFonts w:hint="eastAsia" w:ascii="黑体" w:hAnsi="黑体" w:eastAsia="黑体" w:cs="宋体"/>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ascii="Calibri" w:hAnsi="Calibri" w:cs="Calibri"/>
                <w:sz w:val="21"/>
                <w:szCs w:val="21"/>
              </w:rPr>
            </w:pPr>
            <w:r>
              <w:rPr>
                <w:rFonts w:ascii="仿宋_GB2312" w:hAnsi="Calibri" w:eastAsia="仿宋_GB2312" w:cs="仿宋_GB2312"/>
                <w:i w:val="0"/>
                <w:iCs w:val="0"/>
                <w:caps w:val="0"/>
                <w:color w:val="000000"/>
                <w:spacing w:val="0"/>
                <w:kern w:val="0"/>
                <w:sz w:val="28"/>
                <w:szCs w:val="28"/>
                <w:bdr w:val="none" w:color="auto" w:sz="0" w:space="0"/>
                <w:lang w:val="en-US" w:eastAsia="zh-CN" w:bidi="ar"/>
              </w:rPr>
              <w:t>第一部分</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2022年部门预算说明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第二部分  2022年部门预算公开表格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19" w:hRule="atLeast"/>
        </w:trPr>
        <w:tc>
          <w:tcPr>
            <w:tcW w:w="0" w:type="auto"/>
            <w:vMerge w:val="restart"/>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1、收支总表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2、收入总表</w:t>
            </w:r>
            <w:bookmarkStart w:id="0" w:name="_GoBack"/>
            <w:bookmarkEnd w:id="0"/>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3、支出总表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4、支出预算分类汇总表（按政府预算经济分类）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5、支出预算分类汇总表（按部门预算经济分类）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6、财政拨款收支总表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7、一般公共预算支出表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8、一般公共预算基本支出表-人员经费（工资福利支出）（按政府预算经济分类）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9、一般公共预算基本支出表-人员经费（工资福利支出）（按部门预算经济分类）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10、一般公共预算基本支出表-人员经费（对个人和家庭的补助）（按政府预算经济分类）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11、一般公共预算基本支出表-人员经费（对个人和家庭的补助）（按部门预算经济分类）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12、一般公共预算基本支出表-人员经费（商品和服务支出）（按政府预算经济分类）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13、一般公共预算基本支出表-人员经费（商品和服务支出）（按部门预算经济分类）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14、一般公共预算“三公”经费支出表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15、政府性基金预算支出表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16、政府性基金预算支出分类汇总表（按政府预算经济分类）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17、政府性基金预算支出分类汇总表（按部门预算经济分类）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18、国有资本经营预算支出表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19、财政专户管理资金预算支出表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20、专项资金预算汇总表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21、项目支出绩效目标表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22、整体支出绩效目标表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注：以上单位预算公开报表中，空表表示本单位无相关收支情况。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19" w:hRule="atLeast"/>
        </w:trPr>
        <w:tc>
          <w:tcPr>
            <w:tcW w:w="0" w:type="auto"/>
            <w:vMerge w:val="continue"/>
            <w:tcBorders>
              <w:top w:val="nil"/>
              <w:left w:val="nil"/>
              <w:bottom w:val="nil"/>
              <w:right w:val="nil"/>
            </w:tcBorders>
            <w:shd w:val="clear" w:color="auto" w:fill="FFFFFF"/>
            <w:tcMar>
              <w:top w:w="0" w:type="dxa"/>
              <w:left w:w="108" w:type="dxa"/>
              <w:bottom w:w="0" w:type="dxa"/>
              <w:right w:w="108" w:type="dxa"/>
            </w:tcMar>
            <w:vAlign w:val="center"/>
          </w:tcPr>
          <w:p>
            <w:pPr>
              <w:rPr>
                <w:rFonts w:hint="default" w:ascii="Times New Roman" w:hAnsi="Times New Roman" w:cs="Times New Roman"/>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40"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Calibri" w:hAnsi="Calibri" w:cs="Calibri"/>
                <w:sz w:val="21"/>
                <w:szCs w:val="21"/>
              </w:rPr>
            </w:pPr>
            <w:r>
              <w:rPr>
                <w:rFonts w:ascii="黑体" w:hAnsi="宋体" w:eastAsia="黑体" w:cs="黑体"/>
                <w:i w:val="0"/>
                <w:iCs w:val="0"/>
                <w:caps w:val="0"/>
                <w:color w:val="000000"/>
                <w:spacing w:val="0"/>
                <w:kern w:val="0"/>
                <w:sz w:val="36"/>
                <w:szCs w:val="36"/>
                <w:bdr w:val="none" w:color="auto" w:sz="0" w:space="0"/>
                <w:lang w:val="en-US" w:eastAsia="zh-CN" w:bidi="ar"/>
              </w:rPr>
              <w:t>第一部分</w:t>
            </w:r>
            <w:r>
              <w:rPr>
                <w:rFonts w:hint="eastAsia" w:ascii="黑体" w:hAnsi="宋体" w:eastAsia="黑体" w:cs="黑体"/>
                <w:i w:val="0"/>
                <w:iCs w:val="0"/>
                <w:caps w:val="0"/>
                <w:color w:val="000000"/>
                <w:spacing w:val="0"/>
                <w:kern w:val="0"/>
                <w:sz w:val="36"/>
                <w:szCs w:val="36"/>
                <w:bdr w:val="none" w:color="auto" w:sz="0" w:space="0"/>
                <w:lang w:val="en-US" w:eastAsia="zh-CN" w:bidi="ar"/>
              </w:rPr>
              <w:t>  2022年部门预算说明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75"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一、部门基本概况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（一）职能职责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贯彻执行国家有关金融工作的方针、政策和法律、法规，组织拟订金融领域有关地方性文件草案；组织拟订全市金融业发展战略、中长期规划；组织拟订加强全市金融行业服务、促进金融行业发展的意见和政策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（2）研究分析国家金融政策、宏观金融形势和全市金融运行情况，负责推动全市金融改革创新，完善金融业整体布局，指导推进全市金融市场体系建设，引进金融机构及培育金融人才，促进全市金融发展。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3）负责联系国务院、省驻岳金融管理部门、各类金融机构；协助国务院、省驻岳金融管理部门依法对我市金融机构进行监管；组织开展政府与金融机构合作、金融机构和企业对接，引导协调和鼓励金融机构加大对全市经济社会发展的支持力度并组织目标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4）组织协调实施金融突发事件应急工作，会同有关部门查处和打击非法金融机构和非法金融业务活动，打击和处置非法集资活动，整顿和规范全市金融市场秩序，防范化解、处置各类金融风险，维护金融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（5）会同有关部门推进全市社会信用体系建设和金融安全区建设，推进改善金融生态环境。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（6）组织推动全市全方位多层次资本市场建设与发展；指导和推进企业改制上市等直接融资工作；指导协调上市公司资产重组及兼并收购，负责全市上市后备资源培育工作。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7）负责对辖区内融资担保公司、小额贷款公司、区域性股权市场、典当行、融资租赁公司、商业保理公司、地方资产管理公司等金融机构实施监督，强化对辖区内投资公司、开展信用互助的农民专业合作社、社会众筹机构、地方各类交易场所等的监管；协调相关部门加强对互联网金融的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（8）负责地方金融监管职责范围内的金融消费者（投资者）权益保护工作，负责金融知识宣传和投资者风险教育工作。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（9）指导地方性金融业等行业协会的自律建设作。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（10）承办市委、市人民政府和上级部门交办的其他事项。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根据市委编办核定，市政府金融工作办公室内设科室4个。 内设科室分别是:综合科（人事科）、银行科保险、资本市场科、金融监管科（金融稳定科）。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二、部门预算单位构成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我单位无二级预算单位，因此，纳入2022年部门预算编制范围的为岳阳市人民政府金融工作办公室本级。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三、部门收支总体情况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（一）收入预算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875"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包括一般公共预算、政府性基金、国有资本经营预算等财政拨款收入，以及经营收入、事业收入等单位资金。2022年本部门收入预算338.31万元，其中，一般公共预算拨款338.31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收入较去年增加102.36万元，主要是因为人员工资增加和对个人和家庭的补助增加等。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2"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20"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2022年本部门支出预算338.31万元，其中，一般公共服务支出297.48万元，占比87.93%，社会保障和就业支出16.58万元，占比4.90%，卫生健康支出11.82万元，占比3.49%，住房保障支出12.43万元，占比3.67%。支出较去年增加102.36万元，主要是人员工资增加和对个人和家庭的补助增加等，其中一般公共服务增加105.66万元，社会保障和就业支出减少1.34万元，卫生健康支出减少0.96万元，住房保障支出减少1.01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四、一般公共预算拨款支出预算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25"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2022年本部门一般公共预算拨款支出预算338.31万元，其中，一般公共服务支出297.48万元，占比87.93%，社会保障和就业支出16.58万元，占比4.90%，卫生健康支出11.82万元，占比3.49%，住房保障支出12.43万元，占比3.67%。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25"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一）基本支出：2022年基本支出年初预算数为185.31万元（数据来源见表7），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75"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二）项目支出：2022年项目支出年初预算数为153万元，是指单位为完成特定行政工作任务或事业发展目标而发生的支出，包括有关业务工作经费、运行维护经费等。其中：打击和处置非法集资工作经费15.00万元、推进企业上市工作经费39.00万元、小额贷款融资担保公司监管7.20万元，物业服务补贴10.80万元，预安排综合绩效奖和平安岳阳建设奖60.00万元，职工伙食补助12.00万元，主要是用于开展金融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五、政府性基金预算支出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2022年度本部门无政府性基金安排的支出，所以公开的附件15-17（政府性基金预算）为空。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六、其他重要事项的情况说明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2022年我单位的机关运行经费当年一般公共预算拨款39.34万元，比2022年预算增加2.7万元，增加6.86%，主要原因是公用经费增加。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00"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FF0000"/>
                <w:spacing w:val="0"/>
                <w:kern w:val="0"/>
                <w:sz w:val="28"/>
                <w:szCs w:val="28"/>
                <w:bdr w:val="none" w:color="auto" w:sz="0" w:space="0"/>
                <w:lang w:val="en-US" w:eastAsia="zh-CN" w:bidi="ar"/>
              </w:rPr>
              <w:t>    </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本部门（单位）2022年“三公”经费预算数4.5万元（数据来源见表14），其中，公务接待费1万元，因公出国（境）费0万元，公务用车购置及运行费3.5万元（其中，公务用车购置费0万元，公务用车运行费3.5万元）。</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2022年三公经费预算较上年无变化。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875"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2022年本部门会议费预算2.00万元，拟召开上市企业推进会等会议3次共计180人次；培训费预算1.00万元，拟开展上市企业培训等培训2次80人次，内容主要为企业上市相关内容培训；2022年度本部门未计划举办节庆、晚会、论坛、赛事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0"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2022年本部门政府采购预算总额  39.34万元，其中，货物类采购预算23.67万元，主要是日常办公用品等货物采购；工程类采购预算0万元；服务类采购预算15.67万元，主要是印刷服务、会议服务等服务采购。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5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截至上年底，本部门共有车辆1辆，其中领导干部用车0辆，一般公务用车0辆，其他用车0辆。单位价值50万元以上通用设备0台，单位价值100万元以上专用设备0台。</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2022年拟报废处置公务用车0辆，拟新增配置车辆0辆，其中领导干部用车0辆，一般公务用车0辆，其他用车0辆。</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2022年拟新增配备领导干部用车0辆，一般公务用车0辆，其他用车0辆，新增配备单位价值50万元以上通用设备0台，单位价值100万元以上专用设备0台。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2022年度本部门未计划处置或新增车辆、设备等。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0"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本部门所有支出实行绩效目标管理。纳入2022年部门整体支出绩效目标的金额为338.31万元，其中，基本支出185.31万元，项目支出153万元，详见文尾附表中部门预算公开表格的表21-22。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9"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七、名词解释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00"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trPr>
        <w:tc>
          <w:tcPr>
            <w:tcW w:w="0" w:type="auto"/>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Calibri" w:hAnsi="Calibri" w:cs="Calibri"/>
                <w:sz w:val="21"/>
                <w:szCs w:val="21"/>
              </w:rPr>
            </w:pPr>
            <w:r>
              <w:rPr>
                <w:rFonts w:hint="eastAsia" w:ascii="黑体" w:hAnsi="宋体" w:eastAsia="黑体" w:cs="黑体"/>
                <w:i w:val="0"/>
                <w:iCs w:val="0"/>
                <w:caps w:val="0"/>
                <w:color w:val="000000"/>
                <w:spacing w:val="0"/>
                <w:kern w:val="0"/>
                <w:sz w:val="36"/>
                <w:szCs w:val="36"/>
                <w:bdr w:val="none" w:color="auto" w:sz="0" w:space="0"/>
                <w:lang w:val="en-US" w:eastAsia="zh-CN" w:bidi="ar"/>
              </w:rPr>
              <w:t>第二部分  2022年部门预算公开表格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0" w:hRule="atLeast"/>
        </w:trPr>
        <w:tc>
          <w:tcPr>
            <w:tcW w:w="0" w:type="auto"/>
            <w:vMerge w:val="restart"/>
            <w:tcBorders>
              <w:top w:val="nil"/>
              <w:left w:val="nil"/>
              <w:bottom w:val="nil"/>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1、收支总表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2、收入总表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3、支出总表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4、支出预算分类汇总表（按政府预算经济分类）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5、支出预算分类汇总表（按部门预算经济分类）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6、财政拨款收支总表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7、一般公共预算支出表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8、一般公共预算基本支出表-人员经费（工资福利支出）（按政府预算经济分类）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9、一般公共预算基本支出表-人员经费（工资福利支出）（按部门预算经济分类）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10、一般公共预算基本支出表-人员经费（对个人和家庭的补助）（按政府预算经济分类）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11、一般公共预算基本支出表-人员经费（对个人和家庭的补助）（按部门预算经济分类）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12、一般公共预算基本支出表-人员经费（商品和服务支出）（按政府预算经济分类）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13、一般公共预算基本支出表-人员经费（商品和服务支出）（按部门预算经济分类）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14、一般公共预算“三公”经费支出表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15、政府性基金预算支出表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16、政府性基金预算支出分类汇总表（按政府预算经济分类）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17、政府性基金预算支出分类汇总表（按部门预算经济分类）</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18、国有资本经营预算支出表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19、财政专户管理资金预算支出表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20、专项资金预算汇总表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21、项目支出绩效目标表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22、整体支出绩效目标表</w:t>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br w:type="textWrapping"/>
            </w:r>
            <w:r>
              <w:rPr>
                <w:rFonts w:hint="eastAsia" w:ascii="仿宋_GB2312" w:hAnsi="Calibri" w:eastAsia="仿宋_GB2312" w:cs="仿宋_GB2312"/>
                <w:i w:val="0"/>
                <w:iCs w:val="0"/>
                <w:caps w:val="0"/>
                <w:color w:val="000000"/>
                <w:spacing w:val="0"/>
                <w:kern w:val="0"/>
                <w:sz w:val="28"/>
                <w:szCs w:val="28"/>
                <w:bdr w:val="none" w:color="auto" w:sz="0" w:space="0"/>
                <w:lang w:val="en-US" w:eastAsia="zh-CN" w:bidi="ar"/>
              </w:rPr>
              <w:t>注：以上单位预算公开报表中，空表表示本单位无相关收支情况。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0" w:hRule="atLeast"/>
        </w:trPr>
        <w:tc>
          <w:tcPr>
            <w:tcW w:w="0" w:type="auto"/>
            <w:vMerge w:val="continue"/>
            <w:tcBorders>
              <w:top w:val="nil"/>
              <w:left w:val="nil"/>
              <w:bottom w:val="nil"/>
              <w:right w:val="nil"/>
            </w:tcBorders>
            <w:shd w:val="clear" w:color="auto" w:fill="FFFFFF"/>
            <w:tcMar>
              <w:top w:w="0" w:type="dxa"/>
              <w:left w:w="108" w:type="dxa"/>
              <w:bottom w:w="0" w:type="dxa"/>
              <w:right w:w="108" w:type="dxa"/>
            </w:tcMar>
            <w:vAlign w:val="center"/>
          </w:tcPr>
          <w:p>
            <w:pPr>
              <w:rPr>
                <w:rFonts w:hint="default" w:ascii="Times New Roman" w:hAnsi="Times New Roman" w:cs="Times New Roman"/>
                <w:i w:val="0"/>
                <w:iCs w:val="0"/>
                <w:caps w:val="0"/>
                <w:color w:val="000000"/>
                <w:spacing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B8F79B-2A9E-46FB-AE9F-16E9D7DA85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DE2697B2-157A-4088-A5F4-D7007A270CDA}"/>
  </w:font>
  <w:font w:name="仿宋_GB2312">
    <w:panose1 w:val="02010609030101010101"/>
    <w:charset w:val="86"/>
    <w:family w:val="auto"/>
    <w:pitch w:val="default"/>
    <w:sig w:usb0="00000001" w:usb1="080E0000" w:usb2="00000000" w:usb3="00000000" w:csb0="00040000" w:csb1="00000000"/>
    <w:embedRegular r:id="rId3" w:fontKey="{6C95D3C3-99AB-4E9A-A520-B742AB916856}"/>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roman"/>
    <w:pitch w:val="default"/>
    <w:sig w:usb0="A00002BF" w:usb1="38CF7CFA" w:usb2="00082016" w:usb3="00000000" w:csb0="00040001" w:csb1="00000000"/>
    <w:embedRegular r:id="rId4" w:fontKey="{D4238831-A4B9-4154-896E-D1722624216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GFmMTJjZDc5MTY3YTY1N2I2YTE3ZGU3YTY2NDUifQ=="/>
  </w:docVars>
  <w:rsids>
    <w:rsidRoot w:val="79975538"/>
    <w:rsid w:val="060F4036"/>
    <w:rsid w:val="312E36D8"/>
    <w:rsid w:val="3B51265F"/>
    <w:rsid w:val="4E542F0D"/>
    <w:rsid w:val="7997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80" w:lineRule="exact"/>
      <w:ind w:firstLine="0" w:firstLineChars="0"/>
      <w:jc w:val="both"/>
    </w:pPr>
    <w:rPr>
      <w:rFonts w:ascii="Times New Roman" w:hAnsi="Times New Roman" w:eastAsia="仿宋_GB2312" w:cstheme="minorBidi"/>
      <w:kern w:val="2"/>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ind w:firstLine="643" w:firstLineChars="200"/>
      <w:outlineLvl w:val="1"/>
    </w:pPr>
    <w:rPr>
      <w:rFonts w:ascii="Arial" w:hAnsi="Arial" w:eastAsia="黑体" w:cs="Times New Roman"/>
      <w:b/>
      <w:sz w:val="32"/>
    </w:rPr>
  </w:style>
  <w:style w:type="paragraph" w:styleId="4">
    <w:name w:val="heading 3"/>
    <w:basedOn w:val="1"/>
    <w:next w:val="1"/>
    <w:link w:val="7"/>
    <w:semiHidden/>
    <w:unhideWhenUsed/>
    <w:qFormat/>
    <w:uiPriority w:val="0"/>
    <w:pPr>
      <w:keepNext/>
      <w:keepLines/>
      <w:spacing w:before="260" w:beforeLines="0" w:beforeAutospacing="0" w:after="260" w:afterLines="0" w:afterAutospacing="0" w:line="413" w:lineRule="auto"/>
      <w:outlineLvl w:val="2"/>
    </w:pPr>
    <w:rPr>
      <w:rFonts w:ascii="Calibri" w:hAnsi="Calibri" w:eastAsia="楷体_GB2312" w:cs="Arial"/>
      <w:b/>
      <w:sz w:val="32"/>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character" w:customStyle="1" w:styleId="7">
    <w:name w:val="标题 3 Char"/>
    <w:link w:val="4"/>
    <w:qFormat/>
    <w:uiPriority w:val="0"/>
    <w:rPr>
      <w:rFonts w:ascii="Calibri" w:hAnsi="Calibri" w:eastAsia="楷体_GB2312" w:cs="Arial"/>
      <w:b/>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2023-09-06T09:27:00Z</dcterms:created>
  <dc:creator>German Phillip</dc:creator>
  <cp:lastModifiedBy>German Phillip</cp:lastModifiedBy>
  <dcterms:modified xsi:type="dcterms:W3CDTF">2023-09-06T09:31:04Z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03515137D6704CF9A4BBA43F26AE8C12_11</vt:lpwstr>
  </property>
</Properties>
</file>