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42" w:rsidRPr="00E05F42" w:rsidRDefault="00E05F42" w:rsidP="00E05F42">
      <w:pPr>
        <w:widowControl/>
        <w:shd w:val="clear" w:color="auto" w:fill="FFFFFF"/>
        <w:jc w:val="center"/>
        <w:rPr>
          <w:rFonts w:ascii="宋体" w:eastAsia="宋体" w:hAnsi="宋体" w:cs="宋体"/>
          <w:color w:val="555555"/>
          <w:kern w:val="0"/>
          <w:sz w:val="24"/>
          <w:szCs w:val="24"/>
        </w:rPr>
      </w:pPr>
      <w:r w:rsidRPr="00E05F42">
        <w:rPr>
          <w:rFonts w:ascii="Calibri" w:eastAsia="黑体" w:hAnsi="Calibri" w:cs="Calibri"/>
          <w:color w:val="000000"/>
          <w:kern w:val="0"/>
          <w:sz w:val="84"/>
          <w:szCs w:val="84"/>
        </w:rPr>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84"/>
          <w:szCs w:val="84"/>
        </w:rPr>
        <w:t>2021年度</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84"/>
          <w:szCs w:val="84"/>
        </w:rPr>
        <w:t>岳阳市公共资源交易中心</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84"/>
          <w:szCs w:val="84"/>
        </w:rPr>
        <w:t>部门决算</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Calibri" w:eastAsia="黑体" w:hAnsi="Calibri" w:cs="Calibri"/>
          <w:color w:val="000000"/>
          <w:kern w:val="0"/>
          <w:sz w:val="56"/>
          <w:szCs w:val="56"/>
        </w:rPr>
        <w:t> </w:t>
      </w:r>
      <w:r w:rsidRPr="00E05F42">
        <w:rPr>
          <w:rFonts w:ascii="Calibri" w:eastAsia="黑体" w:hAnsi="Calibri" w:cs="Calibri"/>
          <w:color w:val="000000"/>
          <w:kern w:val="0"/>
          <w:sz w:val="32"/>
          <w:szCs w:val="32"/>
        </w:rPr>
        <w:t> </w:t>
      </w:r>
    </w:p>
    <w:p w:rsidR="00E05F42" w:rsidRPr="00E05F42" w:rsidRDefault="00E05F42" w:rsidP="00E05F42">
      <w:pPr>
        <w:widowControl/>
        <w:shd w:val="clear" w:color="auto" w:fill="FFFFFF"/>
        <w:spacing w:line="500" w:lineRule="atLeast"/>
        <w:jc w:val="center"/>
        <w:rPr>
          <w:rFonts w:ascii="宋体" w:eastAsia="宋体" w:hAnsi="宋体" w:cs="宋体" w:hint="eastAsia"/>
          <w:color w:val="555555"/>
          <w:kern w:val="0"/>
          <w:sz w:val="24"/>
          <w:szCs w:val="24"/>
        </w:rPr>
      </w:pPr>
      <w:r w:rsidRPr="00E05F42">
        <w:rPr>
          <w:rFonts w:ascii="Calibri" w:eastAsia="黑体" w:hAnsi="Calibri" w:cs="Calibri"/>
          <w:b/>
          <w:bCs/>
          <w:color w:val="000000"/>
          <w:kern w:val="0"/>
          <w:sz w:val="36"/>
          <w:szCs w:val="36"/>
        </w:rPr>
        <w:t> </w:t>
      </w:r>
    </w:p>
    <w:p w:rsidR="00E05F42" w:rsidRPr="00E05F42" w:rsidRDefault="00E05F42" w:rsidP="00E05F42">
      <w:pPr>
        <w:widowControl/>
        <w:shd w:val="clear" w:color="auto" w:fill="FFFFFF"/>
        <w:spacing w:line="480" w:lineRule="atLeast"/>
        <w:jc w:val="center"/>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6"/>
          <w:szCs w:val="36"/>
        </w:rPr>
        <w:t>目录</w:t>
      </w:r>
    </w:p>
    <w:p w:rsidR="00E05F42" w:rsidRPr="00E05F42" w:rsidRDefault="00E05F42" w:rsidP="00E05F42">
      <w:pPr>
        <w:widowControl/>
        <w:shd w:val="clear" w:color="auto" w:fill="FFFFFF"/>
        <w:spacing w:line="480" w:lineRule="atLeast"/>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28"/>
          <w:szCs w:val="28"/>
        </w:rPr>
        <w:t>第一部分</w:t>
      </w:r>
      <w:r w:rsidRPr="00E05F42">
        <w:rPr>
          <w:rFonts w:ascii="Calibri" w:eastAsia="黑体" w:hAnsi="Calibri" w:cs="Calibri"/>
          <w:b/>
          <w:bCs/>
          <w:color w:val="000000"/>
          <w:kern w:val="0"/>
          <w:sz w:val="28"/>
          <w:szCs w:val="28"/>
        </w:rPr>
        <w:t>  </w:t>
      </w:r>
      <w:r w:rsidRPr="00E05F42">
        <w:rPr>
          <w:rFonts w:ascii="黑体" w:eastAsia="黑体" w:hAnsi="黑体" w:cs="宋体" w:hint="eastAsia"/>
          <w:b/>
          <w:bCs/>
          <w:color w:val="000000"/>
          <w:kern w:val="0"/>
          <w:sz w:val="28"/>
          <w:szCs w:val="28"/>
        </w:rPr>
        <w:t>岳阳市公共资源交易中心概况</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一、部门职责</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二、机构设置</w:t>
      </w:r>
    </w:p>
    <w:p w:rsidR="00E05F42" w:rsidRPr="00E05F42" w:rsidRDefault="00E05F42" w:rsidP="00E05F42">
      <w:pPr>
        <w:widowControl/>
        <w:shd w:val="clear" w:color="auto" w:fill="FFFFFF"/>
        <w:spacing w:line="480" w:lineRule="atLeast"/>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28"/>
          <w:szCs w:val="28"/>
        </w:rPr>
        <w:t>第二部分</w:t>
      </w:r>
      <w:r w:rsidRPr="00E05F42">
        <w:rPr>
          <w:rFonts w:ascii="Calibri" w:eastAsia="黑体" w:hAnsi="Calibri" w:cs="Calibri"/>
          <w:b/>
          <w:bCs/>
          <w:color w:val="000000"/>
          <w:kern w:val="0"/>
          <w:sz w:val="28"/>
          <w:szCs w:val="28"/>
        </w:rPr>
        <w:t>  </w:t>
      </w:r>
      <w:r w:rsidRPr="00E05F42">
        <w:rPr>
          <w:rFonts w:ascii="黑体" w:eastAsia="黑体" w:hAnsi="黑体" w:cs="宋体" w:hint="eastAsia"/>
          <w:b/>
          <w:bCs/>
          <w:color w:val="000000"/>
          <w:kern w:val="0"/>
          <w:sz w:val="28"/>
          <w:szCs w:val="28"/>
        </w:rPr>
        <w:t>2021年度部门决算表</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一、收入支出决算总表</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二、收入决算表</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三、支出决算表</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四、财政拨款收入支出决算总表</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五、一般公共预算财政拨款支出决算表</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lastRenderedPageBreak/>
        <w:t>六、一般公共预算财政拨款基本支出决算明细表</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七、一般公共预算财政拨款“三公”经费支出决算表</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八、政府性基金预算财政拨款收入支出决算表</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九、国有资本经营预算财政拨款支出决算表</w:t>
      </w:r>
    </w:p>
    <w:p w:rsidR="00E05F42" w:rsidRPr="00E05F42" w:rsidRDefault="00E05F42" w:rsidP="00E05F42">
      <w:pPr>
        <w:widowControl/>
        <w:shd w:val="clear" w:color="auto" w:fill="FFFFFF"/>
        <w:spacing w:line="480" w:lineRule="atLeast"/>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28"/>
          <w:szCs w:val="28"/>
        </w:rPr>
        <w:t>第三部分</w:t>
      </w:r>
      <w:r w:rsidRPr="00E05F42">
        <w:rPr>
          <w:rFonts w:ascii="Calibri" w:eastAsia="黑体" w:hAnsi="Calibri" w:cs="Calibri"/>
          <w:b/>
          <w:bCs/>
          <w:color w:val="000000"/>
          <w:kern w:val="0"/>
          <w:sz w:val="28"/>
          <w:szCs w:val="28"/>
        </w:rPr>
        <w:t>  </w:t>
      </w:r>
      <w:r w:rsidRPr="00E05F42">
        <w:rPr>
          <w:rFonts w:ascii="黑体" w:eastAsia="黑体" w:hAnsi="黑体" w:cs="宋体" w:hint="eastAsia"/>
          <w:b/>
          <w:bCs/>
          <w:color w:val="000000"/>
          <w:kern w:val="0"/>
          <w:sz w:val="28"/>
          <w:szCs w:val="28"/>
        </w:rPr>
        <w:t>2021年度部门决算情况说明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一、收入支出决算总体情况说明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28"/>
          <w:szCs w:val="28"/>
        </w:rPr>
        <w:t>二、收入决算情况说明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三、支出决算情况说明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四、财政拨款收入支出决算总体情况说明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五、一般公共预算财政拨款支出决算情况说明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六、一般公共预算财政拨款基本支出决算情况说明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七、一般公共预算财政拨款“三公”经费支出决算情况说明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八、政府性基金预算收入支出决算情况</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九、</w:t>
      </w:r>
      <w:r w:rsidRPr="00E05F42">
        <w:rPr>
          <w:rFonts w:ascii="宋体" w:eastAsia="宋体" w:hAnsi="宋体" w:cs="宋体" w:hint="eastAsia"/>
          <w:color w:val="555555"/>
          <w:kern w:val="0"/>
          <w:sz w:val="28"/>
          <w:szCs w:val="28"/>
        </w:rPr>
        <w:t>国有资本经营预算财政拨款支出决算情况</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十、机关运行经费支出说明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十一、一般性支出情况说明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28"/>
          <w:szCs w:val="28"/>
        </w:rPr>
        <w:t>十二、</w:t>
      </w:r>
      <w:r w:rsidRPr="00E05F42">
        <w:rPr>
          <w:rFonts w:ascii="宋体" w:eastAsia="宋体" w:hAnsi="宋体" w:cs="宋体" w:hint="eastAsia"/>
          <w:color w:val="000000"/>
          <w:kern w:val="0"/>
          <w:sz w:val="28"/>
          <w:szCs w:val="28"/>
        </w:rPr>
        <w:t>政府采购支出说明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十三、国有资产占用情况说明</w:t>
      </w:r>
    </w:p>
    <w:p w:rsidR="00E05F42" w:rsidRPr="00E05F42" w:rsidRDefault="00E05F42" w:rsidP="00E05F42">
      <w:pPr>
        <w:widowControl/>
        <w:shd w:val="clear" w:color="auto" w:fill="FFFFFF"/>
        <w:spacing w:line="480" w:lineRule="atLeast"/>
        <w:ind w:firstLine="7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28"/>
          <w:szCs w:val="28"/>
        </w:rPr>
        <w:t>十四、2021年度预算绩效情况说明</w:t>
      </w:r>
    </w:p>
    <w:p w:rsidR="00E05F42" w:rsidRPr="00E05F42" w:rsidRDefault="00E05F42" w:rsidP="00E05F42">
      <w:pPr>
        <w:widowControl/>
        <w:shd w:val="clear" w:color="auto" w:fill="FFFFFF"/>
        <w:spacing w:line="480" w:lineRule="atLeast"/>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28"/>
          <w:szCs w:val="28"/>
        </w:rPr>
        <w:t>第四部分</w:t>
      </w:r>
      <w:r w:rsidRPr="00E05F42">
        <w:rPr>
          <w:rFonts w:ascii="Calibri" w:eastAsia="黑体" w:hAnsi="Calibri" w:cs="Calibri"/>
          <w:b/>
          <w:bCs/>
          <w:color w:val="000000"/>
          <w:kern w:val="0"/>
          <w:sz w:val="28"/>
          <w:szCs w:val="28"/>
        </w:rPr>
        <w:t>  </w:t>
      </w:r>
      <w:r w:rsidRPr="00E05F42">
        <w:rPr>
          <w:rFonts w:ascii="黑体" w:eastAsia="黑体" w:hAnsi="黑体" w:cs="宋体" w:hint="eastAsia"/>
          <w:b/>
          <w:bCs/>
          <w:color w:val="000000"/>
          <w:kern w:val="0"/>
          <w:sz w:val="28"/>
          <w:szCs w:val="28"/>
        </w:rPr>
        <w:t>名词解释</w:t>
      </w:r>
    </w:p>
    <w:p w:rsidR="00E05F42" w:rsidRPr="00E05F42" w:rsidRDefault="00E05F42" w:rsidP="00E05F42">
      <w:pPr>
        <w:widowControl/>
        <w:shd w:val="clear" w:color="auto" w:fill="FFFFFF"/>
        <w:spacing w:line="480" w:lineRule="atLeast"/>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28"/>
          <w:szCs w:val="28"/>
        </w:rPr>
        <w:t>第五部分</w:t>
      </w:r>
      <w:r w:rsidRPr="00E05F42">
        <w:rPr>
          <w:rFonts w:ascii="Calibri" w:eastAsia="黑体" w:hAnsi="Calibri" w:cs="Calibri"/>
          <w:b/>
          <w:bCs/>
          <w:color w:val="000000"/>
          <w:kern w:val="0"/>
          <w:sz w:val="28"/>
          <w:szCs w:val="28"/>
        </w:rPr>
        <w:t>  </w:t>
      </w:r>
      <w:r w:rsidRPr="00E05F42">
        <w:rPr>
          <w:rFonts w:ascii="黑体" w:eastAsia="黑体" w:hAnsi="黑体" w:cs="宋体" w:hint="eastAsia"/>
          <w:b/>
          <w:bCs/>
          <w:color w:val="000000"/>
          <w:kern w:val="0"/>
          <w:sz w:val="28"/>
          <w:szCs w:val="28"/>
        </w:rPr>
        <w:t>附件</w:t>
      </w:r>
    </w:p>
    <w:p w:rsidR="00E05F42" w:rsidRPr="00E05F42" w:rsidRDefault="00E05F42" w:rsidP="00E05F42">
      <w:pPr>
        <w:widowControl/>
        <w:shd w:val="clear" w:color="auto" w:fill="FFFFFF"/>
        <w:spacing w:line="620" w:lineRule="atLeast"/>
        <w:jc w:val="center"/>
        <w:rPr>
          <w:rFonts w:ascii="宋体" w:eastAsia="宋体" w:hAnsi="宋体" w:cs="宋体" w:hint="eastAsia"/>
          <w:color w:val="555555"/>
          <w:kern w:val="0"/>
          <w:sz w:val="24"/>
          <w:szCs w:val="24"/>
        </w:rPr>
      </w:pPr>
      <w:r w:rsidRPr="00E05F42">
        <w:rPr>
          <w:rFonts w:ascii="Calibri" w:eastAsia="宋体" w:hAnsi="Calibri" w:cs="Calibri"/>
          <w:color w:val="555555"/>
          <w:kern w:val="0"/>
          <w:sz w:val="72"/>
          <w:szCs w:val="72"/>
        </w:rPr>
        <w:lastRenderedPageBreak/>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Calibri" w:eastAsia="宋体" w:hAnsi="Calibri" w:cs="Calibri"/>
          <w:color w:val="555555"/>
          <w:kern w:val="0"/>
          <w:sz w:val="72"/>
          <w:szCs w:val="72"/>
        </w:rPr>
        <w:br/>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84"/>
          <w:szCs w:val="84"/>
        </w:rPr>
        <w:t>第一部分</w:t>
      </w:r>
      <w:r w:rsidRPr="00E05F42">
        <w:rPr>
          <w:rFonts w:ascii="Calibri" w:eastAsia="黑体" w:hAnsi="Calibri" w:cs="Calibri"/>
          <w:color w:val="000000"/>
          <w:kern w:val="0"/>
          <w:sz w:val="84"/>
          <w:szCs w:val="84"/>
        </w:rPr>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Calibri" w:eastAsia="黑体" w:hAnsi="Calibri" w:cs="Calibri"/>
          <w:color w:val="000000"/>
          <w:kern w:val="0"/>
          <w:sz w:val="84"/>
          <w:szCs w:val="84"/>
        </w:rPr>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84"/>
          <w:szCs w:val="84"/>
        </w:rPr>
        <w:t>岳阳市公共资源交易中心概况</w:t>
      </w:r>
    </w:p>
    <w:p w:rsidR="00E05F42" w:rsidRPr="00E05F42" w:rsidRDefault="00E05F42" w:rsidP="00E05F42">
      <w:pPr>
        <w:widowControl/>
        <w:shd w:val="clear" w:color="auto" w:fill="FFFFFF"/>
        <w:ind w:left="720"/>
        <w:jc w:val="left"/>
        <w:rPr>
          <w:rFonts w:ascii="宋体" w:eastAsia="宋体" w:hAnsi="宋体" w:cs="宋体" w:hint="eastAsia"/>
          <w:color w:val="555555"/>
          <w:kern w:val="0"/>
          <w:sz w:val="24"/>
          <w:szCs w:val="24"/>
        </w:rPr>
      </w:pPr>
      <w:r w:rsidRPr="00E05F42">
        <w:rPr>
          <w:rFonts w:ascii="Calibri" w:eastAsia="黑体" w:hAnsi="Calibri" w:cs="Calibri"/>
          <w:color w:val="555555"/>
          <w:kern w:val="0"/>
          <w:sz w:val="32"/>
          <w:szCs w:val="32"/>
        </w:rPr>
        <w:t> </w:t>
      </w:r>
    </w:p>
    <w:p w:rsidR="00E05F42" w:rsidRPr="00E05F42" w:rsidRDefault="00E05F42" w:rsidP="00E05F42">
      <w:pPr>
        <w:widowControl/>
        <w:shd w:val="clear" w:color="auto" w:fill="FFFFFF"/>
        <w:ind w:left="720"/>
        <w:jc w:val="left"/>
        <w:rPr>
          <w:rFonts w:ascii="宋体" w:eastAsia="宋体" w:hAnsi="宋体" w:cs="宋体" w:hint="eastAsia"/>
          <w:color w:val="555555"/>
          <w:kern w:val="0"/>
          <w:sz w:val="24"/>
          <w:szCs w:val="24"/>
        </w:rPr>
      </w:pPr>
      <w:r w:rsidRPr="00E05F42">
        <w:rPr>
          <w:rFonts w:ascii="黑体" w:eastAsia="黑体" w:hAnsi="黑体" w:cs="宋体" w:hint="eastAsia"/>
          <w:color w:val="555555"/>
          <w:kern w:val="0"/>
          <w:sz w:val="32"/>
          <w:szCs w:val="32"/>
        </w:rPr>
        <w:br/>
      </w:r>
    </w:p>
    <w:p w:rsidR="00E05F42" w:rsidRPr="00E05F42" w:rsidRDefault="00E05F42" w:rsidP="00E05F42">
      <w:pPr>
        <w:widowControl/>
        <w:shd w:val="clear" w:color="auto" w:fill="FFFFFF"/>
        <w:ind w:left="720" w:hanging="720"/>
        <w:jc w:val="left"/>
        <w:rPr>
          <w:rFonts w:ascii="宋体" w:eastAsia="宋体" w:hAnsi="宋体" w:cs="宋体" w:hint="eastAsia"/>
          <w:color w:val="555555"/>
          <w:kern w:val="0"/>
          <w:sz w:val="24"/>
          <w:szCs w:val="24"/>
        </w:rPr>
      </w:pPr>
      <w:r w:rsidRPr="00E05F42">
        <w:rPr>
          <w:rFonts w:ascii="黑体" w:eastAsia="黑体" w:hAnsi="黑体" w:cs="宋体" w:hint="eastAsia"/>
          <w:color w:val="555555"/>
          <w:kern w:val="0"/>
          <w:sz w:val="32"/>
          <w:szCs w:val="32"/>
        </w:rPr>
        <w:t>一、</w:t>
      </w:r>
      <w:r w:rsidRPr="00E05F42">
        <w:rPr>
          <w:rFonts w:ascii="Calibri" w:eastAsia="黑体" w:hAnsi="Calibri" w:cs="Calibri"/>
          <w:color w:val="555555"/>
          <w:kern w:val="0"/>
          <w:sz w:val="32"/>
          <w:szCs w:val="32"/>
        </w:rPr>
        <w:t> </w:t>
      </w:r>
      <w:r w:rsidRPr="00E05F42">
        <w:rPr>
          <w:rFonts w:ascii="黑体" w:eastAsia="黑体" w:hAnsi="黑体" w:cs="宋体" w:hint="eastAsia"/>
          <w:color w:val="555555"/>
          <w:kern w:val="0"/>
          <w:sz w:val="32"/>
          <w:szCs w:val="32"/>
        </w:rPr>
        <w:t>部门职责</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32"/>
          <w:szCs w:val="32"/>
          <w:shd w:val="clear" w:color="auto" w:fill="FFFFFF"/>
        </w:rPr>
        <w:t>（一）</w:t>
      </w:r>
      <w:r w:rsidRPr="00E05F42">
        <w:rPr>
          <w:rFonts w:ascii="宋体" w:eastAsia="宋体" w:hAnsi="宋体" w:cs="宋体" w:hint="eastAsia"/>
          <w:color w:val="555555"/>
          <w:kern w:val="0"/>
          <w:sz w:val="24"/>
          <w:szCs w:val="24"/>
          <w:shd w:val="clear" w:color="auto" w:fill="FFFFFF"/>
        </w:rPr>
        <w:t>2015年9月29日，中共岳阳市委机构编制委员会下发（岳编发【2015】13号）《关于成立岳阳市公共资源交易中心的通知》，成立岳阳市公共资源交易中心，为市政府直属正处级公益一类全额拨款事业单位。根据岳办发【2016】1号《关于印发&lt;岳阳市公共资源交易中心主要职责内设机构和人员编制规定&gt;的通知》，岳政办发【2016】13号《关于印发&lt;整合建立统一的公共资源交易平台工作实施方案&gt;的通知》的要求，撤销市国土资源局下属的国土资源交易中心，市住房和城乡建设局下属市建设工程交易中心（岳阳市人民政府工程招投标交易中心），其人员编制一并划入市公共资源交易中心（以下简称我中心）。2016年4月15日市政府召开整合会，我中心正式挂牌运行。</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32"/>
          <w:szCs w:val="32"/>
          <w:shd w:val="clear" w:color="auto" w:fill="FFFFFF"/>
        </w:rPr>
        <w:t>（二）</w:t>
      </w:r>
      <w:r w:rsidRPr="00E05F42">
        <w:rPr>
          <w:rFonts w:ascii="宋体" w:eastAsia="宋体" w:hAnsi="宋体" w:cs="宋体" w:hint="eastAsia"/>
          <w:color w:val="555555"/>
          <w:kern w:val="0"/>
          <w:sz w:val="24"/>
          <w:szCs w:val="24"/>
          <w:shd w:val="clear" w:color="auto" w:fill="FFFFFF"/>
        </w:rPr>
        <w:t>我中心主要职能是：</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24"/>
          <w:szCs w:val="24"/>
          <w:shd w:val="clear" w:color="auto" w:fill="FFFFFF"/>
        </w:rPr>
        <w:t>1、负责市级公共资源交易平台及信息网络系统建设运行管理；依法依规为进入市级公共资源交易平台的各类公共资源交易活动提供场所、设施和服务；</w:t>
      </w:r>
      <w:r w:rsidRPr="00E05F42">
        <w:rPr>
          <w:rFonts w:ascii="宋体" w:eastAsia="宋体" w:hAnsi="宋体" w:cs="宋体" w:hint="eastAsia"/>
          <w:color w:val="555555"/>
          <w:kern w:val="0"/>
          <w:sz w:val="24"/>
          <w:szCs w:val="24"/>
          <w:shd w:val="clear" w:color="auto" w:fill="FFFFFF"/>
        </w:rPr>
        <w:lastRenderedPageBreak/>
        <w:t>为电子交易和监管系统提供对接服务；组织平台内交易活动，维护交易现场秩序；’在相关行政部门监督下，承担专家抽取、考核有关工作。</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24"/>
          <w:szCs w:val="24"/>
          <w:shd w:val="clear" w:color="auto" w:fill="FFFFFF"/>
        </w:rPr>
        <w:t>2、配合有关部门研究制定平台内交易活动的技术标准、交易流程、操作规程和现场管理制度；为有关部门核验公共资源交易主体，从业人员资质、资格以及平台内交易项目等提供服务。</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24"/>
          <w:szCs w:val="24"/>
          <w:shd w:val="clear" w:color="auto" w:fill="FFFFFF"/>
        </w:rPr>
        <w:t>3、依法受理各类公共资源交易申请，依法收集、储存、发布各类公共资源交易的相关信息，为市场主体提供信息咨询服务；记录、整理、归档、保存交易过程相关资料；协助相关行政部门建立和管理专家数据库；配合相关部门宣传和贯彻落实国家、省、市公共资源交易有关法律、法规和政策。</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24"/>
          <w:szCs w:val="24"/>
          <w:shd w:val="clear" w:color="auto" w:fill="FFFFFF"/>
        </w:rPr>
        <w:t>4、负责全市公共资源交易保证金的收退，负责核实评审资料，办理交易确认书。</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24"/>
          <w:szCs w:val="24"/>
          <w:shd w:val="clear" w:color="auto" w:fill="FFFFFF"/>
        </w:rPr>
        <w:t>5、负责全市公共资源交易监管网的日常运行和维护，为行业监管、行政监察提供平台服务，协调配合行政监督部门、纪检监察机关的执法工作；对参与平台内交易活动的相关人员、机构的活动进行评估；记录、留存违反交易现场管理制度行为的证据资料，及时报告交易活动中的违规、违纪行为。</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24"/>
          <w:szCs w:val="24"/>
          <w:shd w:val="clear" w:color="auto" w:fill="FFFFFF"/>
        </w:rPr>
        <w:t>6、承担市委、市政府和公共资源交易管理委员会交办的其它工作。</w:t>
      </w:r>
    </w:p>
    <w:p w:rsidR="00E05F42" w:rsidRPr="00E05F42" w:rsidRDefault="00E05F42" w:rsidP="00E05F42">
      <w:pPr>
        <w:widowControl/>
        <w:shd w:val="clear" w:color="auto" w:fill="FFFFFF"/>
        <w:spacing w:line="600" w:lineRule="atLeast"/>
        <w:jc w:val="left"/>
        <w:rPr>
          <w:rFonts w:ascii="宋体" w:eastAsia="宋体" w:hAnsi="宋体" w:cs="宋体" w:hint="eastAsia"/>
          <w:color w:val="555555"/>
          <w:kern w:val="0"/>
          <w:sz w:val="24"/>
          <w:szCs w:val="24"/>
        </w:rPr>
      </w:pPr>
      <w:r w:rsidRPr="00E05F42">
        <w:rPr>
          <w:rFonts w:ascii="黑体" w:eastAsia="黑体" w:hAnsi="黑体" w:cs="宋体" w:hint="eastAsia"/>
          <w:color w:val="555555"/>
          <w:kern w:val="0"/>
          <w:sz w:val="32"/>
          <w:szCs w:val="32"/>
        </w:rPr>
        <w:t>二、机构设置及决算单位构成</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32"/>
          <w:szCs w:val="32"/>
          <w:shd w:val="clear" w:color="auto" w:fill="FFFFFF"/>
        </w:rPr>
        <w:t>（一）内设机构设置。</w:t>
      </w:r>
      <w:r w:rsidRPr="00E05F42">
        <w:rPr>
          <w:rFonts w:ascii="宋体" w:eastAsia="宋体" w:hAnsi="宋体" w:cs="宋体" w:hint="eastAsia"/>
          <w:color w:val="555555"/>
          <w:kern w:val="0"/>
          <w:sz w:val="24"/>
          <w:szCs w:val="24"/>
          <w:shd w:val="clear" w:color="auto" w:fill="FFFFFF"/>
        </w:rPr>
        <w:t>我中心设综合部、人事部、财务部、信息技术部、交易服务部、现场管理部、政府采购交易部、工程建设交易部、国有产权交易部、自然资源交易部等10个内设机构。目前，中心共有在职干部职工49人，其中处级干部3人（含军转干部1人），科级干部26人，科员20人；退休人员6人；政府购买服务1人，全部纳入2021年部门预算编制范围。</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24"/>
          <w:szCs w:val="24"/>
          <w:shd w:val="clear" w:color="auto" w:fill="FFFFFF"/>
        </w:rPr>
        <w:t> </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32"/>
          <w:szCs w:val="32"/>
          <w:shd w:val="clear" w:color="auto" w:fill="FFFFFF"/>
        </w:rPr>
        <w:t>（二）决算单位构成。</w:t>
      </w:r>
      <w:r w:rsidRPr="00E05F42">
        <w:rPr>
          <w:rFonts w:ascii="宋体" w:eastAsia="宋体" w:hAnsi="宋体" w:cs="宋体" w:hint="eastAsia"/>
          <w:color w:val="555555"/>
          <w:kern w:val="0"/>
          <w:sz w:val="24"/>
          <w:szCs w:val="24"/>
          <w:shd w:val="clear" w:color="auto" w:fill="FFFFFF"/>
        </w:rPr>
        <w:t>岳阳市公共资源交易中心</w:t>
      </w:r>
      <w:r>
        <w:rPr>
          <w:rFonts w:ascii="宋体" w:eastAsia="宋体" w:hAnsi="宋体" w:cs="宋体" w:hint="eastAsia"/>
          <w:color w:val="555555"/>
          <w:kern w:val="0"/>
          <w:sz w:val="24"/>
          <w:szCs w:val="24"/>
          <w:shd w:val="clear" w:color="auto" w:fill="FFFFFF"/>
        </w:rPr>
        <w:t>202</w:t>
      </w:r>
      <w:r>
        <w:rPr>
          <w:rFonts w:ascii="宋体" w:eastAsia="宋体" w:hAnsi="宋体" w:cs="宋体"/>
          <w:color w:val="555555"/>
          <w:kern w:val="0"/>
          <w:sz w:val="24"/>
          <w:szCs w:val="24"/>
          <w:shd w:val="clear" w:color="auto" w:fill="FFFFFF"/>
        </w:rPr>
        <w:t>1</w:t>
      </w:r>
      <w:r w:rsidRPr="00E05F42">
        <w:rPr>
          <w:rFonts w:ascii="宋体" w:eastAsia="宋体" w:hAnsi="宋体" w:cs="宋体" w:hint="eastAsia"/>
          <w:color w:val="555555"/>
          <w:kern w:val="0"/>
          <w:sz w:val="24"/>
          <w:szCs w:val="24"/>
          <w:shd w:val="clear" w:color="auto" w:fill="FFFFFF"/>
        </w:rPr>
        <w:t>年部门决算汇总公开单位构成包括：岳阳市公共资源交易中心本级。</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仿宋_GB2312" w:eastAsia="仿宋_GB2312" w:hAnsi="宋体" w:cs="宋体" w:hint="eastAsia"/>
          <w:color w:val="555555"/>
          <w:kern w:val="0"/>
          <w:sz w:val="28"/>
          <w:szCs w:val="28"/>
        </w:rPr>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Calibri" w:eastAsia="黑体" w:hAnsi="Calibri" w:cs="Calibri"/>
          <w:color w:val="555555"/>
          <w:kern w:val="0"/>
          <w:sz w:val="28"/>
          <w:szCs w:val="28"/>
        </w:rPr>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Calibri" w:eastAsia="宋体" w:hAnsi="Calibri" w:cs="Calibri"/>
          <w:color w:val="555555"/>
          <w:kern w:val="0"/>
          <w:sz w:val="72"/>
          <w:szCs w:val="72"/>
        </w:rPr>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555555"/>
          <w:kern w:val="0"/>
          <w:sz w:val="84"/>
          <w:szCs w:val="84"/>
        </w:rPr>
        <w:t>第二部分</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Calibri" w:eastAsia="黑体" w:hAnsi="Calibri" w:cs="Calibri"/>
          <w:color w:val="555555"/>
          <w:kern w:val="0"/>
          <w:sz w:val="84"/>
          <w:szCs w:val="84"/>
        </w:rPr>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555555"/>
          <w:kern w:val="0"/>
          <w:sz w:val="84"/>
          <w:szCs w:val="84"/>
        </w:rPr>
        <w:lastRenderedPageBreak/>
        <w:t>部门决算表</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555555"/>
          <w:kern w:val="0"/>
          <w:sz w:val="84"/>
          <w:szCs w:val="84"/>
        </w:rPr>
        <w:t>（见附件）</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Calibri" w:eastAsia="宋体" w:hAnsi="Calibri" w:cs="Calibri"/>
          <w:color w:val="555555"/>
          <w:kern w:val="0"/>
          <w:sz w:val="84"/>
          <w:szCs w:val="84"/>
        </w:rPr>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Calibri" w:eastAsia="宋体" w:hAnsi="Calibri" w:cs="Calibri"/>
          <w:color w:val="555555"/>
          <w:kern w:val="0"/>
          <w:sz w:val="72"/>
          <w:szCs w:val="72"/>
        </w:rPr>
        <w:br/>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72"/>
          <w:szCs w:val="72"/>
        </w:rPr>
        <w:t>第三部分</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Calibri" w:eastAsia="黑体" w:hAnsi="Calibri" w:cs="Calibri"/>
          <w:color w:val="000000"/>
          <w:kern w:val="0"/>
          <w:sz w:val="70"/>
          <w:szCs w:val="70"/>
        </w:rPr>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70"/>
          <w:szCs w:val="70"/>
        </w:rPr>
        <w:t>2021年度部门决算情况说明</w:t>
      </w:r>
      <w:r w:rsidRPr="00E05F42">
        <w:rPr>
          <w:rFonts w:ascii="Calibri" w:eastAsia="黑体" w:hAnsi="Calibri" w:cs="Calibri"/>
          <w:color w:val="000000"/>
          <w:kern w:val="0"/>
          <w:sz w:val="70"/>
          <w:szCs w:val="70"/>
        </w:rPr>
        <w:br w:type="textWrapping" w:clear="all"/>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 </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一、收入支出决算总体情况说明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2021年度收入总计2078.06万元，与上年相比，减少116.44万元、减少5%，主要是</w:t>
      </w:r>
      <w:r w:rsidRPr="00E05F42">
        <w:rPr>
          <w:rFonts w:ascii="宋体" w:eastAsia="宋体" w:hAnsi="宋体" w:cs="宋体" w:hint="eastAsia"/>
          <w:color w:val="000000"/>
          <w:kern w:val="0"/>
          <w:sz w:val="32"/>
          <w:szCs w:val="32"/>
          <w:shd w:val="clear" w:color="auto" w:fill="FFFFFF"/>
        </w:rPr>
        <w:t>因为压缩经费，导致我中心收入减少</w:t>
      </w:r>
      <w:r w:rsidRPr="00E05F42">
        <w:rPr>
          <w:rFonts w:ascii="宋体" w:eastAsia="宋体" w:hAnsi="宋体" w:cs="宋体" w:hint="eastAsia"/>
          <w:color w:val="000000"/>
          <w:kern w:val="0"/>
          <w:sz w:val="32"/>
          <w:szCs w:val="32"/>
        </w:rPr>
        <w:t>。2021年度支出总计2078.06万元。与上年相比，减少90.72万元，减少4%，主要是因为中心压减支出导致。</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二、收入决算情况说明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lastRenderedPageBreak/>
        <w:t>2021年度收入合计2052.34万元，其中：财政拨款收入2052.34万元，占100%。</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三、支出决算情况说明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2021年度支出合计2078.06万元，其中：基本支出584.04万元，占28%；项目支出1494.02万元，占72%。</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四、财政拨款收入支出决算总体情况说明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2021年度财政拨款收入总计2078.06万元，与上年相比，减少116.44万元减少5%，主要是</w:t>
      </w:r>
      <w:r w:rsidRPr="00E05F42">
        <w:rPr>
          <w:rFonts w:ascii="宋体" w:eastAsia="宋体" w:hAnsi="宋体" w:cs="宋体" w:hint="eastAsia"/>
          <w:color w:val="000000"/>
          <w:kern w:val="0"/>
          <w:sz w:val="32"/>
          <w:szCs w:val="32"/>
          <w:shd w:val="clear" w:color="auto" w:fill="FFFFFF"/>
        </w:rPr>
        <w:t>因为压缩经费，导致我中心收入减少。</w:t>
      </w:r>
      <w:r w:rsidRPr="00E05F42">
        <w:rPr>
          <w:rFonts w:ascii="宋体" w:eastAsia="宋体" w:hAnsi="宋体" w:cs="宋体" w:hint="eastAsia"/>
          <w:color w:val="000000"/>
          <w:kern w:val="0"/>
          <w:sz w:val="32"/>
          <w:szCs w:val="32"/>
        </w:rPr>
        <w:t>2021年度财政拨款支出总计2078.06万元。与上年相比，减少90.72万元，减少4%，主要是因为中心压减支出导致。</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五、一般公共预算财政拨款支出决算情况说明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b/>
          <w:bCs/>
          <w:color w:val="000000"/>
          <w:kern w:val="0"/>
          <w:sz w:val="32"/>
          <w:szCs w:val="32"/>
        </w:rPr>
        <w:t>（一）财政拨款支出决算总体情况</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2021年度财政拨款支出2078.06万元，占本年支出合计的100%，与上年相比，财政拨款支出减少90.72万元，减少4%，主要是因为中心压减支出导致。</w:t>
      </w:r>
    </w:p>
    <w:p w:rsidR="00E05F42" w:rsidRPr="00E05F42" w:rsidRDefault="00E05F42" w:rsidP="00E05F42">
      <w:pPr>
        <w:widowControl/>
        <w:shd w:val="clear" w:color="auto" w:fill="FFFFFF"/>
        <w:ind w:firstLine="480"/>
        <w:jc w:val="left"/>
        <w:rPr>
          <w:rFonts w:ascii="宋体" w:eastAsia="宋体" w:hAnsi="宋体" w:cs="宋体" w:hint="eastAsia"/>
          <w:color w:val="555555"/>
          <w:kern w:val="0"/>
          <w:sz w:val="24"/>
          <w:szCs w:val="24"/>
        </w:rPr>
      </w:pPr>
      <w:r w:rsidRPr="00E05F42">
        <w:rPr>
          <w:rFonts w:ascii="宋体" w:eastAsia="宋体" w:hAnsi="宋体" w:cs="宋体" w:hint="eastAsia"/>
          <w:b/>
          <w:bCs/>
          <w:color w:val="000000"/>
          <w:kern w:val="0"/>
          <w:sz w:val="32"/>
          <w:szCs w:val="32"/>
        </w:rPr>
        <w:t>（二）财政拨款支出决算结构情况</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2021年度财政拨款支出2078.06万元，主要用于以下方面：一般公共服务（类）支出1999.11万元，占96%；社会保障和就业</w:t>
      </w:r>
      <w:r w:rsidRPr="00E05F42">
        <w:rPr>
          <w:rFonts w:ascii="宋体" w:eastAsia="宋体" w:hAnsi="宋体" w:cs="宋体" w:hint="eastAsia"/>
          <w:color w:val="000000"/>
          <w:kern w:val="0"/>
          <w:sz w:val="32"/>
          <w:szCs w:val="32"/>
          <w:shd w:val="clear" w:color="auto" w:fill="FFFFFF"/>
        </w:rPr>
        <w:t>（类）</w:t>
      </w:r>
      <w:r w:rsidRPr="00E05F42">
        <w:rPr>
          <w:rFonts w:ascii="宋体" w:eastAsia="宋体" w:hAnsi="宋体" w:cs="宋体" w:hint="eastAsia"/>
          <w:color w:val="000000"/>
          <w:kern w:val="0"/>
          <w:sz w:val="32"/>
          <w:szCs w:val="32"/>
        </w:rPr>
        <w:t>支出54.23万元，占3%;卫生健康</w:t>
      </w:r>
      <w:r w:rsidRPr="00E05F42">
        <w:rPr>
          <w:rFonts w:ascii="宋体" w:eastAsia="宋体" w:hAnsi="宋体" w:cs="宋体" w:hint="eastAsia"/>
          <w:color w:val="000000"/>
          <w:kern w:val="0"/>
          <w:sz w:val="32"/>
          <w:szCs w:val="32"/>
          <w:shd w:val="clear" w:color="auto" w:fill="FFFFFF"/>
        </w:rPr>
        <w:t>（类）</w:t>
      </w:r>
      <w:r w:rsidRPr="00E05F42">
        <w:rPr>
          <w:rFonts w:ascii="宋体" w:eastAsia="宋体" w:hAnsi="宋体" w:cs="宋体" w:hint="eastAsia"/>
          <w:color w:val="000000"/>
          <w:kern w:val="0"/>
          <w:sz w:val="32"/>
          <w:szCs w:val="32"/>
        </w:rPr>
        <w:t>支出24.72万元，占1%。</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b/>
          <w:bCs/>
          <w:color w:val="000000"/>
          <w:kern w:val="0"/>
          <w:sz w:val="32"/>
          <w:szCs w:val="32"/>
        </w:rPr>
        <w:t>（三）财政拨款支出决算具体情况</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lastRenderedPageBreak/>
        <w:t>2021年度财政拨款支出年初预算数为3498.57万元，支出决算数为2078.06万元，完成年初预算的59%，其中：</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1、</w:t>
      </w:r>
      <w:r w:rsidRPr="00E05F42">
        <w:rPr>
          <w:rFonts w:ascii="宋体" w:eastAsia="宋体" w:hAnsi="宋体" w:cs="宋体" w:hint="eastAsia"/>
          <w:color w:val="000000"/>
          <w:kern w:val="0"/>
          <w:sz w:val="32"/>
          <w:szCs w:val="32"/>
          <w:shd w:val="clear" w:color="auto" w:fill="FFFFFF"/>
        </w:rPr>
        <w:t>一般公共服务（类）政府办公厅及相关机构事务（款）行政运行（项）。</w:t>
      </w:r>
    </w:p>
    <w:p w:rsidR="00E05F42" w:rsidRPr="00E05F42" w:rsidRDefault="00E05F42" w:rsidP="00E05F42">
      <w:pPr>
        <w:widowControl/>
        <w:shd w:val="clear" w:color="auto" w:fill="FFFFFF"/>
        <w:spacing w:line="504" w:lineRule="atLeast"/>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32"/>
          <w:szCs w:val="32"/>
        </w:rPr>
        <w:t>年初预算为381.52万元，支出决算为505.09万元，完成年初预算的132%，决算数大于年初预算数的主要原因是：</w:t>
      </w:r>
      <w:r w:rsidRPr="00E05F42">
        <w:rPr>
          <w:rFonts w:ascii="宋体" w:eastAsia="宋体" w:hAnsi="宋体" w:cs="宋体" w:hint="eastAsia"/>
          <w:color w:val="000000"/>
          <w:kern w:val="0"/>
          <w:sz w:val="32"/>
          <w:szCs w:val="32"/>
          <w:shd w:val="clear" w:color="auto" w:fill="FFFFFF"/>
        </w:rPr>
        <w:t>含单位住房公积金费用及绩效考核奖励金。</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2、</w:t>
      </w:r>
      <w:r w:rsidRPr="00E05F42">
        <w:rPr>
          <w:rFonts w:ascii="宋体" w:eastAsia="宋体" w:hAnsi="宋体" w:cs="宋体" w:hint="eastAsia"/>
          <w:color w:val="000000"/>
          <w:kern w:val="0"/>
          <w:sz w:val="32"/>
          <w:szCs w:val="32"/>
          <w:shd w:val="clear" w:color="auto" w:fill="FFFFFF"/>
        </w:rPr>
        <w:t>一般公共服务（类）政府办公厅及相关机构事务（款）一般行政管理事务（项）。</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年初预算为3000万元，支出决算为1494.02万元，完成年初预算的50%，决算数小于年初预算数的主要原因是：</w:t>
      </w:r>
      <w:r w:rsidRPr="00E05F42">
        <w:rPr>
          <w:rFonts w:ascii="宋体" w:eastAsia="宋体" w:hAnsi="宋体" w:cs="宋体" w:hint="eastAsia"/>
          <w:color w:val="000000"/>
          <w:kern w:val="0"/>
          <w:sz w:val="32"/>
          <w:szCs w:val="32"/>
          <w:shd w:val="clear" w:color="auto" w:fill="FFFFFF"/>
        </w:rPr>
        <w:t>年初预算数3000万元为我中心2020年制定的非税收入计划，并非实际拨款金额。</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shd w:val="clear" w:color="auto" w:fill="FFFFFF"/>
        </w:rPr>
        <w:t>3、社会保障和就业支出（类）行政事业单位养老支出（款）机关事业单位基本养老保险缴费支出（项）</w:t>
      </w:r>
    </w:p>
    <w:p w:rsidR="00E05F42" w:rsidRPr="00E05F42" w:rsidRDefault="00E05F42" w:rsidP="00E05F42">
      <w:pPr>
        <w:widowControl/>
        <w:shd w:val="clear" w:color="auto" w:fill="FFFFFF"/>
        <w:ind w:firstLine="96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shd w:val="clear" w:color="auto" w:fill="FFFFFF"/>
        </w:rPr>
        <w:t>年初预算为49.76万元，支出决算为49.76万元，完成年初预算的100%，决算数与年初预算数一致。</w:t>
      </w:r>
    </w:p>
    <w:p w:rsidR="00E05F42" w:rsidRPr="00E05F42" w:rsidRDefault="00E05F42" w:rsidP="00E05F42">
      <w:pPr>
        <w:widowControl/>
        <w:shd w:val="clear" w:color="auto" w:fill="FFFFFF"/>
        <w:ind w:firstLine="96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shd w:val="clear" w:color="auto" w:fill="FFFFFF"/>
        </w:rPr>
        <w:t>4、社会保障和就业支出（类）残疾人事业（款）其他残疾人事业支出（项）</w:t>
      </w:r>
      <w:r w:rsidRPr="00E05F42">
        <w:rPr>
          <w:rFonts w:ascii="宋体" w:eastAsia="宋体" w:hAnsi="宋体" w:cs="宋体" w:hint="eastAsia"/>
          <w:color w:val="000000"/>
          <w:kern w:val="0"/>
          <w:sz w:val="32"/>
          <w:szCs w:val="32"/>
          <w:shd w:val="clear" w:color="auto" w:fill="FFFFFF"/>
        </w:rPr>
        <w:br/>
      </w:r>
      <w:r w:rsidRPr="00E05F42">
        <w:rPr>
          <w:rFonts w:ascii="宋体" w:eastAsia="宋体" w:hAnsi="宋体" w:cs="宋体" w:hint="eastAsia"/>
          <w:color w:val="000000"/>
          <w:kern w:val="0"/>
          <w:sz w:val="32"/>
          <w:szCs w:val="32"/>
          <w:shd w:val="clear" w:color="auto" w:fill="FFFFFF"/>
        </w:rPr>
        <w:t> </w:t>
      </w:r>
      <w:r w:rsidRPr="00E05F42">
        <w:rPr>
          <w:rFonts w:ascii="宋体" w:eastAsia="宋体" w:hAnsi="宋体" w:cs="宋体" w:hint="eastAsia"/>
          <w:color w:val="000000"/>
          <w:kern w:val="0"/>
          <w:sz w:val="32"/>
          <w:szCs w:val="32"/>
          <w:shd w:val="clear" w:color="auto" w:fill="FFFFFF"/>
        </w:rPr>
        <w:t> </w:t>
      </w:r>
      <w:r w:rsidRPr="00E05F42">
        <w:rPr>
          <w:rFonts w:ascii="宋体" w:eastAsia="宋体" w:hAnsi="宋体" w:cs="宋体" w:hint="eastAsia"/>
          <w:color w:val="000000"/>
          <w:kern w:val="0"/>
          <w:sz w:val="32"/>
          <w:szCs w:val="32"/>
          <w:shd w:val="clear" w:color="auto" w:fill="FFFFFF"/>
        </w:rPr>
        <w:t> </w:t>
      </w:r>
      <w:r w:rsidRPr="00E05F42">
        <w:rPr>
          <w:rFonts w:ascii="宋体" w:eastAsia="宋体" w:hAnsi="宋体" w:cs="宋体" w:hint="eastAsia"/>
          <w:color w:val="000000"/>
          <w:kern w:val="0"/>
          <w:sz w:val="32"/>
          <w:szCs w:val="32"/>
          <w:shd w:val="clear" w:color="auto" w:fill="FFFFFF"/>
        </w:rPr>
        <w:t>年初预算为4.47万元，支出决算为3.95万元，完成年初预算的88%，决算数小于年初预算数的主要原因是：人员增减变动引起变化。</w:t>
      </w:r>
    </w:p>
    <w:p w:rsidR="00E05F42" w:rsidRPr="00E05F42" w:rsidRDefault="00E05F42" w:rsidP="00E05F42">
      <w:pPr>
        <w:widowControl/>
        <w:shd w:val="clear" w:color="auto" w:fill="FFFFFF"/>
        <w:spacing w:line="504" w:lineRule="atLeast"/>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shd w:val="clear" w:color="auto" w:fill="FFFFFF"/>
        </w:rPr>
        <w:lastRenderedPageBreak/>
        <w:t>5、卫生健康支出（类）行政事业单位医疗（款）事业单位医疗（项）</w:t>
      </w:r>
    </w:p>
    <w:p w:rsidR="00E05F42" w:rsidRPr="00E05F42" w:rsidRDefault="00E05F42" w:rsidP="00E05F42">
      <w:pPr>
        <w:widowControl/>
        <w:shd w:val="clear" w:color="auto" w:fill="FFFFFF"/>
        <w:spacing w:line="504" w:lineRule="atLeast"/>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shd w:val="clear" w:color="auto" w:fill="FFFFFF"/>
        </w:rPr>
        <w:t>年初预算为25.5万元，支出决算为24.72万元，完成年初预算的97%，</w:t>
      </w:r>
      <w:r w:rsidRPr="00E05F42">
        <w:rPr>
          <w:rFonts w:ascii="宋体" w:eastAsia="宋体" w:hAnsi="宋体" w:cs="宋体" w:hint="eastAsia"/>
          <w:color w:val="555555"/>
          <w:kern w:val="0"/>
          <w:sz w:val="32"/>
          <w:szCs w:val="32"/>
        </w:rPr>
        <w:t>决算数小于年初预算数的主要原因是：</w:t>
      </w:r>
      <w:r w:rsidRPr="00E05F42">
        <w:rPr>
          <w:rFonts w:ascii="宋体" w:eastAsia="宋体" w:hAnsi="宋体" w:cs="宋体" w:hint="eastAsia"/>
          <w:color w:val="000000"/>
          <w:kern w:val="0"/>
          <w:sz w:val="32"/>
          <w:szCs w:val="32"/>
          <w:shd w:val="clear" w:color="auto" w:fill="FFFFFF"/>
        </w:rPr>
        <w:t>人员增减变动引起变化。</w:t>
      </w:r>
    </w:p>
    <w:p w:rsidR="00E05F42" w:rsidRPr="00E05F42" w:rsidRDefault="00E05F42" w:rsidP="00E05F42">
      <w:pPr>
        <w:widowControl/>
        <w:shd w:val="clear" w:color="auto" w:fill="FFFFFF"/>
        <w:spacing w:line="504" w:lineRule="atLeast"/>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shd w:val="clear" w:color="auto" w:fill="FFFFFF"/>
        </w:rPr>
        <w:t>6、住房保障支出（类）住房改革支出（款）</w:t>
      </w:r>
    </w:p>
    <w:p w:rsidR="00E05F42" w:rsidRPr="00E05F42" w:rsidRDefault="00E05F42" w:rsidP="00E05F42">
      <w:pPr>
        <w:widowControl/>
        <w:shd w:val="clear" w:color="auto" w:fill="FFFFFF"/>
        <w:spacing w:line="504" w:lineRule="atLeast"/>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shd w:val="clear" w:color="auto" w:fill="FFFFFF"/>
        </w:rPr>
        <w:t>年初预算为37.32万元，支出决算为0万元，完成年初预算的0%，决算数小于年初预算数的主要原因是：资金拨款科目在一般公共服务（类）政府办公厅及相关机构事务（款）行政运行（项）内。</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六、一般公共预算财政拨款基本支出决算情况说明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2021年度财政拨款基本支出584.04万元，其中：人员经费528.19万元，占基本支出的90%,主要包括主要包括基本工资、伙食补助费、绩效工资、机关事业单位基本养老保险缴费、职工基本医疗保险缴费、其他社会保障缴费、医疗费、生活补助；公用经费55.85万元，占基本支出的10%，主要包括办公费、咨询费、差旅费、维修（护）费、劳务费。</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七、一般公共预算财政拨款“三公”经费支出决算情况说明</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宋体" w:eastAsia="宋体" w:hAnsi="宋体" w:cs="宋体" w:hint="eastAsia"/>
          <w:b/>
          <w:bCs/>
          <w:color w:val="000000"/>
          <w:kern w:val="0"/>
          <w:sz w:val="32"/>
          <w:szCs w:val="32"/>
        </w:rPr>
        <w:t>（一）“三公”经费财政拨款支出决算总体情况说明</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lastRenderedPageBreak/>
        <w:t>2021年度“三公”经费财政拨款支出预算为</w:t>
      </w:r>
      <w:r w:rsidR="0032169A">
        <w:rPr>
          <w:rFonts w:ascii="宋体" w:eastAsia="宋体" w:hAnsi="宋体" w:cs="宋体"/>
          <w:color w:val="000000"/>
          <w:kern w:val="0"/>
          <w:sz w:val="32"/>
          <w:szCs w:val="32"/>
        </w:rPr>
        <w:t>55</w:t>
      </w:r>
      <w:r w:rsidRPr="00E05F42">
        <w:rPr>
          <w:rFonts w:ascii="宋体" w:eastAsia="宋体" w:hAnsi="宋体" w:cs="宋体" w:hint="eastAsia"/>
          <w:color w:val="000000"/>
          <w:kern w:val="0"/>
          <w:sz w:val="32"/>
          <w:szCs w:val="32"/>
        </w:rPr>
        <w:t>万元，支出决算为5.09万元，完成预算的</w:t>
      </w:r>
      <w:r w:rsidR="0032169A">
        <w:rPr>
          <w:rFonts w:ascii="宋体" w:eastAsia="宋体" w:hAnsi="宋体" w:cs="宋体"/>
          <w:color w:val="000000"/>
          <w:kern w:val="0"/>
          <w:sz w:val="32"/>
          <w:szCs w:val="32"/>
        </w:rPr>
        <w:t>9</w:t>
      </w:r>
      <w:r w:rsidRPr="00E05F42">
        <w:rPr>
          <w:rFonts w:ascii="宋体" w:eastAsia="宋体" w:hAnsi="宋体" w:cs="宋体" w:hint="eastAsia"/>
          <w:color w:val="000000"/>
          <w:kern w:val="0"/>
          <w:sz w:val="32"/>
          <w:szCs w:val="32"/>
        </w:rPr>
        <w:t>%，其中：</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因公出国（境）费支出预算为0万元，支出决算为0万元，</w:t>
      </w:r>
      <w:r w:rsidRPr="00E05F42">
        <w:rPr>
          <w:rFonts w:ascii="宋体" w:eastAsia="宋体" w:hAnsi="宋体" w:cs="宋体" w:hint="eastAsia"/>
          <w:color w:val="000000"/>
          <w:kern w:val="0"/>
          <w:sz w:val="32"/>
          <w:szCs w:val="32"/>
          <w:shd w:val="clear" w:color="auto" w:fill="FFFFFF"/>
        </w:rPr>
        <w:t>决算数与预算数持平，与上年相比持平。</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公务接待费支出预算为1.7万元，支出决算为1.7万元，完成预算的100%，决算数等于预算数的主要原因是本单位</w:t>
      </w:r>
      <w:r w:rsidRPr="00E05F42">
        <w:rPr>
          <w:rFonts w:ascii="宋体" w:eastAsia="宋体" w:hAnsi="宋体" w:cs="宋体" w:hint="eastAsia"/>
          <w:color w:val="000000"/>
          <w:kern w:val="0"/>
          <w:sz w:val="32"/>
          <w:szCs w:val="32"/>
          <w:shd w:val="clear" w:color="auto" w:fill="FFFFFF"/>
        </w:rPr>
        <w:t>严控“三公”经费支出</w:t>
      </w:r>
      <w:r w:rsidRPr="00E05F42">
        <w:rPr>
          <w:rFonts w:ascii="宋体" w:eastAsia="宋体" w:hAnsi="宋体" w:cs="宋体" w:hint="eastAsia"/>
          <w:color w:val="000000"/>
          <w:kern w:val="0"/>
          <w:sz w:val="32"/>
          <w:szCs w:val="32"/>
        </w:rPr>
        <w:t>，与上年相比减少0.63万元，减少37%,减少的主要原因是</w:t>
      </w:r>
      <w:r w:rsidRPr="00E05F42">
        <w:rPr>
          <w:rFonts w:ascii="宋体" w:eastAsia="宋体" w:hAnsi="宋体" w:cs="宋体" w:hint="eastAsia"/>
          <w:color w:val="000000"/>
          <w:kern w:val="0"/>
          <w:sz w:val="32"/>
          <w:szCs w:val="32"/>
          <w:shd w:val="clear" w:color="auto" w:fill="FFFFFF"/>
        </w:rPr>
        <w:t>是本单位认真贯彻落实中央“八项规定”精神和厉行节约要求，进一步从严控制“三公”经费支出</w:t>
      </w:r>
      <w:r w:rsidRPr="00E05F42">
        <w:rPr>
          <w:rFonts w:ascii="宋体" w:eastAsia="宋体" w:hAnsi="宋体" w:cs="宋体" w:hint="eastAsia"/>
          <w:color w:val="000000"/>
          <w:kern w:val="0"/>
          <w:sz w:val="32"/>
          <w:szCs w:val="32"/>
        </w:rPr>
        <w:t>。</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公务用车购置费支出预算为0万元，支出决算为0万元，</w:t>
      </w:r>
      <w:r w:rsidRPr="00E05F42">
        <w:rPr>
          <w:rFonts w:ascii="宋体" w:eastAsia="宋体" w:hAnsi="宋体" w:cs="宋体" w:hint="eastAsia"/>
          <w:color w:val="000000"/>
          <w:kern w:val="0"/>
          <w:sz w:val="32"/>
          <w:szCs w:val="32"/>
          <w:shd w:val="clear" w:color="auto" w:fill="FFFFFF"/>
        </w:rPr>
        <w:t>决算数与预算数持平，与上年相比持平。</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公务用车运行维护费支出预算为3.39万元，支出决算为3.39万元，完成预算的100%，决算数等于预算数的主要原因是本单位</w:t>
      </w:r>
      <w:r w:rsidRPr="00E05F42">
        <w:rPr>
          <w:rFonts w:ascii="宋体" w:eastAsia="宋体" w:hAnsi="宋体" w:cs="宋体" w:hint="eastAsia"/>
          <w:color w:val="000000"/>
          <w:kern w:val="0"/>
          <w:sz w:val="32"/>
          <w:szCs w:val="32"/>
          <w:shd w:val="clear" w:color="auto" w:fill="FFFFFF"/>
        </w:rPr>
        <w:t>继续加强公务用车管理</w:t>
      </w:r>
      <w:r w:rsidRPr="00E05F42">
        <w:rPr>
          <w:rFonts w:ascii="宋体" w:eastAsia="宋体" w:hAnsi="宋体" w:cs="宋体" w:hint="eastAsia"/>
          <w:color w:val="000000"/>
          <w:kern w:val="0"/>
          <w:sz w:val="32"/>
          <w:szCs w:val="32"/>
        </w:rPr>
        <w:t>，与上年相比减少0.43万元，减少11%,减少的主要原因是严格规范公务用车使用。</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宋体" w:eastAsia="宋体" w:hAnsi="宋体" w:cs="宋体" w:hint="eastAsia"/>
          <w:b/>
          <w:bCs/>
          <w:color w:val="000000"/>
          <w:kern w:val="0"/>
          <w:sz w:val="32"/>
          <w:szCs w:val="32"/>
        </w:rPr>
        <w:t>（二）“三公”经费财政拨款支出决算具体情况说明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2021年度“三公”经费财政拨款支出决算中，公务接待费支出决算1.7万元，占33%,因公出国（境）费支出决算0万元，占0%,公务用车购置费及运行维护费支出决算3.39万元，占67%。其中：</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lastRenderedPageBreak/>
        <w:t>1、因公出国（境）费支出决算为0万元，全年安排因公出国（境）团组0个，累计0人次。</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2、公务接待费支出决算为1.7万元，全年共接待来访团组13个、来宾106人次，主要是第二届湖南（岳阳）口岸经贸博览会、地市州来我中心调研发生的接待支出。</w:t>
      </w:r>
    </w:p>
    <w:p w:rsidR="00E05F42" w:rsidRPr="00E05F42" w:rsidRDefault="00E05F42" w:rsidP="00E05F42">
      <w:pPr>
        <w:widowControl/>
        <w:shd w:val="clear" w:color="auto" w:fill="FFFFFF"/>
        <w:ind w:firstLine="800"/>
        <w:jc w:val="left"/>
        <w:rPr>
          <w:rFonts w:ascii="宋体" w:eastAsia="宋体" w:hAnsi="宋体" w:cs="宋体" w:hint="eastAsia"/>
          <w:color w:val="555555"/>
          <w:kern w:val="0"/>
          <w:sz w:val="24"/>
          <w:szCs w:val="24"/>
        </w:rPr>
      </w:pPr>
      <w:r w:rsidRPr="00E05F42">
        <w:rPr>
          <w:rFonts w:ascii="宋体" w:eastAsia="宋体" w:hAnsi="宋体" w:cs="宋体" w:hint="eastAsia"/>
          <w:color w:val="555555"/>
          <w:kern w:val="0"/>
          <w:sz w:val="32"/>
          <w:szCs w:val="32"/>
        </w:rPr>
        <w:t>3、公务用车购置费及运行维护费支出决算为3.39万元，其中：公务用车购置费0万元</w:t>
      </w:r>
      <w:r w:rsidRPr="00E05F42">
        <w:rPr>
          <w:rFonts w:ascii="宋体" w:eastAsia="宋体" w:hAnsi="宋体" w:cs="宋体" w:hint="eastAsia"/>
          <w:color w:val="000000"/>
          <w:kern w:val="0"/>
          <w:sz w:val="32"/>
          <w:szCs w:val="32"/>
        </w:rPr>
        <w:t>。</w:t>
      </w:r>
      <w:r w:rsidRPr="00E05F42">
        <w:rPr>
          <w:rFonts w:ascii="宋体" w:eastAsia="宋体" w:hAnsi="宋体" w:cs="宋体" w:hint="eastAsia"/>
          <w:color w:val="555555"/>
          <w:kern w:val="0"/>
          <w:sz w:val="32"/>
          <w:szCs w:val="32"/>
        </w:rPr>
        <w:t>公务用车运行维护费3.39万元，主要是差旅用车支出，截止2021年12月31日，我单位开支财政拨款的公务用车保有量为1辆。</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八、政府性基金预算收入支出决算情况</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本单位无政府性基金收支。</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32"/>
          <w:szCs w:val="32"/>
        </w:rPr>
        <w:t>九、</w:t>
      </w:r>
      <w:r w:rsidRPr="00E05F42">
        <w:rPr>
          <w:rFonts w:ascii="黑体" w:eastAsia="黑体" w:hAnsi="黑体" w:cs="宋体" w:hint="eastAsia"/>
          <w:b/>
          <w:bCs/>
          <w:color w:val="000000"/>
          <w:kern w:val="0"/>
          <w:sz w:val="32"/>
          <w:szCs w:val="32"/>
        </w:rPr>
        <w:t>国有资本经营预算财政拨款支出决算情况</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本单位无国有资本经营预算财政拨款支出。</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十、机关运行经费支出说明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本部门2021年度机关运行经费支出55.85万元，比年初预算数减少11.67 万元，降低17%。主要原因是：</w:t>
      </w:r>
      <w:r w:rsidRPr="00E05F42">
        <w:rPr>
          <w:rFonts w:ascii="宋体" w:eastAsia="宋体" w:hAnsi="宋体" w:cs="宋体" w:hint="eastAsia"/>
          <w:color w:val="000000"/>
          <w:kern w:val="0"/>
          <w:sz w:val="32"/>
          <w:szCs w:val="32"/>
          <w:shd w:val="clear" w:color="auto" w:fill="FFFFFF"/>
        </w:rPr>
        <w:t>我中心行政经费补足处从非税征收返还款中补足。</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十一、一般性支出情况说明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2021年本部门开支会议费</w:t>
      </w:r>
      <w:r w:rsidR="00573366">
        <w:rPr>
          <w:rFonts w:ascii="宋体" w:eastAsia="宋体" w:hAnsi="宋体" w:cs="宋体"/>
          <w:color w:val="000000"/>
          <w:kern w:val="0"/>
          <w:sz w:val="32"/>
          <w:szCs w:val="32"/>
        </w:rPr>
        <w:t>0</w:t>
      </w:r>
      <w:r w:rsidR="00573366">
        <w:rPr>
          <w:rFonts w:ascii="宋体" w:eastAsia="宋体" w:hAnsi="宋体" w:cs="宋体" w:hint="eastAsia"/>
          <w:color w:val="000000"/>
          <w:kern w:val="0"/>
          <w:sz w:val="32"/>
          <w:szCs w:val="32"/>
        </w:rPr>
        <w:t>万元，</w:t>
      </w:r>
      <w:bookmarkStart w:id="0" w:name="_GoBack"/>
      <w:bookmarkEnd w:id="0"/>
      <w:r w:rsidRPr="00E05F42">
        <w:rPr>
          <w:rFonts w:ascii="宋体" w:eastAsia="宋体" w:hAnsi="宋体" w:cs="宋体" w:hint="eastAsia"/>
          <w:color w:val="000000"/>
          <w:kern w:val="0"/>
          <w:sz w:val="32"/>
          <w:szCs w:val="32"/>
          <w:shd w:val="clear" w:color="auto" w:fill="FFFFFF"/>
        </w:rPr>
        <w:t>本单位未举办节庆、晚会、论坛、赛事活动</w:t>
      </w:r>
      <w:r w:rsidRPr="00E05F42">
        <w:rPr>
          <w:rFonts w:ascii="宋体" w:eastAsia="宋体" w:hAnsi="宋体" w:cs="宋体" w:hint="eastAsia"/>
          <w:color w:val="000000"/>
          <w:kern w:val="0"/>
          <w:sz w:val="32"/>
          <w:szCs w:val="32"/>
        </w:rPr>
        <w:t>。</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十二、政府采购支出说明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lastRenderedPageBreak/>
        <w:t>本部门2021年度政府采购支出总额96.696万元，其中：政府采购货物支出0万元、政府采购工程支出0万元、政府采购服务支出96.696万元。授予中小企业合同金额0万元，占政府采购支出总额的0%，其中：授予小微企业合同金额96.696万元，占授予中小企业合同金额的100%；货物采购授予中小企业合同金额占货物支出金额的0%，工程采购授予中小企业合同金额占工程支出金额的0%，服务采购授予中小企业合同金额占服务支出金额的100%。</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十三、国有资产占用情况说明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截至2021年12月31日，部门（单位）共有车辆1辆，其中，机要通信用车1辆；单位价值50万元以上通用设备</w:t>
      </w:r>
      <w:r w:rsidRPr="00E05F42">
        <w:rPr>
          <w:rFonts w:ascii="宋体" w:eastAsia="宋体" w:hAnsi="宋体" w:cs="宋体" w:hint="eastAsia"/>
          <w:color w:val="000000"/>
          <w:kern w:val="0"/>
          <w:sz w:val="32"/>
          <w:szCs w:val="32"/>
          <w:shd w:val="clear" w:color="auto" w:fill="FFFFFF"/>
        </w:rPr>
        <w:t>5套；单位价值100万元以上专用设备3套。</w:t>
      </w:r>
    </w:p>
    <w:p w:rsidR="00E05F42" w:rsidRPr="00E05F42" w:rsidRDefault="00E05F42" w:rsidP="00E05F42">
      <w:pPr>
        <w:widowControl/>
        <w:shd w:val="clear" w:color="auto" w:fill="FFFFFF"/>
        <w:jc w:val="left"/>
        <w:rPr>
          <w:rFonts w:ascii="宋体" w:eastAsia="宋体" w:hAnsi="宋体" w:cs="宋体" w:hint="eastAsia"/>
          <w:color w:val="555555"/>
          <w:kern w:val="0"/>
          <w:sz w:val="24"/>
          <w:szCs w:val="24"/>
        </w:rPr>
      </w:pPr>
      <w:r w:rsidRPr="00E05F42">
        <w:rPr>
          <w:rFonts w:ascii="黑体" w:eastAsia="黑体" w:hAnsi="黑体" w:cs="宋体" w:hint="eastAsia"/>
          <w:b/>
          <w:bCs/>
          <w:color w:val="000000"/>
          <w:kern w:val="0"/>
          <w:sz w:val="32"/>
          <w:szCs w:val="32"/>
        </w:rPr>
        <w:t>十四、2021年度预算绩效情况说明</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b/>
          <w:bCs/>
          <w:color w:val="000000"/>
          <w:kern w:val="0"/>
          <w:sz w:val="32"/>
          <w:szCs w:val="32"/>
        </w:rPr>
        <w:t>（1）绩效管理评价工作开展情况</w:t>
      </w:r>
      <w:r w:rsidRPr="00E05F42">
        <w:rPr>
          <w:rFonts w:ascii="宋体" w:eastAsia="宋体" w:hAnsi="宋体" w:cs="宋体" w:hint="eastAsia"/>
          <w:color w:val="000000"/>
          <w:kern w:val="0"/>
          <w:sz w:val="32"/>
          <w:szCs w:val="32"/>
        </w:rPr>
        <w:t>。</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根据预算绩效管理要求，我单位组织对2021年度一般公共预算项目支出全面开展绩效自评，其中，一级项目0个，二级项目</w:t>
      </w:r>
      <w:r w:rsidR="00392760">
        <w:rPr>
          <w:rFonts w:ascii="宋体" w:eastAsia="宋体" w:hAnsi="宋体" w:cs="宋体" w:hint="eastAsia"/>
          <w:color w:val="000000"/>
          <w:kern w:val="0"/>
          <w:sz w:val="32"/>
          <w:szCs w:val="32"/>
        </w:rPr>
        <w:t>0</w:t>
      </w:r>
      <w:r w:rsidRPr="00E05F42">
        <w:rPr>
          <w:rFonts w:ascii="宋体" w:eastAsia="宋体" w:hAnsi="宋体" w:cs="宋体" w:hint="eastAsia"/>
          <w:color w:val="000000"/>
          <w:kern w:val="0"/>
          <w:sz w:val="32"/>
          <w:szCs w:val="32"/>
        </w:rPr>
        <w:t>个，共涉及资金0万元，占一般公共预算项目支出总额的0%</w:t>
      </w:r>
      <w:r w:rsidRPr="00E05F42">
        <w:rPr>
          <w:rFonts w:ascii="宋体" w:eastAsia="宋体" w:hAnsi="宋体" w:cs="宋体" w:hint="eastAsia"/>
          <w:color w:val="555555"/>
          <w:kern w:val="0"/>
          <w:sz w:val="32"/>
          <w:szCs w:val="32"/>
        </w:rPr>
        <w:t>。组织对2021年度0个政府性基金预算项目支出开展绩效自评，共涉及资金0 万元，占政府性基金预算项目支出总额的0%。组织对2021 年度0个国有资</w:t>
      </w:r>
      <w:r w:rsidRPr="00E05F42">
        <w:rPr>
          <w:rFonts w:ascii="宋体" w:eastAsia="宋体" w:hAnsi="宋体" w:cs="宋体" w:hint="eastAsia"/>
          <w:color w:val="555555"/>
          <w:kern w:val="0"/>
          <w:sz w:val="32"/>
          <w:szCs w:val="32"/>
        </w:rPr>
        <w:lastRenderedPageBreak/>
        <w:t>本经营预算项目支出开展绩效自评，共涉及资金0万元，占国有资本经营预算项目支出总额的0%。</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组织对0个项目开展了部门评价，涉及一般公共预算支出0万元，政府性基金预算支出0万元，国有资本经营预算支出0万元。</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组织对岳阳市公共资源交易中心机关1个单位开展整体支出绩效评价，涉及一般公共预算支出2078.06万元，政府性基金预算支出0万元。从评价情况来看，按照中央、省、市的部署，积极推进预算绩效管理改革，以目标管理、第三方评价、信息公开等为着力点，认真贯彻落实市委、市政府的决策部署，高度重视绩效管理工作，将绩效管理融入预算编制、执行过程。2021年度部门整体支出绩效自评等级为“优”，绩效自评报告已按财政要求在我单位门户网站上公开。</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b/>
          <w:bCs/>
          <w:color w:val="000000"/>
          <w:kern w:val="0"/>
          <w:sz w:val="32"/>
          <w:szCs w:val="32"/>
        </w:rPr>
        <w:t>（2）部门决算中项目绩效自评结果。</w:t>
      </w:r>
    </w:p>
    <w:p w:rsidR="00E05F42" w:rsidRPr="00E05F42" w:rsidRDefault="00E05F42" w:rsidP="00E05F42">
      <w:pPr>
        <w:widowControl/>
        <w:shd w:val="clear" w:color="auto" w:fill="FFFFFF"/>
        <w:ind w:firstLine="96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无</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b/>
          <w:bCs/>
          <w:color w:val="000000"/>
          <w:kern w:val="0"/>
          <w:sz w:val="32"/>
          <w:szCs w:val="32"/>
        </w:rPr>
        <w:t>（3）部门评价项目绩效评价结果。</w:t>
      </w:r>
    </w:p>
    <w:p w:rsidR="00E05F42" w:rsidRPr="00E05F42" w:rsidRDefault="00E05F42" w:rsidP="00E05F42">
      <w:pPr>
        <w:widowControl/>
        <w:shd w:val="clear" w:color="auto" w:fill="FFFFFF"/>
        <w:ind w:firstLine="96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无</w:t>
      </w:r>
    </w:p>
    <w:p w:rsidR="00E05F42" w:rsidRPr="00E05F42" w:rsidRDefault="00E05F42" w:rsidP="00E05F42">
      <w:pPr>
        <w:widowControl/>
        <w:shd w:val="clear" w:color="auto" w:fill="FFFFFF"/>
        <w:ind w:firstLine="96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（整体绩效评价报告见附件）</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 </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72"/>
          <w:szCs w:val="72"/>
        </w:rPr>
        <w:lastRenderedPageBreak/>
        <w:t>第四部分</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Calibri" w:eastAsia="黑体" w:hAnsi="Calibri" w:cs="Calibri"/>
          <w:color w:val="000000"/>
          <w:kern w:val="0"/>
          <w:sz w:val="70"/>
          <w:szCs w:val="70"/>
        </w:rPr>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70"/>
          <w:szCs w:val="70"/>
        </w:rPr>
        <w:t>名词解释</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 </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宋体" w:eastAsia="宋体" w:hAnsi="宋体" w:cs="宋体" w:hint="eastAsia"/>
          <w:color w:val="000000"/>
          <w:kern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E05F42" w:rsidRPr="00E05F42" w:rsidRDefault="00E05F42" w:rsidP="00E05F42">
      <w:pPr>
        <w:widowControl/>
        <w:shd w:val="clear" w:color="auto" w:fill="FFFFFF"/>
        <w:ind w:firstLine="640"/>
        <w:jc w:val="left"/>
        <w:rPr>
          <w:rFonts w:ascii="宋体" w:eastAsia="宋体" w:hAnsi="宋体" w:cs="宋体" w:hint="eastAsia"/>
          <w:color w:val="555555"/>
          <w:kern w:val="0"/>
          <w:sz w:val="24"/>
          <w:szCs w:val="24"/>
        </w:rPr>
      </w:pPr>
      <w:r w:rsidRPr="00E05F42">
        <w:rPr>
          <w:rFonts w:ascii="Calibri" w:eastAsia="宋体" w:hAnsi="Calibri" w:cs="Calibri"/>
          <w:color w:val="555555"/>
          <w:kern w:val="0"/>
          <w:sz w:val="72"/>
          <w:szCs w:val="72"/>
        </w:rPr>
        <w:br/>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72"/>
          <w:szCs w:val="72"/>
        </w:rPr>
        <w:t>第五部分</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Calibri" w:eastAsia="黑体" w:hAnsi="Calibri" w:cs="Calibri"/>
          <w:color w:val="000000"/>
          <w:kern w:val="0"/>
          <w:sz w:val="70"/>
          <w:szCs w:val="70"/>
        </w:rPr>
        <w:lastRenderedPageBreak/>
        <w:t> </w:t>
      </w:r>
    </w:p>
    <w:p w:rsidR="00E05F42" w:rsidRPr="00E05F42" w:rsidRDefault="00E05F42" w:rsidP="00E05F42">
      <w:pPr>
        <w:widowControl/>
        <w:shd w:val="clear" w:color="auto" w:fill="FFFFFF"/>
        <w:jc w:val="center"/>
        <w:rPr>
          <w:rFonts w:ascii="宋体" w:eastAsia="宋体" w:hAnsi="宋体" w:cs="宋体" w:hint="eastAsia"/>
          <w:color w:val="555555"/>
          <w:kern w:val="0"/>
          <w:sz w:val="24"/>
          <w:szCs w:val="24"/>
        </w:rPr>
      </w:pPr>
      <w:r w:rsidRPr="00E05F42">
        <w:rPr>
          <w:rFonts w:ascii="黑体" w:eastAsia="黑体" w:hAnsi="黑体" w:cs="宋体" w:hint="eastAsia"/>
          <w:color w:val="000000"/>
          <w:kern w:val="0"/>
          <w:sz w:val="70"/>
          <w:szCs w:val="70"/>
        </w:rPr>
        <w:t>附件</w:t>
      </w:r>
    </w:p>
    <w:p w:rsidR="004725B0" w:rsidRDefault="004725B0"/>
    <w:sectPr w:rsidR="00472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42"/>
    <w:rsid w:val="0032169A"/>
    <w:rsid w:val="00392760"/>
    <w:rsid w:val="004725B0"/>
    <w:rsid w:val="00573366"/>
    <w:rsid w:val="00E05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2FA4"/>
  <w15:chartTrackingRefBased/>
  <w15:docId w15:val="{4A38C253-EAF7-457B-BEF2-75E069CD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
    <w:name w:val="16"/>
    <w:basedOn w:val="a"/>
    <w:rsid w:val="00E05F42"/>
    <w:pPr>
      <w:widowControl/>
      <w:spacing w:before="100" w:beforeAutospacing="1" w:after="100" w:afterAutospacing="1"/>
      <w:jc w:val="left"/>
    </w:pPr>
    <w:rPr>
      <w:rFonts w:ascii="宋体" w:eastAsia="宋体" w:hAnsi="宋体" w:cs="宋体"/>
      <w:kern w:val="0"/>
      <w:sz w:val="24"/>
      <w:szCs w:val="24"/>
    </w:rPr>
  </w:style>
  <w:style w:type="paragraph" w:customStyle="1" w:styleId="15">
    <w:name w:val="15"/>
    <w:basedOn w:val="a"/>
    <w:rsid w:val="00E05F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93176">
      <w:bodyDiv w:val="1"/>
      <w:marLeft w:val="0"/>
      <w:marRight w:val="0"/>
      <w:marTop w:val="0"/>
      <w:marBottom w:val="0"/>
      <w:divBdr>
        <w:top w:val="none" w:sz="0" w:space="0" w:color="auto"/>
        <w:left w:val="none" w:sz="0" w:space="0" w:color="auto"/>
        <w:bottom w:val="none" w:sz="0" w:space="0" w:color="auto"/>
        <w:right w:val="none" w:sz="0" w:space="0" w:color="auto"/>
      </w:divBdr>
      <w:divsChild>
        <w:div w:id="1099184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14</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2023-08-15T03:15:00Z</dcterms:created>
  <dcterms:modified xsi:type="dcterms:W3CDTF">2023-08-15T08:16:00Z</dcterms:modified>
</cp:coreProperties>
</file>