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hint="eastAsia"/>
          <w:sz w:val="56"/>
          <w:szCs w:val="56"/>
        </w:rPr>
      </w:pPr>
    </w:p>
    <w:p>
      <w:pPr>
        <w:pStyle w:val="10"/>
        <w:jc w:val="center"/>
        <w:rPr>
          <w:sz w:val="56"/>
          <w:szCs w:val="56"/>
        </w:rPr>
      </w:pPr>
    </w:p>
    <w:p>
      <w:pPr>
        <w:pStyle w:val="10"/>
        <w:jc w:val="center"/>
        <w:rPr>
          <w:sz w:val="84"/>
          <w:szCs w:val="84"/>
        </w:rPr>
      </w:pPr>
    </w:p>
    <w:p>
      <w:pPr>
        <w:pStyle w:val="10"/>
        <w:jc w:val="center"/>
        <w:rPr>
          <w:sz w:val="84"/>
          <w:szCs w:val="84"/>
        </w:rPr>
      </w:pPr>
    </w:p>
    <w:p>
      <w:pPr>
        <w:pStyle w:val="10"/>
        <w:jc w:val="center"/>
        <w:rPr>
          <w:sz w:val="84"/>
          <w:szCs w:val="84"/>
        </w:rPr>
      </w:pPr>
      <w:r>
        <w:rPr>
          <w:rFonts w:hint="eastAsia"/>
          <w:sz w:val="84"/>
          <w:szCs w:val="84"/>
        </w:rPr>
        <w:t>2021年度</w:t>
      </w:r>
    </w:p>
    <w:p>
      <w:pPr>
        <w:pStyle w:val="10"/>
        <w:jc w:val="center"/>
        <w:rPr>
          <w:rFonts w:hint="eastAsia"/>
          <w:sz w:val="84"/>
          <w:szCs w:val="84"/>
          <w:lang w:eastAsia="zh-CN"/>
        </w:rPr>
      </w:pPr>
      <w:r>
        <w:rPr>
          <w:rFonts w:hint="eastAsia"/>
          <w:sz w:val="84"/>
          <w:szCs w:val="84"/>
          <w:lang w:eastAsia="zh-CN"/>
        </w:rPr>
        <w:t>岳阳市不动产测绘中心</w:t>
      </w:r>
    </w:p>
    <w:p>
      <w:pPr>
        <w:pStyle w:val="10"/>
        <w:jc w:val="center"/>
        <w:rPr>
          <w:sz w:val="84"/>
          <w:szCs w:val="84"/>
        </w:rPr>
      </w:pPr>
      <w:r>
        <w:rPr>
          <w:rFonts w:hint="eastAsia"/>
          <w:sz w:val="84"/>
          <w:szCs w:val="84"/>
        </w:rPr>
        <w:t>部门决算</w:t>
      </w: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32"/>
          <w:szCs w:val="32"/>
        </w:rPr>
      </w:pPr>
    </w:p>
    <w:p>
      <w:pPr>
        <w:pStyle w:val="10"/>
        <w:jc w:val="center"/>
        <w:rPr>
          <w:sz w:val="32"/>
          <w:szCs w:val="32"/>
        </w:rPr>
      </w:pPr>
    </w:p>
    <w:p>
      <w:pPr>
        <w:pStyle w:val="10"/>
        <w:jc w:val="center"/>
        <w:rPr>
          <w:sz w:val="32"/>
          <w:szCs w:val="32"/>
        </w:rPr>
      </w:pPr>
    </w:p>
    <w:p>
      <w:pPr>
        <w:pStyle w:val="10"/>
        <w:jc w:val="center"/>
        <w:rPr>
          <w:sz w:val="32"/>
          <w:szCs w:val="32"/>
        </w:rPr>
      </w:pPr>
    </w:p>
    <w:p>
      <w:pPr>
        <w:pStyle w:val="10"/>
        <w:jc w:val="center"/>
        <w:rPr>
          <w:sz w:val="32"/>
          <w:szCs w:val="32"/>
        </w:rPr>
      </w:pPr>
    </w:p>
    <w:p>
      <w:pPr>
        <w:pStyle w:val="10"/>
        <w:spacing w:line="500" w:lineRule="exact"/>
        <w:jc w:val="both"/>
        <w:rPr>
          <w:b/>
          <w:sz w:val="36"/>
          <w:szCs w:val="28"/>
        </w:rPr>
      </w:pPr>
    </w:p>
    <w:p>
      <w:pPr>
        <w:pStyle w:val="10"/>
        <w:keepNext w:val="0"/>
        <w:keepLines w:val="0"/>
        <w:pageBreakBefore w:val="0"/>
        <w:widowControl w:val="0"/>
        <w:kinsoku/>
        <w:wordWrap/>
        <w:overflowPunct/>
        <w:topLinePunct w:val="0"/>
        <w:bidi w:val="0"/>
        <w:snapToGrid/>
        <w:spacing w:line="480" w:lineRule="exact"/>
        <w:jc w:val="center"/>
        <w:textAlignment w:val="auto"/>
        <w:rPr>
          <w:b/>
          <w:sz w:val="36"/>
          <w:szCs w:val="28"/>
        </w:rPr>
      </w:pPr>
      <w:r>
        <w:rPr>
          <w:rFonts w:hint="eastAsia"/>
          <w:b/>
          <w:sz w:val="36"/>
          <w:szCs w:val="28"/>
        </w:rPr>
        <w:t>目录</w:t>
      </w:r>
    </w:p>
    <w:p>
      <w:pPr>
        <w:pStyle w:val="10"/>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sz w:val="28"/>
          <w:szCs w:val="28"/>
        </w:rPr>
      </w:pPr>
      <w:r>
        <w:rPr>
          <w:rFonts w:hint="eastAsia"/>
          <w:b/>
          <w:sz w:val="28"/>
          <w:szCs w:val="28"/>
        </w:rPr>
        <w:t>第一部分</w:t>
      </w:r>
      <w:r>
        <w:rPr>
          <w:rFonts w:hint="eastAsia"/>
          <w:b/>
          <w:sz w:val="28"/>
          <w:szCs w:val="28"/>
          <w:lang w:val="en-US" w:eastAsia="zh-CN"/>
        </w:rPr>
        <w:t xml:space="preserve">  </w:t>
      </w:r>
      <w:r>
        <w:rPr>
          <w:rFonts w:hint="eastAsia"/>
          <w:b/>
          <w:sz w:val="28"/>
          <w:szCs w:val="28"/>
          <w:lang w:eastAsia="zh-CN"/>
        </w:rPr>
        <w:t>岳阳市不动产测绘中心</w:t>
      </w:r>
      <w:r>
        <w:rPr>
          <w:rFonts w:hint="eastAsia"/>
          <w:b/>
          <w:sz w:val="28"/>
          <w:szCs w:val="28"/>
        </w:rPr>
        <w:t>概况</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cs="仿宋_GB2312" w:asciiTheme="minorEastAsia" w:hAnsiTheme="minorEastAsia" w:eastAsiaTheme="minorEastAsia"/>
          <w:sz w:val="28"/>
          <w:szCs w:val="28"/>
          <w:lang w:eastAsia="zh-CN"/>
        </w:rPr>
      </w:pPr>
      <w:r>
        <w:rPr>
          <w:rFonts w:cs="仿宋_GB2312" w:asciiTheme="minorEastAsia" w:hAnsiTheme="minorEastAsia" w:eastAsiaTheme="minorEastAsia"/>
          <w:sz w:val="28"/>
          <w:szCs w:val="28"/>
        </w:rPr>
        <w:t>二、机构设置</w:t>
      </w:r>
      <w:r>
        <w:rPr>
          <w:rFonts w:hint="eastAsia" w:cs="仿宋_GB2312" w:asciiTheme="minorEastAsia" w:hAnsiTheme="minorEastAsia" w:eastAsiaTheme="minorEastAsia"/>
          <w:sz w:val="28"/>
          <w:szCs w:val="28"/>
          <w:lang w:eastAsia="zh-CN"/>
        </w:rPr>
        <w:t>及决算单位构成</w:t>
      </w:r>
    </w:p>
    <w:p>
      <w:pPr>
        <w:pStyle w:val="10"/>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sz w:val="28"/>
          <w:szCs w:val="28"/>
        </w:rPr>
      </w:pPr>
      <w:r>
        <w:rPr>
          <w:rFonts w:hint="eastAsia" w:hAnsi="仿宋_GB2312"/>
          <w:b/>
          <w:sz w:val="28"/>
          <w:szCs w:val="28"/>
        </w:rPr>
        <w:t>第二部分</w:t>
      </w:r>
      <w:r>
        <w:rPr>
          <w:rFonts w:hint="eastAsia" w:hAnsi="仿宋_GB2312"/>
          <w:b/>
          <w:sz w:val="28"/>
          <w:szCs w:val="28"/>
          <w:lang w:val="en-US" w:eastAsia="zh-CN"/>
        </w:rPr>
        <w:t xml:space="preserve">  </w:t>
      </w:r>
      <w:r>
        <w:rPr>
          <w:rFonts w:hAnsi="仿宋_GB2312"/>
          <w:b/>
          <w:sz w:val="28"/>
          <w:szCs w:val="28"/>
        </w:rPr>
        <w:t>20</w:t>
      </w:r>
      <w:r>
        <w:rPr>
          <w:rFonts w:hint="eastAsia" w:hAnsi="仿宋_GB2312"/>
          <w:b/>
          <w:sz w:val="28"/>
          <w:szCs w:val="28"/>
        </w:rPr>
        <w:t>21年度部门决算表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10"/>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sz w:val="28"/>
          <w:szCs w:val="28"/>
        </w:rPr>
      </w:pPr>
      <w:r>
        <w:rPr>
          <w:rFonts w:hint="eastAsia" w:hAnsi="仿宋_GB2312"/>
          <w:b/>
          <w:sz w:val="28"/>
          <w:szCs w:val="28"/>
        </w:rPr>
        <w:t>第三部分</w:t>
      </w:r>
      <w:r>
        <w:rPr>
          <w:rFonts w:hint="eastAsia" w:hAnsi="仿宋_GB2312"/>
          <w:b/>
          <w:sz w:val="28"/>
          <w:szCs w:val="28"/>
          <w:lang w:val="en-US" w:eastAsia="zh-CN"/>
        </w:rPr>
        <w:t xml:space="preserve">  </w:t>
      </w:r>
      <w:r>
        <w:rPr>
          <w:rFonts w:hAnsi="仿宋_GB2312"/>
          <w:b/>
          <w:sz w:val="28"/>
          <w:szCs w:val="28"/>
        </w:rPr>
        <w:t>20</w:t>
      </w:r>
      <w:r>
        <w:rPr>
          <w:rFonts w:hint="eastAsia" w:hAnsi="仿宋_GB2312"/>
          <w:b/>
          <w:sz w:val="28"/>
          <w:szCs w:val="28"/>
        </w:rPr>
        <w:t>21年度部门决算情况说明</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keepNext w:val="0"/>
        <w:keepLines w:val="0"/>
        <w:pageBreakBefore w:val="0"/>
        <w:widowControl w:val="0"/>
        <w:kinsoku/>
        <w:wordWrap/>
        <w:overflowPunct/>
        <w:topLinePunct w:val="0"/>
        <w:bidi w:val="0"/>
        <w:snapToGrid/>
        <w:spacing w:line="480" w:lineRule="exact"/>
        <w:ind w:firstLine="700" w:firstLineChars="250"/>
        <w:jc w:val="left"/>
        <w:textAlignment w:val="auto"/>
        <w:rPr>
          <w:rFonts w:ascii="仿宋_GB2312" w:hAnsi="仿宋_GB2312" w:cs="仿宋_GB2312"/>
          <w:sz w:val="28"/>
          <w:szCs w:val="28"/>
        </w:rPr>
      </w:pPr>
      <w:r>
        <w:rPr>
          <w:rFonts w:ascii="仿宋_GB2312" w:hAnsi="仿宋_GB2312" w:cs="仿宋_GB2312"/>
          <w:sz w:val="28"/>
          <w:szCs w:val="28"/>
        </w:rPr>
        <w:t>二、收入决算情况说明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三公</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cs="仿宋_GB2312" w:eastAsiaTheme="minorEastAsia"/>
          <w:color w:val="000000"/>
          <w:kern w:val="0"/>
          <w:sz w:val="28"/>
          <w:szCs w:val="28"/>
          <w:lang w:eastAsia="zh-CN"/>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cs="仿宋_GB2312" w:asciiTheme="minorEastAsia" w:hAnsiTheme="minorEastAsia" w:eastAsiaTheme="minorEastAsia"/>
          <w:sz w:val="28"/>
          <w:szCs w:val="28"/>
        </w:rPr>
        <w:t>国有资本经营预算财政拨款支出决算</w:t>
      </w:r>
      <w:r>
        <w:rPr>
          <w:rFonts w:hint="eastAsia" w:cs="仿宋_GB2312" w:asciiTheme="minorEastAsia" w:hAnsiTheme="minorEastAsia"/>
          <w:sz w:val="28"/>
          <w:szCs w:val="28"/>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w:t>
      </w:r>
      <w:r>
        <w:rPr>
          <w:rFonts w:hint="eastAsia" w:ascii="仿宋_GB2312" w:hAnsi="仿宋_GB2312" w:cs="仿宋_GB2312"/>
          <w:color w:val="000000"/>
          <w:kern w:val="0"/>
          <w:sz w:val="28"/>
          <w:szCs w:val="28"/>
        </w:rPr>
        <w:t>政府采购支出说明</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cs="仿宋_GB2312" w:eastAsiaTheme="minorEastAsia"/>
          <w:sz w:val="28"/>
          <w:szCs w:val="28"/>
        </w:rPr>
      </w:pPr>
      <w:r>
        <w:rPr>
          <w:rFonts w:hint="eastAsia" w:ascii="仿宋_GB2312" w:hAnsi="仿宋_GB2312" w:cs="仿宋_GB2312" w:eastAsiaTheme="minorEastAsia"/>
          <w:sz w:val="28"/>
          <w:szCs w:val="28"/>
        </w:rPr>
        <w:t>十三、国有资产占用情况说明</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cs="仿宋_GB2312" w:eastAsiaTheme="minorEastAsia"/>
          <w:sz w:val="28"/>
          <w:szCs w:val="28"/>
          <w:lang w:eastAsia="zh-CN"/>
        </w:rPr>
      </w:pPr>
      <w:r>
        <w:rPr>
          <w:rFonts w:hint="eastAsia" w:ascii="仿宋_GB2312" w:hAnsi="仿宋_GB2312" w:cs="仿宋_GB2312" w:eastAsiaTheme="minorEastAsia"/>
          <w:sz w:val="28"/>
          <w:szCs w:val="28"/>
          <w:lang w:eastAsia="zh-CN"/>
        </w:rPr>
        <w:t>十四、</w:t>
      </w:r>
      <w:r>
        <w:rPr>
          <w:rFonts w:hint="eastAsia" w:cs="仿宋_GB2312" w:asciiTheme="minorEastAsia" w:hAnsiTheme="minorEastAsia" w:eastAsiaTheme="minorEastAsia"/>
          <w:sz w:val="28"/>
          <w:szCs w:val="28"/>
        </w:rPr>
        <w:t>2021年</w:t>
      </w:r>
      <w:r>
        <w:rPr>
          <w:rFonts w:hint="eastAsia" w:ascii="仿宋_GB2312" w:hAnsi="仿宋_GB2312" w:cs="仿宋_GB2312" w:eastAsiaTheme="minorEastAsia"/>
          <w:sz w:val="28"/>
          <w:szCs w:val="28"/>
        </w:rPr>
        <w:t>度预算绩效情况说明</w:t>
      </w:r>
    </w:p>
    <w:p>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ascii="黑体" w:hAnsi="黑体" w:eastAsia="黑体" w:cs="黑体"/>
          <w:b/>
          <w:color w:val="000000"/>
          <w:kern w:val="0"/>
          <w:sz w:val="28"/>
          <w:szCs w:val="28"/>
        </w:rPr>
      </w:pPr>
      <w:r>
        <w:rPr>
          <w:rFonts w:ascii="黑体" w:hAnsi="黑体" w:eastAsia="黑体" w:cs="黑体"/>
          <w:b/>
          <w:color w:val="000000"/>
          <w:kern w:val="0"/>
          <w:sz w:val="28"/>
          <w:szCs w:val="28"/>
        </w:rPr>
        <w:t>第四部分</w:t>
      </w:r>
      <w:r>
        <w:rPr>
          <w:rFonts w:hint="eastAsia" w:ascii="黑体" w:hAnsi="黑体" w:eastAsia="黑体" w:cs="黑体"/>
          <w:b/>
          <w:color w:val="000000"/>
          <w:kern w:val="0"/>
          <w:sz w:val="28"/>
          <w:szCs w:val="28"/>
          <w:lang w:val="en-US" w:eastAsia="zh-CN"/>
        </w:rPr>
        <w:t xml:space="preserve">  </w:t>
      </w:r>
      <w:r>
        <w:rPr>
          <w:rFonts w:ascii="黑体" w:hAnsi="黑体" w:eastAsia="黑体" w:cs="黑体"/>
          <w:b/>
          <w:color w:val="000000"/>
          <w:kern w:val="0"/>
          <w:sz w:val="28"/>
          <w:szCs w:val="28"/>
        </w:rPr>
        <w:t>名词解释</w:t>
      </w:r>
    </w:p>
    <w:p>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w:t>
      </w:r>
      <w:r>
        <w:rPr>
          <w:rFonts w:hint="eastAsia" w:ascii="黑体" w:hAnsi="黑体" w:eastAsia="黑体" w:cs="黑体"/>
          <w:b/>
          <w:color w:val="000000"/>
          <w:kern w:val="0"/>
          <w:sz w:val="28"/>
          <w:szCs w:val="28"/>
          <w:lang w:val="en-US" w:eastAsia="zh-CN"/>
        </w:rPr>
        <w:t xml:space="preserve">  </w:t>
      </w:r>
      <w:r>
        <w:rPr>
          <w:rFonts w:hint="eastAsia" w:ascii="黑体" w:hAnsi="黑体" w:eastAsia="黑体" w:cs="黑体"/>
          <w:b/>
          <w:color w:val="000000"/>
          <w:kern w:val="0"/>
          <w:sz w:val="28"/>
          <w:szCs w:val="28"/>
        </w:rPr>
        <w:t>附件</w:t>
      </w:r>
    </w:p>
    <w:p>
      <w:pPr>
        <w:keepNext w:val="0"/>
        <w:keepLines w:val="0"/>
        <w:pageBreakBefore w:val="0"/>
        <w:widowControl w:val="0"/>
        <w:kinsoku/>
        <w:wordWrap/>
        <w:overflowPunct/>
        <w:topLinePunct w:val="0"/>
        <w:bidi w:val="0"/>
        <w:snapToGrid/>
        <w:spacing w:line="620" w:lineRule="exact"/>
        <w:jc w:val="center"/>
        <w:textAlignment w:val="auto"/>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10"/>
        <w:jc w:val="center"/>
        <w:rPr>
          <w:sz w:val="84"/>
          <w:szCs w:val="84"/>
        </w:rPr>
      </w:pPr>
      <w:r>
        <w:rPr>
          <w:rFonts w:hint="eastAsia"/>
          <w:sz w:val="84"/>
          <w:szCs w:val="84"/>
        </w:rPr>
        <w:t>第一部分</w:t>
      </w:r>
      <w:r>
        <w:rPr>
          <w:sz w:val="84"/>
          <w:szCs w:val="84"/>
        </w:rPr>
        <w:t xml:space="preserve"> </w:t>
      </w:r>
    </w:p>
    <w:p>
      <w:pPr>
        <w:pStyle w:val="10"/>
        <w:jc w:val="center"/>
        <w:rPr>
          <w:sz w:val="84"/>
          <w:szCs w:val="84"/>
        </w:rPr>
      </w:pPr>
    </w:p>
    <w:p>
      <w:pPr>
        <w:pStyle w:val="10"/>
        <w:jc w:val="center"/>
        <w:rPr>
          <w:sz w:val="84"/>
          <w:szCs w:val="84"/>
        </w:rPr>
      </w:pPr>
      <w:r>
        <w:rPr>
          <w:rFonts w:hint="eastAsia"/>
          <w:sz w:val="84"/>
          <w:szCs w:val="84"/>
          <w:lang w:eastAsia="zh-CN"/>
        </w:rPr>
        <w:t>岳阳市不动产测绘中心</w:t>
      </w:r>
      <w:r>
        <w:rPr>
          <w:rFonts w:hint="eastAsia"/>
          <w:sz w:val="84"/>
          <w:szCs w:val="84"/>
        </w:rPr>
        <w:t>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1"/>
        <w:ind w:left="720" w:firstLine="0" w:firstLineChars="0"/>
        <w:jc w:val="left"/>
        <w:rPr>
          <w:rFonts w:ascii="黑体" w:hAnsi="黑体" w:eastAsia="黑体"/>
          <w:sz w:val="32"/>
          <w:szCs w:val="32"/>
        </w:rPr>
      </w:pPr>
    </w:p>
    <w:p>
      <w:pPr>
        <w:pStyle w:val="11"/>
        <w:ind w:left="720" w:firstLine="0" w:firstLineChars="0"/>
        <w:jc w:val="left"/>
        <w:rPr>
          <w:rFonts w:ascii="黑体" w:hAnsi="黑体" w:eastAsia="黑体"/>
          <w:sz w:val="32"/>
          <w:szCs w:val="32"/>
        </w:rPr>
      </w:pPr>
    </w:p>
    <w:p>
      <w:pPr>
        <w:pStyle w:val="11"/>
        <w:ind w:left="720" w:firstLine="0" w:firstLineChars="0"/>
        <w:jc w:val="left"/>
        <w:rPr>
          <w:rFonts w:ascii="黑体" w:hAnsi="黑体" w:eastAsia="黑体"/>
          <w:sz w:val="32"/>
          <w:szCs w:val="32"/>
        </w:rPr>
      </w:pPr>
    </w:p>
    <w:p>
      <w:pPr>
        <w:pStyle w:val="11"/>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keepNext/>
        <w:keepLines/>
        <w:spacing w:beforeLines="0" w:afterLines="0"/>
        <w:ind w:firstLine="640" w:firstLineChars="200"/>
        <w:rPr>
          <w:rFonts w:hint="eastAsia" w:ascii="宋体" w:hAnsi="宋体"/>
          <w:color w:val="auto"/>
          <w:sz w:val="32"/>
          <w:szCs w:val="24"/>
          <w:highlight w:val="white"/>
          <w:lang w:val="en-US"/>
        </w:rPr>
      </w:pPr>
      <w:r>
        <w:rPr>
          <w:rFonts w:hint="eastAsia" w:ascii="宋体" w:hAnsi="宋体"/>
          <w:color w:val="auto"/>
          <w:sz w:val="32"/>
          <w:szCs w:val="24"/>
          <w:highlight w:val="white"/>
          <w:lang w:val="en-US" w:eastAsia="zh-CN"/>
        </w:rPr>
        <w:t>岳阳市不动产测绘中心主要职责:负责市区不动产基础测绘；负责市区为不动产登记服务的地籍、房屋、界址的测绘；负责市区商品房预售测绘、房产调查和房屋面积测算；负责房屋楼盘表的建立和变更；负责不动产测绘成果的审核、转化和利用。</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keepNext/>
        <w:keepLines/>
        <w:spacing w:beforeLines="0" w:afterLines="0"/>
        <w:rPr>
          <w:rFonts w:hint="eastAsia" w:ascii="黑体" w:hAnsi="黑体" w:eastAsia="黑体" w:cs="黑体"/>
          <w:bCs/>
          <w:kern w:val="0"/>
          <w:sz w:val="32"/>
          <w:szCs w:val="32"/>
        </w:rPr>
      </w:pPr>
      <w:r>
        <w:rPr>
          <w:rFonts w:hint="eastAsia" w:ascii="黑体" w:hAnsi="黑体" w:eastAsia="黑体" w:cs="黑体"/>
          <w:bCs/>
          <w:kern w:val="0"/>
          <w:sz w:val="32"/>
          <w:szCs w:val="32"/>
        </w:rPr>
        <w:t>（一）内设机构设置。</w:t>
      </w:r>
    </w:p>
    <w:p>
      <w:pPr>
        <w:keepNext/>
        <w:keepLines/>
        <w:ind w:firstLine="640" w:firstLineChars="200"/>
        <w:rPr>
          <w:rFonts w:hint="eastAsia" w:ascii="宋体" w:hAnsi="宋体"/>
          <w:color w:val="auto"/>
          <w:sz w:val="32"/>
          <w:szCs w:val="24"/>
          <w:highlight w:val="white"/>
          <w:lang w:val="en-US" w:eastAsia="zh-CN"/>
        </w:rPr>
      </w:pPr>
      <w:r>
        <w:rPr>
          <w:rFonts w:hint="eastAsia" w:ascii="宋体" w:hAnsi="宋体"/>
          <w:color w:val="auto"/>
          <w:sz w:val="32"/>
          <w:szCs w:val="24"/>
          <w:highlight w:val="white"/>
          <w:lang w:val="en-US" w:eastAsia="zh-CN"/>
        </w:rPr>
        <w:t>岳阳市不动产测绘中心为公益二类经费自理的事业单位。截止2021年12月31日，共有在编人员15人，退休人员3人。</w:t>
      </w:r>
    </w:p>
    <w:p>
      <w:pPr>
        <w:keepNext/>
        <w:keepLines/>
        <w:ind w:firstLine="640" w:firstLineChars="200"/>
        <w:rPr>
          <w:rFonts w:hint="eastAsia" w:ascii="宋体" w:hAnsi="宋体"/>
          <w:color w:val="auto"/>
          <w:sz w:val="32"/>
          <w:szCs w:val="24"/>
          <w:highlight w:val="white"/>
          <w:lang w:val="en-US" w:eastAsia="zh-CN"/>
        </w:rPr>
      </w:pPr>
      <w:r>
        <w:rPr>
          <w:rFonts w:hint="eastAsia" w:ascii="宋体" w:hAnsi="宋体"/>
          <w:color w:val="auto"/>
          <w:sz w:val="32"/>
          <w:szCs w:val="24"/>
          <w:highlight w:val="white"/>
          <w:lang w:val="en-US" w:eastAsia="zh-CN"/>
        </w:rPr>
        <w:t>内设股室5个：综合股、基础测量股、商品房预售测绘股、房屋登记测绘股和测绘成果管理股。</w:t>
      </w:r>
    </w:p>
    <w:p>
      <w:pPr>
        <w:widowControl/>
        <w:numPr>
          <w:ilvl w:val="0"/>
          <w:numId w:val="2"/>
        </w:numPr>
        <w:spacing w:line="600" w:lineRule="exact"/>
        <w:rPr>
          <w:rFonts w:hint="eastAsia" w:ascii="黑体" w:hAnsi="黑体" w:eastAsia="黑体" w:cs="黑体"/>
          <w:bCs/>
          <w:kern w:val="0"/>
          <w:sz w:val="32"/>
          <w:szCs w:val="32"/>
        </w:rPr>
      </w:pPr>
      <w:r>
        <w:rPr>
          <w:rFonts w:hint="eastAsia" w:ascii="黑体" w:hAnsi="黑体" w:eastAsia="黑体" w:cs="黑体"/>
          <w:bCs/>
          <w:kern w:val="0"/>
          <w:sz w:val="32"/>
          <w:szCs w:val="32"/>
        </w:rPr>
        <w:t>决算单位构成。</w:t>
      </w:r>
    </w:p>
    <w:p>
      <w:pPr>
        <w:keepNext/>
        <w:keepLines/>
        <w:ind w:firstLine="640" w:firstLineChars="200"/>
        <w:rPr>
          <w:rFonts w:asciiTheme="minorEastAsia" w:hAnsiTheme="minorEastAsia"/>
          <w:bCs/>
          <w:i/>
          <w:iCs/>
          <w:kern w:val="0"/>
          <w:sz w:val="32"/>
          <w:szCs w:val="32"/>
        </w:rPr>
      </w:pPr>
      <w:r>
        <w:rPr>
          <w:rFonts w:hint="eastAsia" w:ascii="宋体" w:hAnsi="宋体"/>
          <w:color w:val="auto"/>
          <w:sz w:val="32"/>
          <w:szCs w:val="24"/>
          <w:highlight w:val="white"/>
          <w:lang w:val="zh-CN"/>
        </w:rPr>
        <w:t>岳阳市不动产测绘中心单位202</w:t>
      </w:r>
      <w:r>
        <w:rPr>
          <w:rFonts w:hint="eastAsia" w:ascii="宋体" w:hAnsi="宋体"/>
          <w:color w:val="auto"/>
          <w:sz w:val="32"/>
          <w:szCs w:val="24"/>
          <w:highlight w:val="white"/>
          <w:lang w:val="en-US" w:eastAsia="zh-CN"/>
        </w:rPr>
        <w:t>1</w:t>
      </w:r>
      <w:r>
        <w:rPr>
          <w:rFonts w:hint="eastAsia" w:ascii="宋体" w:hAnsi="宋体"/>
          <w:color w:val="auto"/>
          <w:sz w:val="32"/>
          <w:szCs w:val="24"/>
          <w:highlight w:val="white"/>
          <w:lang w:val="zh-CN"/>
        </w:rPr>
        <w:t>年部门决算公开单位</w:t>
      </w:r>
      <w:r>
        <w:rPr>
          <w:rFonts w:hint="eastAsia" w:ascii="宋体" w:hAnsi="宋体"/>
          <w:color w:val="auto"/>
          <w:sz w:val="32"/>
          <w:szCs w:val="24"/>
          <w:highlight w:val="white"/>
          <w:lang w:val="zh-CN" w:eastAsia="zh-CN"/>
        </w:rPr>
        <w:t>不包含下属单位或机构</w:t>
      </w:r>
      <w:r>
        <w:rPr>
          <w:rFonts w:hint="eastAsia" w:ascii="宋体" w:hAnsi="宋体"/>
          <w:color w:val="auto"/>
          <w:sz w:val="32"/>
          <w:szCs w:val="24"/>
          <w:highlight w:val="white"/>
          <w:lang w:val="en-US"/>
        </w:rPr>
        <w:t>。</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both"/>
        <w:rPr>
          <w:b/>
          <w:bCs/>
          <w:sz w:val="72"/>
          <w:szCs w:val="72"/>
        </w:rPr>
      </w:pPr>
    </w:p>
    <w:p>
      <w:pPr>
        <w:jc w:val="center"/>
        <w:rPr>
          <w:b/>
          <w:bCs/>
          <w:sz w:val="72"/>
          <w:szCs w:val="72"/>
        </w:rPr>
      </w:pPr>
      <w:r>
        <w:rPr>
          <w:rFonts w:hint="eastAsia"/>
          <w:b/>
          <w:bCs/>
          <w:sz w:val="72"/>
          <w:szCs w:val="72"/>
        </w:rPr>
        <w:t>第二部分</w:t>
      </w:r>
    </w:p>
    <w:p>
      <w:pPr>
        <w:jc w:val="center"/>
        <w:rPr>
          <w:b/>
          <w:bCs/>
          <w:sz w:val="72"/>
          <w:szCs w:val="72"/>
        </w:rPr>
      </w:pPr>
    </w:p>
    <w:p>
      <w:pPr>
        <w:jc w:val="center"/>
        <w:rPr>
          <w:rFonts w:hint="eastAsia"/>
          <w:b/>
          <w:bCs/>
          <w:sz w:val="72"/>
          <w:szCs w:val="72"/>
        </w:rPr>
      </w:pPr>
      <w:r>
        <w:rPr>
          <w:rFonts w:hint="eastAsia"/>
          <w:b/>
          <w:bCs/>
          <w:sz w:val="72"/>
          <w:szCs w:val="72"/>
        </w:rPr>
        <w:t>部门决算表</w:t>
      </w:r>
    </w:p>
    <w:p>
      <w:pPr>
        <w:jc w:val="center"/>
        <w:rPr>
          <w:rFonts w:hint="eastAsia" w:eastAsiaTheme="minorEastAsia"/>
          <w:b/>
          <w:bCs/>
          <w:sz w:val="72"/>
          <w:szCs w:val="72"/>
          <w:lang w:eastAsia="zh-CN"/>
        </w:rPr>
      </w:pPr>
      <w:r>
        <w:rPr>
          <w:rFonts w:hint="eastAsia"/>
          <w:b/>
          <w:bCs/>
          <w:sz w:val="72"/>
          <w:szCs w:val="72"/>
          <w:lang w:eastAsia="zh-CN"/>
        </w:rPr>
        <w:t>（见附件）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pStyle w:val="10"/>
        <w:jc w:val="both"/>
        <w:rPr>
          <w:sz w:val="72"/>
          <w:szCs w:val="72"/>
        </w:rPr>
      </w:pPr>
    </w:p>
    <w:p>
      <w:pPr>
        <w:pStyle w:val="10"/>
        <w:jc w:val="center"/>
        <w:rPr>
          <w:sz w:val="72"/>
          <w:szCs w:val="72"/>
        </w:rPr>
      </w:pPr>
    </w:p>
    <w:p>
      <w:pPr>
        <w:pStyle w:val="10"/>
        <w:jc w:val="center"/>
        <w:rPr>
          <w:sz w:val="72"/>
          <w:szCs w:val="72"/>
        </w:rPr>
      </w:pPr>
      <w:r>
        <w:rPr>
          <w:rFonts w:hint="eastAsia"/>
          <w:sz w:val="72"/>
          <w:szCs w:val="72"/>
        </w:rPr>
        <w:t>第三部分</w:t>
      </w:r>
    </w:p>
    <w:p>
      <w:pPr>
        <w:pStyle w:val="10"/>
        <w:jc w:val="center"/>
        <w:rPr>
          <w:sz w:val="70"/>
          <w:szCs w:val="70"/>
        </w:rPr>
      </w:pPr>
    </w:p>
    <w:p>
      <w:pPr>
        <w:pStyle w:val="10"/>
        <w:jc w:val="center"/>
        <w:rPr>
          <w:sz w:val="70"/>
          <w:szCs w:val="70"/>
        </w:rPr>
      </w:pPr>
      <w:r>
        <w:rPr>
          <w:sz w:val="70"/>
          <w:szCs w:val="70"/>
        </w:rPr>
        <w:t>20</w:t>
      </w:r>
      <w:r>
        <w:rPr>
          <w:rFonts w:hint="eastAsia"/>
          <w:sz w:val="70"/>
          <w:szCs w:val="70"/>
        </w:rPr>
        <w:t>21年度部门决算情况说明</w:t>
      </w:r>
    </w:p>
    <w:p>
      <w:pPr>
        <w:widowControl/>
        <w:jc w:val="left"/>
        <w:rPr>
          <w:rFonts w:ascii="黑体" w:eastAsia="黑体" w:cs="黑体"/>
          <w:color w:val="000000"/>
          <w:kern w:val="0"/>
          <w:sz w:val="70"/>
          <w:szCs w:val="70"/>
        </w:rPr>
      </w:pPr>
      <w:r>
        <w:rPr>
          <w:sz w:val="70"/>
          <w:szCs w:val="70"/>
        </w:rPr>
        <w:br w:type="page"/>
      </w:r>
    </w:p>
    <w:p>
      <w:pPr>
        <w:pStyle w:val="10"/>
        <w:rPr>
          <w:rFonts w:asciiTheme="minorEastAsia" w:hAnsiTheme="minorEastAsia" w:eastAsiaTheme="minorEastAsia"/>
          <w:sz w:val="32"/>
          <w:szCs w:val="32"/>
        </w:rPr>
      </w:pPr>
    </w:p>
    <w:p>
      <w:pPr>
        <w:pStyle w:val="10"/>
        <w:rPr>
          <w:rFonts w:hAnsi="黑体"/>
          <w:b/>
          <w:sz w:val="32"/>
          <w:szCs w:val="32"/>
        </w:rPr>
      </w:pPr>
      <w:r>
        <w:rPr>
          <w:rFonts w:hint="eastAsia" w:hAnsi="黑体"/>
          <w:b/>
          <w:sz w:val="32"/>
          <w:szCs w:val="32"/>
        </w:rPr>
        <w:t>一、收入支出决算总体情况说明</w:t>
      </w:r>
    </w:p>
    <w:p>
      <w:pPr>
        <w:pStyle w:val="10"/>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2021年度收、支总计</w:t>
      </w:r>
      <w:r>
        <w:rPr>
          <w:rFonts w:hint="eastAsia" w:asciiTheme="minorEastAsia" w:hAnsiTheme="minorEastAsia" w:eastAsiaTheme="minorEastAsia"/>
          <w:sz w:val="32"/>
          <w:szCs w:val="32"/>
          <w:lang w:val="en-US" w:eastAsia="zh-CN"/>
        </w:rPr>
        <w:t>951.85</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124.81</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15.09</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使用了上年结转结余。</w:t>
      </w:r>
    </w:p>
    <w:p>
      <w:pPr>
        <w:pStyle w:val="10"/>
        <w:rPr>
          <w:rFonts w:hAnsi="黑体"/>
          <w:b/>
          <w:sz w:val="32"/>
          <w:szCs w:val="32"/>
        </w:rPr>
      </w:pPr>
      <w:r>
        <w:rPr>
          <w:rFonts w:hint="eastAsia" w:hAnsi="黑体"/>
          <w:b/>
          <w:sz w:val="32"/>
          <w:szCs w:val="32"/>
        </w:rPr>
        <w:t>二、收入决算情况说明</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2021年度收入合计</w:t>
      </w:r>
      <w:r>
        <w:rPr>
          <w:rFonts w:hint="eastAsia" w:asciiTheme="minorEastAsia" w:hAnsiTheme="minorEastAsia" w:eastAsiaTheme="minorEastAsia"/>
          <w:sz w:val="32"/>
          <w:szCs w:val="32"/>
          <w:lang w:val="en-US" w:eastAsia="zh-CN"/>
        </w:rPr>
        <w:t>424</w:t>
      </w:r>
      <w:r>
        <w:rPr>
          <w:rFonts w:hint="eastAsia" w:asciiTheme="minorEastAsia" w:hAnsiTheme="minorEastAsia" w:eastAsiaTheme="minorEastAsia"/>
          <w:sz w:val="32"/>
          <w:szCs w:val="32"/>
        </w:rPr>
        <w:t>万元，其中：财政拨款收入</w:t>
      </w:r>
      <w:r>
        <w:rPr>
          <w:rFonts w:hint="eastAsia" w:asciiTheme="minorEastAsia" w:hAnsiTheme="minorEastAsia" w:eastAsiaTheme="minorEastAsia"/>
          <w:sz w:val="32"/>
          <w:szCs w:val="32"/>
          <w:lang w:val="en-US" w:eastAsia="zh-CN"/>
        </w:rPr>
        <w:t>423.99</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%；上级补助收入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%；事业收入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%；附属单位上缴收入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%；其他收入</w:t>
      </w:r>
      <w:r>
        <w:rPr>
          <w:rFonts w:hint="eastAsia" w:asciiTheme="minorEastAsia" w:hAnsiTheme="minorEastAsia" w:eastAsiaTheme="minorEastAsia"/>
          <w:sz w:val="32"/>
          <w:szCs w:val="32"/>
          <w:lang w:val="en-US" w:eastAsia="zh-CN"/>
        </w:rPr>
        <w:t>0.01</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10"/>
        <w:rPr>
          <w:rFonts w:hAnsi="黑体"/>
          <w:b/>
          <w:sz w:val="32"/>
          <w:szCs w:val="32"/>
        </w:rPr>
      </w:pPr>
      <w:r>
        <w:rPr>
          <w:rFonts w:hint="eastAsia" w:hAnsi="黑体"/>
          <w:b/>
          <w:sz w:val="32"/>
          <w:szCs w:val="32"/>
        </w:rPr>
        <w:t>三、支出决算情况说明</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2021年度支出合计</w:t>
      </w:r>
      <w:r>
        <w:rPr>
          <w:rFonts w:hint="eastAsia" w:asciiTheme="minorEastAsia" w:hAnsiTheme="minorEastAsia" w:eastAsiaTheme="minorEastAsia"/>
          <w:sz w:val="32"/>
          <w:szCs w:val="32"/>
          <w:lang w:val="en-US" w:eastAsia="zh-CN"/>
        </w:rPr>
        <w:t>951.85</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951.85</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%；项目支出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%；上缴上级支出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%；对附属单位补助支出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10"/>
        <w:rPr>
          <w:rFonts w:hAnsi="黑体"/>
          <w:b/>
          <w:sz w:val="32"/>
          <w:szCs w:val="32"/>
        </w:rPr>
      </w:pPr>
      <w:r>
        <w:rPr>
          <w:rFonts w:hint="eastAsia" w:hAnsi="黑体"/>
          <w:b/>
          <w:sz w:val="32"/>
          <w:szCs w:val="32"/>
        </w:rPr>
        <w:t>四、财政拨款收入支出决算总体情况说明</w:t>
      </w:r>
    </w:p>
    <w:p>
      <w:pPr>
        <w:pStyle w:val="10"/>
        <w:ind w:firstLine="640" w:firstLineChars="200"/>
        <w:rPr>
          <w:rFonts w:hint="eastAsia" w:asciiTheme="minorEastAsia" w:hAnsiTheme="minorEastAsia" w:eastAsiaTheme="minorEastAsia"/>
          <w:i/>
          <w:iCs/>
          <w:sz w:val="32"/>
          <w:szCs w:val="32"/>
          <w:lang w:eastAsia="zh-CN"/>
        </w:rPr>
      </w:pPr>
      <w:r>
        <w:rPr>
          <w:rFonts w:hint="eastAsia" w:asciiTheme="minorEastAsia" w:hAnsiTheme="minorEastAsia" w:eastAsiaTheme="minorEastAsia"/>
          <w:sz w:val="32"/>
          <w:szCs w:val="32"/>
        </w:rPr>
        <w:t>2021年度财政拨款收、支总计</w:t>
      </w:r>
      <w:r>
        <w:rPr>
          <w:rFonts w:hint="eastAsia" w:asciiTheme="minorEastAsia" w:hAnsiTheme="minorEastAsia" w:eastAsiaTheme="minorEastAsia"/>
          <w:sz w:val="32"/>
          <w:szCs w:val="32"/>
          <w:lang w:val="en-US" w:eastAsia="zh-CN"/>
        </w:rPr>
        <w:t>696.57</w:t>
      </w:r>
      <w:r>
        <w:rPr>
          <w:rFonts w:hint="eastAsia" w:asciiTheme="minorEastAsia" w:hAnsiTheme="minorEastAsia" w:eastAsiaTheme="minorEastAsia"/>
          <w:sz w:val="32"/>
          <w:szCs w:val="32"/>
        </w:rPr>
        <w:t>万元，与上年相比，增加（减少）</w:t>
      </w:r>
      <w:r>
        <w:rPr>
          <w:rFonts w:hint="eastAsia" w:asciiTheme="minorEastAsia" w:hAnsiTheme="minorEastAsia" w:eastAsiaTheme="minorEastAsia"/>
          <w:sz w:val="32"/>
          <w:szCs w:val="32"/>
          <w:lang w:val="en-US" w:eastAsia="zh-CN"/>
        </w:rPr>
        <w:t>195.09</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38</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使用了上年结转结余。</w:t>
      </w:r>
    </w:p>
    <w:p>
      <w:pPr>
        <w:pStyle w:val="10"/>
        <w:rPr>
          <w:rFonts w:hAnsi="黑体"/>
          <w:b/>
          <w:sz w:val="32"/>
          <w:szCs w:val="32"/>
        </w:rPr>
      </w:pPr>
      <w:r>
        <w:rPr>
          <w:rFonts w:hint="eastAsia" w:hAnsi="黑体"/>
          <w:b/>
          <w:sz w:val="32"/>
          <w:szCs w:val="32"/>
        </w:rPr>
        <w:t>五、一般公共预算财政拨款支出决算情况说明</w:t>
      </w:r>
    </w:p>
    <w:p>
      <w:pPr>
        <w:pStyle w:val="10"/>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10"/>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2021年度财政拨款支出</w:t>
      </w:r>
      <w:r>
        <w:rPr>
          <w:rFonts w:hint="eastAsia" w:asciiTheme="minorEastAsia" w:hAnsiTheme="minorEastAsia" w:eastAsiaTheme="minorEastAsia"/>
          <w:sz w:val="32"/>
          <w:szCs w:val="32"/>
          <w:lang w:val="en-US" w:eastAsia="zh-CN"/>
        </w:rPr>
        <w:t>696.57</w:t>
      </w:r>
      <w:r>
        <w:rPr>
          <w:rFonts w:hint="eastAsia" w:asciiTheme="minorEastAsia" w:hAnsiTheme="minorEastAsia" w:eastAsiaTheme="minorEastAsia"/>
          <w:sz w:val="32"/>
          <w:szCs w:val="32"/>
        </w:rPr>
        <w:t>万元，占本年支出合计的</w:t>
      </w:r>
      <w:r>
        <w:rPr>
          <w:rFonts w:hint="eastAsia" w:asciiTheme="minorEastAsia" w:hAnsiTheme="minorEastAsia" w:eastAsiaTheme="minorEastAsia"/>
          <w:sz w:val="32"/>
          <w:szCs w:val="32"/>
          <w:lang w:val="en-US" w:eastAsia="zh-CN"/>
        </w:rPr>
        <w:t>73.18</w:t>
      </w:r>
      <w:r>
        <w:rPr>
          <w:rFonts w:hint="eastAsia" w:asciiTheme="minorEastAsia" w:hAnsiTheme="minorEastAsia" w:eastAsiaTheme="minorEastAsia"/>
          <w:sz w:val="32"/>
          <w:szCs w:val="32"/>
        </w:rPr>
        <w:t>%，与上年相比，财政拨款支出增加</w:t>
      </w:r>
      <w:r>
        <w:rPr>
          <w:rFonts w:hint="eastAsia" w:asciiTheme="minorEastAsia" w:hAnsiTheme="minorEastAsia" w:eastAsiaTheme="minorEastAsia"/>
          <w:sz w:val="32"/>
          <w:szCs w:val="32"/>
          <w:lang w:val="en-US" w:eastAsia="zh-CN"/>
        </w:rPr>
        <w:t>470.82</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208.55</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使用了上年结转结余。</w:t>
      </w:r>
    </w:p>
    <w:p>
      <w:pPr>
        <w:pStyle w:val="10"/>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10"/>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2021年度财政拨款支出</w:t>
      </w:r>
      <w:r>
        <w:rPr>
          <w:rFonts w:hint="eastAsia" w:asciiTheme="minorEastAsia" w:hAnsiTheme="minorEastAsia" w:eastAsiaTheme="minorEastAsia"/>
          <w:sz w:val="32"/>
          <w:szCs w:val="32"/>
          <w:lang w:val="en-US" w:eastAsia="zh-CN"/>
        </w:rPr>
        <w:t>696.57</w:t>
      </w:r>
      <w:r>
        <w:rPr>
          <w:rFonts w:hint="eastAsia" w:asciiTheme="minorEastAsia" w:hAnsiTheme="minorEastAsia" w:eastAsiaTheme="minorEastAsia"/>
          <w:sz w:val="32"/>
          <w:szCs w:val="32"/>
        </w:rPr>
        <w:t>万元，主要用于以下方面：</w:t>
      </w:r>
      <w:r>
        <w:rPr>
          <w:rFonts w:hint="eastAsia" w:asciiTheme="minorEastAsia" w:hAnsiTheme="minorEastAsia" w:eastAsiaTheme="minorEastAsia"/>
          <w:sz w:val="32"/>
          <w:szCs w:val="32"/>
          <w:lang w:eastAsia="zh-CN"/>
        </w:rPr>
        <w:t>城乡社区支出</w:t>
      </w:r>
      <w:r>
        <w:rPr>
          <w:rFonts w:hint="eastAsia" w:asciiTheme="minorEastAsia" w:hAnsiTheme="minorEastAsia" w:eastAsiaTheme="minorEastAsia"/>
          <w:sz w:val="32"/>
          <w:szCs w:val="32"/>
          <w:lang w:val="en-US" w:eastAsia="zh-CN"/>
        </w:rPr>
        <w:t>461.66</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66.28</w:t>
      </w:r>
      <w:r>
        <w:rPr>
          <w:rFonts w:hint="eastAsia" w:asciiTheme="minorEastAsia" w:hAnsiTheme="minorEastAsia" w:eastAsiaTheme="minorEastAsia"/>
          <w:sz w:val="32"/>
          <w:szCs w:val="32"/>
        </w:rPr>
        <w:t>%；自然资源海洋气象等支出</w:t>
      </w:r>
      <w:r>
        <w:rPr>
          <w:rFonts w:hint="eastAsia" w:asciiTheme="minorEastAsia" w:hAnsiTheme="minorEastAsia" w:eastAsiaTheme="minorEastAsia"/>
          <w:sz w:val="32"/>
          <w:szCs w:val="32"/>
          <w:lang w:val="en-US" w:eastAsia="zh-CN"/>
        </w:rPr>
        <w:t>234.91</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33.72</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10"/>
        <w:ind w:firstLine="640" w:firstLineChars="200"/>
        <w:rPr>
          <w:rFonts w:hint="eastAsia" w:asciiTheme="minorEastAsia" w:hAnsiTheme="minorEastAsia" w:eastAsiaTheme="minorEastAsia"/>
          <w:sz w:val="32"/>
          <w:szCs w:val="32"/>
          <w:lang w:eastAsia="zh-CN"/>
        </w:rPr>
      </w:pPr>
    </w:p>
    <w:p>
      <w:pPr>
        <w:pStyle w:val="10"/>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2021年度财政拨款支出年初预算数为</w:t>
      </w:r>
      <w:r>
        <w:rPr>
          <w:rFonts w:hint="eastAsia" w:asciiTheme="minorEastAsia" w:hAnsiTheme="minorEastAsia" w:eastAsiaTheme="minorEastAsia"/>
          <w:sz w:val="32"/>
          <w:szCs w:val="32"/>
          <w:lang w:val="en-US" w:eastAsia="zh-CN"/>
        </w:rPr>
        <w:t>350</w:t>
      </w:r>
      <w:r>
        <w:rPr>
          <w:rFonts w:hint="eastAsia" w:asciiTheme="minorEastAsia" w:hAnsiTheme="minorEastAsia" w:eastAsiaTheme="minorEastAsia"/>
          <w:sz w:val="32"/>
          <w:szCs w:val="32"/>
        </w:rPr>
        <w:t>万元，支出决算数为</w:t>
      </w:r>
      <w:r>
        <w:rPr>
          <w:rFonts w:hint="eastAsia" w:asciiTheme="minorEastAsia" w:hAnsiTheme="minorEastAsia" w:eastAsiaTheme="minorEastAsia"/>
          <w:sz w:val="32"/>
          <w:szCs w:val="32"/>
          <w:lang w:val="en-US" w:eastAsia="zh-CN"/>
        </w:rPr>
        <w:t>696.57</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199.02</w:t>
      </w:r>
      <w:r>
        <w:rPr>
          <w:rFonts w:hint="eastAsia" w:asciiTheme="minorEastAsia" w:hAnsiTheme="minorEastAsia" w:eastAsiaTheme="minorEastAsia"/>
          <w:sz w:val="32"/>
          <w:szCs w:val="32"/>
        </w:rPr>
        <w:t>%，其中：</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w:t>
      </w:r>
      <w:r>
        <w:rPr>
          <w:rFonts w:hint="eastAsia" w:asciiTheme="minorEastAsia" w:hAnsiTheme="minorEastAsia" w:eastAsiaTheme="minorEastAsia"/>
          <w:sz w:val="32"/>
          <w:szCs w:val="32"/>
          <w:lang w:eastAsia="zh-CN"/>
        </w:rPr>
        <w:t>城乡社区支出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eastAsia="zh-CN"/>
        </w:rPr>
        <w:t>其他城乡社区支出</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eastAsia="zh-CN"/>
        </w:rPr>
        <w:t>其他城乡社区支出</w:t>
      </w:r>
      <w:r>
        <w:rPr>
          <w:rFonts w:hint="eastAsia" w:asciiTheme="minorEastAsia" w:hAnsiTheme="minorEastAsia" w:eastAsiaTheme="minorEastAsia"/>
          <w:sz w:val="32"/>
          <w:szCs w:val="32"/>
        </w:rPr>
        <w:t>（项）。</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461.66</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由于预算数为</w:t>
      </w:r>
      <w:r>
        <w:rPr>
          <w:rFonts w:hint="eastAsia" w:asciiTheme="minorEastAsia" w:hAnsiTheme="minorEastAsia" w:eastAsiaTheme="minorEastAsia"/>
          <w:sz w:val="32"/>
          <w:szCs w:val="32"/>
          <w:lang w:val="en-US" w:eastAsia="zh-CN"/>
        </w:rPr>
        <w:t>0，无法计算百分比。</w:t>
      </w:r>
      <w:r>
        <w:rPr>
          <w:rFonts w:hint="eastAsia" w:asciiTheme="minorEastAsia" w:hAnsiTheme="minorEastAsia" w:eastAsiaTheme="minorEastAsia"/>
          <w:sz w:val="32"/>
          <w:szCs w:val="32"/>
        </w:rPr>
        <w:t>决算数大于年初预算数的主要原因是</w:t>
      </w:r>
      <w:r>
        <w:rPr>
          <w:rFonts w:hint="eastAsia" w:asciiTheme="minorEastAsia" w:hAnsiTheme="minorEastAsia" w:eastAsiaTheme="minorEastAsia"/>
          <w:sz w:val="32"/>
          <w:szCs w:val="32"/>
          <w:lang w:eastAsia="zh-CN"/>
        </w:rPr>
        <w:t>上年结转结余。</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w:t>
      </w:r>
      <w:r>
        <w:rPr>
          <w:rFonts w:hint="eastAsia" w:asciiTheme="minorEastAsia" w:hAnsiTheme="minorEastAsia" w:eastAsiaTheme="minorEastAsia"/>
          <w:sz w:val="32"/>
          <w:szCs w:val="32"/>
          <w:lang w:val="en-US"/>
        </w:rPr>
        <w:t>自然资源海洋气象等支出（类）自然资源事务（款）基础测绘与地理信息监管（项）</w:t>
      </w:r>
      <w:r>
        <w:rPr>
          <w:rFonts w:hint="eastAsia" w:asciiTheme="minorEastAsia" w:hAnsiTheme="minorEastAsia" w:eastAsiaTheme="minorEastAsia"/>
          <w:sz w:val="32"/>
          <w:szCs w:val="32"/>
        </w:rPr>
        <w:t>。</w:t>
      </w:r>
    </w:p>
    <w:p>
      <w:pPr>
        <w:pStyle w:val="10"/>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350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234.91</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67.12</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小</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非税收入指标是根据</w:t>
      </w:r>
      <w:r>
        <w:rPr>
          <w:rFonts w:hint="eastAsia" w:asciiTheme="minorEastAsia" w:hAnsiTheme="minorEastAsia" w:eastAsiaTheme="minorEastAsia"/>
          <w:sz w:val="32"/>
          <w:szCs w:val="32"/>
          <w:lang w:val="en-US" w:eastAsia="zh-CN"/>
        </w:rPr>
        <w:t>当年完成进度和返还比例按月下达的，指标结余115.09万元。</w:t>
      </w:r>
    </w:p>
    <w:p>
      <w:pPr>
        <w:pStyle w:val="10"/>
        <w:rPr>
          <w:rFonts w:hAnsi="黑体"/>
          <w:b/>
          <w:sz w:val="32"/>
          <w:szCs w:val="32"/>
        </w:rPr>
      </w:pPr>
      <w:r>
        <w:rPr>
          <w:rFonts w:hint="eastAsia" w:hAnsi="黑体"/>
          <w:b/>
          <w:sz w:val="32"/>
          <w:szCs w:val="32"/>
        </w:rPr>
        <w:t>六、一般公共预算财政拨款基本支出决算情况说明</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2021年度财政拨款基本支出</w:t>
      </w:r>
      <w:r>
        <w:rPr>
          <w:rFonts w:hint="eastAsia" w:asciiTheme="minorEastAsia" w:hAnsiTheme="minorEastAsia" w:eastAsiaTheme="minorEastAsia"/>
          <w:sz w:val="32"/>
          <w:szCs w:val="32"/>
          <w:lang w:val="en-US" w:eastAsia="zh-CN"/>
        </w:rPr>
        <w:t>696.57</w:t>
      </w:r>
      <w:r>
        <w:rPr>
          <w:rFonts w:hint="eastAsia" w:asciiTheme="minorEastAsia" w:hAnsiTheme="minorEastAsia" w:eastAsiaTheme="minorEastAsia"/>
          <w:sz w:val="32"/>
          <w:szCs w:val="32"/>
        </w:rPr>
        <w:t>万元，其中：</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人员经费</w:t>
      </w:r>
      <w:r>
        <w:rPr>
          <w:rFonts w:hint="eastAsia" w:asciiTheme="minorEastAsia" w:hAnsiTheme="minorEastAsia" w:eastAsiaTheme="minorEastAsia"/>
          <w:sz w:val="32"/>
          <w:szCs w:val="32"/>
          <w:lang w:val="en-US" w:eastAsia="zh-CN"/>
        </w:rPr>
        <w:t>194.72</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27.95</w:t>
      </w:r>
      <w:r>
        <w:rPr>
          <w:rFonts w:hint="eastAsia" w:asciiTheme="minorEastAsia" w:hAnsiTheme="minorEastAsia" w:eastAsiaTheme="minorEastAsia"/>
          <w:sz w:val="32"/>
          <w:szCs w:val="32"/>
        </w:rPr>
        <w:t>%,主要包括主要包括基本工资、津贴补贴、</w:t>
      </w:r>
      <w:r>
        <w:rPr>
          <w:rFonts w:hint="eastAsia" w:asciiTheme="minorEastAsia" w:hAnsiTheme="minorEastAsia" w:eastAsiaTheme="minorEastAsia"/>
          <w:sz w:val="32"/>
          <w:szCs w:val="32"/>
          <w:lang w:val="zh-CN"/>
        </w:rPr>
        <w:t>奖金、伙食补助费、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r>
        <w:rPr>
          <w:rFonts w:hint="eastAsia" w:asciiTheme="minorEastAsia" w:hAnsiTheme="minorEastAsia" w:eastAsiaTheme="minorEastAsia"/>
          <w:sz w:val="32"/>
          <w:szCs w:val="32"/>
        </w:rPr>
        <w:t>；</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公用经费</w:t>
      </w:r>
      <w:r>
        <w:rPr>
          <w:rFonts w:hint="eastAsia" w:asciiTheme="minorEastAsia" w:hAnsiTheme="minorEastAsia" w:eastAsiaTheme="minorEastAsia"/>
          <w:sz w:val="32"/>
          <w:szCs w:val="32"/>
          <w:lang w:val="en-US" w:eastAsia="zh-CN"/>
        </w:rPr>
        <w:t>501.85</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72.05</w:t>
      </w:r>
      <w:r>
        <w:rPr>
          <w:rFonts w:hint="eastAsia" w:asciiTheme="minorEastAsia" w:hAnsiTheme="minorEastAsia" w:eastAsiaTheme="minorEastAsia"/>
          <w:sz w:val="32"/>
          <w:szCs w:val="32"/>
        </w:rPr>
        <w:t>%，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10"/>
        <w:rPr>
          <w:rFonts w:hAnsi="黑体"/>
          <w:b/>
          <w:sz w:val="32"/>
          <w:szCs w:val="32"/>
        </w:rPr>
      </w:pPr>
      <w:r>
        <w:rPr>
          <w:rFonts w:hint="eastAsia" w:hAnsi="黑体"/>
          <w:b/>
          <w:sz w:val="32"/>
          <w:szCs w:val="32"/>
        </w:rPr>
        <w:t>七、一般公共预算财政拨款“三公”经费支出决算情况说明</w:t>
      </w:r>
    </w:p>
    <w:p>
      <w:pPr>
        <w:pStyle w:val="10"/>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2021年度“三公”经费财政拨款支出预算为</w:t>
      </w:r>
      <w:r>
        <w:rPr>
          <w:rFonts w:hint="eastAsia" w:asciiTheme="minorEastAsia" w:hAnsiTheme="minorEastAsia" w:eastAsiaTheme="minorEastAsia"/>
          <w:sz w:val="32"/>
          <w:szCs w:val="32"/>
          <w:lang w:val="en-US" w:eastAsia="zh-CN"/>
        </w:rPr>
        <w:t>6</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5.41</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90.17</w:t>
      </w:r>
      <w:r>
        <w:rPr>
          <w:rFonts w:hint="eastAsia" w:asciiTheme="minorEastAsia" w:hAnsiTheme="minorEastAsia" w:eastAsiaTheme="minorEastAsia"/>
          <w:sz w:val="32"/>
          <w:szCs w:val="32"/>
        </w:rPr>
        <w:t>%，其中：</w:t>
      </w:r>
    </w:p>
    <w:p>
      <w:pPr>
        <w:pStyle w:val="10"/>
        <w:ind w:firstLine="960" w:firstLineChars="300"/>
        <w:rPr>
          <w:rFonts w:hint="eastAsia" w:ascii="宋体" w:hAnsi="Times New Roman" w:eastAsia="宋体"/>
          <w:sz w:val="32"/>
          <w:szCs w:val="24"/>
          <w:highlight w:val="white"/>
          <w:lang w:val="zh-CN"/>
        </w:rPr>
      </w:pPr>
      <w:r>
        <w:rPr>
          <w:rFonts w:hint="eastAsia" w:asciiTheme="minorEastAsia" w:hAnsiTheme="minorEastAsia" w:eastAsiaTheme="minorEastAsia"/>
          <w:sz w:val="32"/>
          <w:szCs w:val="32"/>
        </w:rPr>
        <w:t>因公出国（境）费支出预算为0万元，支出决算为0万元，</w:t>
      </w:r>
      <w:r>
        <w:rPr>
          <w:rFonts w:hint="eastAsia" w:asciiTheme="minorEastAsia" w:hAnsiTheme="minorEastAsia" w:eastAsiaTheme="minorEastAsia"/>
          <w:sz w:val="32"/>
          <w:szCs w:val="32"/>
          <w:lang w:eastAsia="zh-CN"/>
        </w:rPr>
        <w:t>由于预算数为</w:t>
      </w:r>
      <w:r>
        <w:rPr>
          <w:rFonts w:hint="eastAsia" w:asciiTheme="minorEastAsia" w:hAnsiTheme="minorEastAsia" w:eastAsiaTheme="minorEastAsia"/>
          <w:sz w:val="32"/>
          <w:szCs w:val="32"/>
          <w:lang w:val="en-US" w:eastAsia="zh-CN"/>
        </w:rPr>
        <w:t>0，无法计算百分比。</w:t>
      </w:r>
      <w:r>
        <w:rPr>
          <w:rFonts w:hint="eastAsia" w:ascii="宋体" w:hAnsi="Times New Roman" w:eastAsia="宋体"/>
          <w:sz w:val="32"/>
          <w:szCs w:val="24"/>
          <w:highlight w:val="white"/>
          <w:lang w:val="zh-CN"/>
        </w:rPr>
        <w:t>决算数与预算数一致，主要原因是认真贯彻落实中央“八项规定”精神和厉行节约要求，从严控制“三公”经费开支，全年未作出国（境）公务安排。</w:t>
      </w:r>
      <w:r>
        <w:rPr>
          <w:rFonts w:hint="eastAsia" w:ascii="宋体" w:hAnsi="Times New Roman" w:eastAsia="宋体"/>
          <w:sz w:val="32"/>
          <w:szCs w:val="24"/>
          <w:highlight w:val="white"/>
        </w:rPr>
        <w:t>与上年相比无增减变化，主要原因是持续</w:t>
      </w:r>
      <w:r>
        <w:rPr>
          <w:rFonts w:hint="eastAsia" w:ascii="宋体" w:hAnsi="Times New Roman" w:eastAsia="宋体"/>
          <w:sz w:val="32"/>
          <w:szCs w:val="24"/>
          <w:highlight w:val="white"/>
          <w:lang w:val="zh-CN"/>
        </w:rPr>
        <w:t>认真贯彻落实中央“八项规定”精神和厉行节约要求，从严控制“三公”经费开支，未作出国（境）公务安排。</w:t>
      </w:r>
    </w:p>
    <w:p>
      <w:pPr>
        <w:keepNext/>
        <w:keepLines/>
        <w:autoSpaceDE w:val="0"/>
        <w:autoSpaceDN w:val="0"/>
        <w:adjustRightInd w:val="0"/>
        <w:spacing w:beforeLines="0" w:afterLines="0" w:line="560" w:lineRule="exact"/>
        <w:ind w:firstLine="640"/>
        <w:rPr>
          <w:rFonts w:hint="eastAsia" w:ascii="Times New Roman" w:hAnsi="Times New Roman" w:eastAsia="宋体"/>
          <w:color w:val="000000"/>
          <w:sz w:val="21"/>
          <w:szCs w:val="24"/>
        </w:rPr>
      </w:pPr>
      <w:r>
        <w:rPr>
          <w:rFonts w:hint="eastAsia" w:asciiTheme="minorEastAsia" w:hAnsiTheme="minorEastAsia" w:eastAsiaTheme="minorEastAsia"/>
          <w:sz w:val="32"/>
          <w:szCs w:val="32"/>
        </w:rPr>
        <w:t>公务接待费支出预算为0万元，支出决算为0万元，</w:t>
      </w:r>
      <w:r>
        <w:rPr>
          <w:rFonts w:hint="eastAsia" w:asciiTheme="minorEastAsia" w:hAnsiTheme="minorEastAsia" w:eastAsiaTheme="minorEastAsia"/>
          <w:sz w:val="32"/>
          <w:szCs w:val="32"/>
          <w:lang w:eastAsia="zh-CN"/>
        </w:rPr>
        <w:t>由于预算数为</w:t>
      </w:r>
      <w:r>
        <w:rPr>
          <w:rFonts w:hint="eastAsia" w:asciiTheme="minorEastAsia" w:hAnsiTheme="minorEastAsia" w:eastAsiaTheme="minorEastAsia"/>
          <w:sz w:val="32"/>
          <w:szCs w:val="32"/>
          <w:lang w:val="en-US" w:eastAsia="zh-CN"/>
        </w:rPr>
        <w:t>0，无法计算百分比。</w:t>
      </w:r>
      <w:r>
        <w:rPr>
          <w:rFonts w:hint="eastAsia" w:asciiTheme="minorEastAsia" w:hAnsiTheme="minorEastAsia" w:eastAsiaTheme="minorEastAsia"/>
          <w:sz w:val="32"/>
          <w:szCs w:val="32"/>
        </w:rPr>
        <w:t>决算数与预算数一致无差异，</w:t>
      </w:r>
      <w:r>
        <w:rPr>
          <w:rFonts w:hint="eastAsia" w:ascii="宋体" w:hAnsi="宋体" w:eastAsia="宋体"/>
          <w:bCs/>
          <w:sz w:val="32"/>
          <w:szCs w:val="32"/>
        </w:rPr>
        <w:t>主要原因是</w:t>
      </w:r>
      <w:r>
        <w:rPr>
          <w:rFonts w:hint="eastAsia" w:ascii="宋体" w:hAnsi="Times New Roman" w:eastAsia="宋体"/>
          <w:sz w:val="32"/>
          <w:szCs w:val="24"/>
          <w:highlight w:val="white"/>
        </w:rPr>
        <w:t>持续</w:t>
      </w:r>
      <w:r>
        <w:rPr>
          <w:rFonts w:hint="eastAsia" w:ascii="宋体" w:hAnsi="Times New Roman" w:eastAsia="宋体"/>
          <w:sz w:val="32"/>
          <w:szCs w:val="24"/>
          <w:highlight w:val="white"/>
          <w:lang w:val="zh-CN"/>
        </w:rPr>
        <w:t>认真贯彻落实中央“八项规定”精神和厉行节约要求，从严控制“三公”经费开支，</w:t>
      </w:r>
      <w:r>
        <w:rPr>
          <w:rFonts w:hint="eastAsia" w:ascii="宋体" w:hAnsi="宋体" w:eastAsia="宋体"/>
          <w:bCs/>
          <w:sz w:val="32"/>
          <w:szCs w:val="32"/>
          <w:lang w:eastAsia="zh-CN"/>
        </w:rPr>
        <w:t>未作</w:t>
      </w:r>
      <w:r>
        <w:rPr>
          <w:rFonts w:hint="eastAsia" w:ascii="宋体" w:hAnsi="宋体" w:eastAsia="宋体"/>
          <w:bCs/>
          <w:sz w:val="32"/>
          <w:szCs w:val="32"/>
        </w:rPr>
        <w:t>公务接待</w:t>
      </w:r>
      <w:r>
        <w:rPr>
          <w:rFonts w:hint="eastAsia" w:ascii="宋体" w:hAnsi="宋体" w:eastAsia="宋体"/>
          <w:bCs/>
          <w:sz w:val="32"/>
          <w:szCs w:val="32"/>
          <w:lang w:eastAsia="zh-CN"/>
        </w:rPr>
        <w:t>安排。</w:t>
      </w:r>
      <w:r>
        <w:rPr>
          <w:rFonts w:hint="eastAsia" w:ascii="宋体" w:hAnsi="宋体" w:eastAsia="宋体"/>
          <w:bCs/>
          <w:sz w:val="32"/>
          <w:szCs w:val="32"/>
        </w:rPr>
        <w:t>与上年相比无增减变化，主要原因是</w:t>
      </w:r>
      <w:r>
        <w:rPr>
          <w:rFonts w:hint="eastAsia" w:ascii="宋体" w:hAnsi="Times New Roman" w:eastAsia="宋体"/>
          <w:sz w:val="32"/>
          <w:szCs w:val="24"/>
          <w:highlight w:val="white"/>
        </w:rPr>
        <w:t>持续</w:t>
      </w:r>
      <w:r>
        <w:rPr>
          <w:rFonts w:hint="eastAsia" w:ascii="宋体" w:hAnsi="Times New Roman" w:eastAsia="宋体"/>
          <w:sz w:val="32"/>
          <w:szCs w:val="24"/>
          <w:highlight w:val="white"/>
          <w:lang w:val="zh-CN"/>
        </w:rPr>
        <w:t>认真贯彻落实中央“八项规定”精神和厉行节约要求，从严控制“三公”经费开支，</w:t>
      </w:r>
      <w:r>
        <w:rPr>
          <w:rFonts w:hint="eastAsia" w:ascii="宋体" w:hAnsi="宋体" w:eastAsia="宋体"/>
          <w:bCs/>
          <w:sz w:val="32"/>
          <w:szCs w:val="32"/>
          <w:lang w:eastAsia="zh-CN"/>
        </w:rPr>
        <w:t>未作</w:t>
      </w:r>
      <w:r>
        <w:rPr>
          <w:rFonts w:hint="eastAsia" w:ascii="宋体" w:hAnsi="宋体" w:eastAsia="宋体"/>
          <w:bCs/>
          <w:sz w:val="32"/>
          <w:szCs w:val="32"/>
        </w:rPr>
        <w:t>公务接待</w:t>
      </w:r>
      <w:r>
        <w:rPr>
          <w:rFonts w:hint="eastAsia" w:ascii="宋体" w:hAnsi="宋体" w:eastAsia="宋体"/>
          <w:bCs/>
          <w:sz w:val="32"/>
          <w:szCs w:val="32"/>
          <w:lang w:eastAsia="zh-CN"/>
        </w:rPr>
        <w:t>安排。</w:t>
      </w:r>
    </w:p>
    <w:p>
      <w:pPr>
        <w:keepNext/>
        <w:keepLines/>
        <w:autoSpaceDE w:val="0"/>
        <w:autoSpaceDN w:val="0"/>
        <w:adjustRightInd w:val="0"/>
        <w:spacing w:beforeLines="0" w:afterLines="0" w:line="560" w:lineRule="exact"/>
        <w:ind w:firstLine="640"/>
        <w:rPr>
          <w:rFonts w:ascii="宋体" w:hAnsi="Times New Roman" w:eastAsia="宋体"/>
          <w:sz w:val="32"/>
          <w:highlight w:val="white"/>
          <w:lang w:val="zh-CN"/>
        </w:rPr>
      </w:pPr>
      <w:r>
        <w:rPr>
          <w:rFonts w:hint="eastAsia" w:ascii="宋体" w:hAnsi="Times New Roman" w:eastAsia="宋体"/>
          <w:color w:val="000000"/>
          <w:sz w:val="32"/>
          <w:highlight w:val="white"/>
        </w:rPr>
        <w:t>公务用车购置费支出预算为0万元，支出决算为0万元，决算数与预算数一致无差异，主要原因是</w:t>
      </w:r>
      <w:r>
        <w:rPr>
          <w:rFonts w:hint="eastAsia" w:ascii="宋体" w:hAnsi="Times New Roman" w:eastAsia="宋体"/>
          <w:color w:val="000000"/>
          <w:sz w:val="32"/>
          <w:szCs w:val="24"/>
          <w:highlight w:val="white"/>
          <w:lang w:val="zh-CN"/>
        </w:rPr>
        <w:t>认真贯彻落实中央</w:t>
      </w:r>
      <w:r>
        <w:rPr>
          <w:rFonts w:hint="default" w:ascii="Times New Roman" w:hAnsi="Times New Roman" w:eastAsia="宋体"/>
          <w:color w:val="000000"/>
          <w:sz w:val="32"/>
          <w:szCs w:val="24"/>
          <w:highlight w:val="white"/>
          <w:lang w:val="zh-CN"/>
        </w:rPr>
        <w:t>“</w:t>
      </w:r>
      <w:r>
        <w:rPr>
          <w:rFonts w:hint="eastAsia" w:ascii="宋体" w:hAnsi="Times New Roman" w:eastAsia="宋体"/>
          <w:color w:val="000000"/>
          <w:sz w:val="32"/>
          <w:szCs w:val="24"/>
          <w:highlight w:val="white"/>
          <w:lang w:val="zh-CN"/>
        </w:rPr>
        <w:t>八项规定</w:t>
      </w:r>
      <w:r>
        <w:rPr>
          <w:rFonts w:hint="default" w:ascii="Times New Roman" w:hAnsi="Times New Roman" w:eastAsia="宋体"/>
          <w:color w:val="000000"/>
          <w:sz w:val="32"/>
          <w:szCs w:val="24"/>
          <w:highlight w:val="white"/>
          <w:lang w:val="zh-CN"/>
        </w:rPr>
        <w:t>”</w:t>
      </w:r>
      <w:r>
        <w:rPr>
          <w:rFonts w:hint="eastAsia" w:ascii="宋体" w:hAnsi="Times New Roman" w:eastAsia="宋体"/>
          <w:color w:val="000000"/>
          <w:sz w:val="32"/>
          <w:szCs w:val="24"/>
          <w:highlight w:val="white"/>
          <w:lang w:val="zh-CN"/>
        </w:rPr>
        <w:t>精神和厉行节约要求，从严控制</w:t>
      </w:r>
      <w:r>
        <w:rPr>
          <w:rFonts w:hint="default" w:ascii="Times New Roman" w:hAnsi="Times New Roman" w:eastAsia="宋体"/>
          <w:color w:val="000000"/>
          <w:sz w:val="32"/>
          <w:szCs w:val="24"/>
          <w:highlight w:val="white"/>
          <w:lang w:val="zh-CN"/>
        </w:rPr>
        <w:t>“</w:t>
      </w:r>
      <w:r>
        <w:rPr>
          <w:rFonts w:hint="eastAsia" w:ascii="宋体" w:hAnsi="Times New Roman" w:eastAsia="宋体"/>
          <w:color w:val="000000"/>
          <w:sz w:val="32"/>
          <w:szCs w:val="24"/>
          <w:highlight w:val="white"/>
          <w:lang w:val="zh-CN"/>
        </w:rPr>
        <w:t>三公</w:t>
      </w:r>
      <w:r>
        <w:rPr>
          <w:rFonts w:hint="default" w:ascii="Times New Roman" w:hAnsi="Times New Roman" w:eastAsia="宋体"/>
          <w:color w:val="000000"/>
          <w:sz w:val="32"/>
          <w:szCs w:val="24"/>
          <w:highlight w:val="white"/>
          <w:lang w:val="zh-CN"/>
        </w:rPr>
        <w:t>”</w:t>
      </w:r>
      <w:r>
        <w:rPr>
          <w:rFonts w:hint="eastAsia" w:ascii="宋体" w:hAnsi="Times New Roman" w:eastAsia="宋体"/>
          <w:color w:val="000000"/>
          <w:sz w:val="32"/>
          <w:szCs w:val="24"/>
          <w:highlight w:val="white"/>
          <w:lang w:val="zh-CN"/>
        </w:rPr>
        <w:t>经费开支，未作公务用车购置安排。</w:t>
      </w:r>
      <w:r>
        <w:rPr>
          <w:rFonts w:hint="eastAsia" w:ascii="宋体" w:hAnsi="Times New Roman" w:eastAsia="宋体"/>
          <w:sz w:val="32"/>
          <w:szCs w:val="24"/>
          <w:highlight w:val="white"/>
        </w:rPr>
        <w:t>与上年相比无增减变化，主要原因是持续</w:t>
      </w:r>
      <w:r>
        <w:rPr>
          <w:rFonts w:hint="eastAsia" w:ascii="宋体" w:hAnsi="Times New Roman" w:eastAsia="宋体"/>
          <w:sz w:val="32"/>
          <w:szCs w:val="24"/>
          <w:highlight w:val="white"/>
          <w:lang w:val="zh-CN"/>
        </w:rPr>
        <w:t>认真贯彻落实中央“八项规定”精神和厉行节约要求，从严控制“三公”经费开支，</w:t>
      </w:r>
      <w:r>
        <w:rPr>
          <w:rFonts w:hint="eastAsia" w:ascii="宋体" w:hAnsi="Times New Roman" w:eastAsia="宋体"/>
          <w:color w:val="000000"/>
          <w:sz w:val="32"/>
          <w:szCs w:val="24"/>
          <w:highlight w:val="white"/>
          <w:lang w:val="zh-CN"/>
        </w:rPr>
        <w:t>未作公务用车购置安排</w:t>
      </w:r>
      <w:r>
        <w:rPr>
          <w:rFonts w:hint="eastAsia" w:ascii="宋体" w:hAnsi="Times New Roman" w:eastAsia="宋体"/>
          <w:sz w:val="32"/>
          <w:szCs w:val="24"/>
          <w:highlight w:val="white"/>
          <w:lang w:val="zh-CN"/>
        </w:rPr>
        <w:t>。</w:t>
      </w:r>
    </w:p>
    <w:p>
      <w:pPr>
        <w:pStyle w:val="10"/>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公务用车运行维护费支出预算为</w:t>
      </w:r>
      <w:r>
        <w:rPr>
          <w:rFonts w:hint="eastAsia" w:asciiTheme="minorEastAsia" w:hAnsiTheme="minorEastAsia" w:eastAsiaTheme="minorEastAsia"/>
          <w:sz w:val="32"/>
          <w:szCs w:val="32"/>
          <w:lang w:val="en-US" w:eastAsia="zh-CN"/>
        </w:rPr>
        <w:t>6</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5.41</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90.17</w:t>
      </w:r>
      <w:r>
        <w:rPr>
          <w:rFonts w:hint="eastAsia" w:asciiTheme="minorEastAsia" w:hAnsiTheme="minorEastAsia" w:eastAsiaTheme="minorEastAsia"/>
          <w:sz w:val="32"/>
          <w:szCs w:val="32"/>
        </w:rPr>
        <w:t>%，决算数小于预算数的主要原因是</w:t>
      </w:r>
      <w:r>
        <w:rPr>
          <w:rFonts w:hint="eastAsia" w:asciiTheme="minorEastAsia" w:hAnsiTheme="minorEastAsia" w:eastAsiaTheme="minorEastAsia"/>
          <w:sz w:val="32"/>
          <w:szCs w:val="32"/>
          <w:lang w:val="zh-CN"/>
        </w:rPr>
        <w:t>认真贯彻落实中央“八项规定”精神和厉行节约要求，从严控制“三公”经费开支，全年实际支出比预算有所节约。</w:t>
      </w:r>
      <w:r>
        <w:rPr>
          <w:rFonts w:hint="eastAsia" w:asciiTheme="minorEastAsia" w:hAnsiTheme="minorEastAsia" w:eastAsiaTheme="minorEastAsia"/>
          <w:sz w:val="32"/>
          <w:szCs w:val="32"/>
        </w:rPr>
        <w:t>与上年相比增加</w:t>
      </w:r>
      <w:r>
        <w:rPr>
          <w:rFonts w:hint="eastAsia" w:asciiTheme="minorEastAsia" w:hAnsiTheme="minorEastAsia" w:eastAsiaTheme="minorEastAsia"/>
          <w:sz w:val="32"/>
          <w:szCs w:val="32"/>
          <w:lang w:val="en-US" w:eastAsia="zh-CN"/>
        </w:rPr>
        <w:t>0.07</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1.26</w:t>
      </w:r>
      <w:r>
        <w:rPr>
          <w:rFonts w:hint="eastAsia" w:asciiTheme="minorEastAsia" w:hAnsiTheme="minorEastAsia" w:eastAsiaTheme="minorEastAsia"/>
          <w:sz w:val="32"/>
          <w:szCs w:val="32"/>
        </w:rPr>
        <w:t>%,增长的主要原因是</w:t>
      </w:r>
      <w:r>
        <w:rPr>
          <w:rFonts w:hint="eastAsia" w:asciiTheme="minorEastAsia" w:hAnsiTheme="minorEastAsia" w:eastAsiaTheme="minorEastAsia"/>
          <w:sz w:val="32"/>
          <w:szCs w:val="32"/>
          <w:lang w:eastAsia="zh-CN"/>
        </w:rPr>
        <w:t>车龄较大，维修支出增加。</w:t>
      </w:r>
    </w:p>
    <w:p>
      <w:pPr>
        <w:pStyle w:val="10"/>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2021年度“三公”经费财政拨款支出决算中，公务接待费支出决算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%,因公出国（境）费支出决算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%,公务用车购置费及运行维护费支出决算</w:t>
      </w:r>
      <w:r>
        <w:rPr>
          <w:rFonts w:hint="eastAsia" w:asciiTheme="minorEastAsia" w:hAnsiTheme="minorEastAsia" w:eastAsiaTheme="minorEastAsia"/>
          <w:sz w:val="32"/>
          <w:szCs w:val="32"/>
          <w:lang w:val="en-US" w:eastAsia="zh-CN"/>
        </w:rPr>
        <w:t>5.41</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%。其中：</w:t>
      </w:r>
    </w:p>
    <w:p>
      <w:pPr>
        <w:pStyle w:val="10"/>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1、因公出国（境）费支出决算为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万元，全年安排因公出国（境）团组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个，累计</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人次</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全年未作出因公出国（境）公务安排。</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万元，全年共接待来访团组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个、来宾</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人次，全年没有发生公务接待活动。</w:t>
      </w:r>
    </w:p>
    <w:p>
      <w:pPr>
        <w:ind w:firstLine="640" w:firstLineChars="200"/>
        <w:rPr>
          <w:rFonts w:hint="eastAsia" w:asciiTheme="minorEastAsia" w:hAnsiTheme="minorEastAsia"/>
          <w:sz w:val="32"/>
          <w:szCs w:val="32"/>
        </w:rPr>
      </w:pPr>
      <w:r>
        <w:rPr>
          <w:rFonts w:hint="eastAsia" w:asciiTheme="minorEastAsia" w:hAnsiTheme="minorEastAsia"/>
          <w:sz w:val="32"/>
          <w:szCs w:val="32"/>
        </w:rPr>
        <w:t>3、公务用车购置费及运行维护费支出决算为</w:t>
      </w:r>
      <w:r>
        <w:rPr>
          <w:rFonts w:hint="eastAsia" w:asciiTheme="minorEastAsia" w:hAnsiTheme="minorEastAsia"/>
          <w:sz w:val="32"/>
          <w:szCs w:val="32"/>
          <w:lang w:val="en-US" w:eastAsia="zh-CN"/>
        </w:rPr>
        <w:t>5.41</w:t>
      </w:r>
      <w:r>
        <w:rPr>
          <w:rFonts w:hint="eastAsia" w:asciiTheme="minorEastAsia" w:hAnsiTheme="minorEastAsia"/>
          <w:sz w:val="32"/>
          <w:szCs w:val="32"/>
        </w:rPr>
        <w:t>万元，其中：公务用车购置费</w:t>
      </w:r>
      <w:r>
        <w:rPr>
          <w:rFonts w:hint="eastAsia" w:asciiTheme="minorEastAsia" w:hAnsiTheme="minorEastAsia"/>
          <w:sz w:val="32"/>
          <w:szCs w:val="32"/>
          <w:lang w:val="en-US" w:eastAsia="zh-CN"/>
        </w:rPr>
        <w:t>0</w:t>
      </w:r>
      <w:r>
        <w:rPr>
          <w:rFonts w:hint="eastAsia" w:asciiTheme="minorEastAsia" w:hAnsiTheme="minorEastAsia"/>
          <w:sz w:val="32"/>
          <w:szCs w:val="32"/>
        </w:rPr>
        <w:t>万元，单位本级或某二级机构更新公务用车</w:t>
      </w:r>
      <w:r>
        <w:rPr>
          <w:rFonts w:hint="eastAsia" w:asciiTheme="minorEastAsia" w:hAnsiTheme="minorEastAsia"/>
          <w:sz w:val="32"/>
          <w:szCs w:val="32"/>
          <w:lang w:val="en-US" w:eastAsia="zh-CN"/>
        </w:rPr>
        <w:t>0</w:t>
      </w:r>
      <w:r>
        <w:rPr>
          <w:rFonts w:hint="eastAsia" w:asciiTheme="minorEastAsia" w:hAnsiTheme="minorEastAsia"/>
          <w:sz w:val="32"/>
          <w:szCs w:val="32"/>
        </w:rPr>
        <w:t>辆</w:t>
      </w:r>
      <w:r>
        <w:rPr>
          <w:rFonts w:hint="eastAsia" w:asciiTheme="minorEastAsia" w:hAnsiTheme="minorEastAsia"/>
          <w:color w:val="000000" w:themeColor="text1"/>
          <w:sz w:val="32"/>
          <w:szCs w:val="32"/>
          <w14:textFill>
            <w14:solidFill>
              <w14:schemeClr w14:val="tx1"/>
            </w14:solidFill>
          </w14:textFill>
        </w:rPr>
        <w:t>。</w:t>
      </w:r>
      <w:r>
        <w:rPr>
          <w:rFonts w:hint="eastAsia" w:asciiTheme="minorEastAsia" w:hAnsiTheme="minorEastAsia"/>
          <w:sz w:val="32"/>
          <w:szCs w:val="32"/>
        </w:rPr>
        <w:t>公务用车运行维护费</w:t>
      </w:r>
      <w:r>
        <w:rPr>
          <w:rFonts w:hint="eastAsia" w:asciiTheme="minorEastAsia" w:hAnsiTheme="minorEastAsia"/>
          <w:sz w:val="32"/>
          <w:szCs w:val="32"/>
          <w:lang w:val="en-US" w:eastAsia="zh-CN"/>
        </w:rPr>
        <w:t>5.41</w:t>
      </w:r>
      <w:r>
        <w:rPr>
          <w:rFonts w:hint="eastAsia" w:asciiTheme="minorEastAsia" w:hAnsiTheme="minorEastAsia"/>
          <w:sz w:val="32"/>
          <w:szCs w:val="32"/>
        </w:rPr>
        <w:t>万元，主要是</w:t>
      </w:r>
      <w:r>
        <w:rPr>
          <w:rFonts w:hint="eastAsia" w:asciiTheme="minorEastAsia" w:hAnsiTheme="minorEastAsia"/>
          <w:sz w:val="32"/>
          <w:szCs w:val="32"/>
          <w:lang w:val="zh-CN"/>
        </w:rPr>
        <w:t>按规定保留的公务用车的燃料费、维修费、过桥过路费、保险费、安全奖励费用等</w:t>
      </w:r>
      <w:r>
        <w:rPr>
          <w:rFonts w:hint="eastAsia" w:asciiTheme="minorEastAsia" w:hAnsiTheme="minorEastAsia"/>
          <w:sz w:val="32"/>
          <w:szCs w:val="32"/>
        </w:rPr>
        <w:t>支出，截止2021年12月31日，我单位开支财政拨款的公务用车保有量为</w:t>
      </w:r>
      <w:r>
        <w:rPr>
          <w:rFonts w:hint="eastAsia" w:asciiTheme="minorEastAsia" w:hAnsiTheme="minorEastAsia"/>
          <w:sz w:val="32"/>
          <w:szCs w:val="32"/>
          <w:lang w:val="en-US" w:eastAsia="zh-CN"/>
        </w:rPr>
        <w:t>1</w:t>
      </w:r>
      <w:r>
        <w:rPr>
          <w:rFonts w:hint="eastAsia" w:asciiTheme="minorEastAsia" w:hAnsiTheme="minorEastAsia"/>
          <w:sz w:val="32"/>
          <w:szCs w:val="32"/>
        </w:rPr>
        <w:t>辆。</w:t>
      </w:r>
    </w:p>
    <w:p>
      <w:pPr>
        <w:pStyle w:val="10"/>
        <w:rPr>
          <w:rFonts w:hAnsi="黑体"/>
          <w:b/>
          <w:sz w:val="32"/>
          <w:szCs w:val="32"/>
        </w:rPr>
      </w:pPr>
      <w:r>
        <w:rPr>
          <w:rFonts w:hint="eastAsia" w:hAnsi="黑体"/>
          <w:b/>
          <w:sz w:val="32"/>
          <w:szCs w:val="32"/>
        </w:rPr>
        <w:t>八、政府性基金预算收入支出决算情况</w:t>
      </w:r>
    </w:p>
    <w:p>
      <w:pPr>
        <w:ind w:firstLine="64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2021年度政府性基金预算财政拨款收入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万元；年初结转和结余</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万元，项目支出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万元；年末结转和结余</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宋体" w:hAnsi="宋体" w:eastAsia="宋体" w:cs="Times New Roman"/>
          <w:color w:val="auto"/>
          <w:sz w:val="32"/>
          <w:szCs w:val="32"/>
        </w:rPr>
        <w:t>因本单位无政府性基金收支</w:t>
      </w:r>
      <w:r>
        <w:rPr>
          <w:rFonts w:hint="eastAsia" w:cs="Times New Roman" w:asciiTheme="minorEastAsia" w:hAnsiTheme="minorEastAsia" w:eastAsiaTheme="minorEastAsia"/>
          <w:color w:val="auto"/>
          <w:sz w:val="32"/>
          <w:szCs w:val="32"/>
        </w:rPr>
        <w:t>。</w:t>
      </w:r>
    </w:p>
    <w:p>
      <w:pPr>
        <w:ind w:firstLine="640"/>
        <w:rPr>
          <w:rFonts w:hint="default" w:ascii="Times New Roman" w:hAnsi="Times New Roman" w:eastAsia="Times New Roman"/>
          <w:color w:val="auto"/>
          <w:sz w:val="21"/>
          <w:szCs w:val="24"/>
          <w:lang w:val="en-US"/>
        </w:rPr>
      </w:pPr>
      <w:r>
        <w:rPr>
          <w:rFonts w:hint="eastAsia" w:ascii="宋体" w:hAnsi="宋体"/>
          <w:color w:val="auto"/>
          <w:sz w:val="32"/>
          <w:szCs w:val="24"/>
          <w:highlight w:val="white"/>
          <w:lang w:val="zh-CN"/>
        </w:rPr>
        <w:t>2021年本单位没有使用政府性基金预算财政拨款安排的收支。</w:t>
      </w:r>
    </w:p>
    <w:p>
      <w:pPr>
        <w:pStyle w:val="10"/>
        <w:numPr>
          <w:ilvl w:val="0"/>
          <w:numId w:val="3"/>
        </w:numPr>
        <w:rPr>
          <w:rFonts w:hint="eastAsia" w:hAnsi="黑体"/>
          <w:b/>
          <w:sz w:val="32"/>
          <w:szCs w:val="32"/>
          <w:lang w:eastAsia="zh-CN"/>
        </w:rPr>
      </w:pPr>
      <w:r>
        <w:rPr>
          <w:rFonts w:hint="eastAsia" w:hAnsi="黑体"/>
          <w:b/>
          <w:sz w:val="32"/>
          <w:szCs w:val="32"/>
        </w:rPr>
        <w:t>国有资本经营预算财政拨款支出决算</w:t>
      </w:r>
      <w:r>
        <w:rPr>
          <w:rFonts w:hint="eastAsia" w:hAnsi="黑体"/>
          <w:b/>
          <w:sz w:val="32"/>
          <w:szCs w:val="32"/>
          <w:lang w:eastAsia="zh-CN"/>
        </w:rPr>
        <w:t>情况</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2021年度国有资本经营预算财政拨款</w:t>
      </w:r>
      <w:r>
        <w:rPr>
          <w:rFonts w:hint="eastAsia" w:asciiTheme="minorEastAsia" w:hAnsiTheme="minorEastAsia" w:eastAsiaTheme="minorEastAsia"/>
          <w:sz w:val="32"/>
          <w:szCs w:val="32"/>
          <w:lang w:eastAsia="zh-CN"/>
        </w:rPr>
        <w:t>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万元；基本支出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万元，项目支出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p>
    <w:p>
      <w:pPr>
        <w:keepNext/>
        <w:keepLines/>
        <w:ind w:firstLine="640"/>
        <w:rPr>
          <w:rFonts w:hint="eastAsia" w:ascii="宋体" w:hAnsi="宋体"/>
          <w:color w:val="auto"/>
          <w:sz w:val="32"/>
          <w:szCs w:val="24"/>
          <w:highlight w:val="white"/>
          <w:lang w:val="zh-CN"/>
        </w:rPr>
      </w:pPr>
      <w:r>
        <w:rPr>
          <w:rFonts w:hint="eastAsia" w:ascii="宋体" w:hAnsi="宋体"/>
          <w:color w:val="auto"/>
          <w:sz w:val="32"/>
          <w:szCs w:val="24"/>
          <w:highlight w:val="white"/>
          <w:lang w:val="zh-CN"/>
        </w:rPr>
        <w:t>2021年本单位没有使用国有资本经营预算安排的支出。</w:t>
      </w:r>
    </w:p>
    <w:p>
      <w:pPr>
        <w:pStyle w:val="10"/>
        <w:rPr>
          <w:rFonts w:hAnsi="黑体"/>
          <w:b/>
          <w:sz w:val="32"/>
          <w:szCs w:val="32"/>
        </w:rPr>
      </w:pPr>
      <w:r>
        <w:rPr>
          <w:rFonts w:hint="eastAsia" w:hAnsi="黑体"/>
          <w:b/>
          <w:sz w:val="32"/>
          <w:szCs w:val="32"/>
        </w:rPr>
        <w:t>十、机关运行经费支出说明</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本部门2021年度机关运行经费支出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万元，比年初预算数增加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，由于预算数为</w:t>
      </w:r>
      <w:r>
        <w:rPr>
          <w:rFonts w:hint="eastAsia" w:asciiTheme="minorEastAsia" w:hAnsiTheme="minorEastAsia" w:eastAsiaTheme="minorEastAsia"/>
          <w:sz w:val="32"/>
          <w:szCs w:val="32"/>
          <w:lang w:val="en-US" w:eastAsia="zh-CN"/>
        </w:rPr>
        <w:t>0，无法计算百分比</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与年初预算数一致，</w:t>
      </w:r>
      <w:r>
        <w:rPr>
          <w:rFonts w:hint="eastAsia" w:asciiTheme="minorEastAsia" w:hAnsiTheme="minorEastAsia" w:eastAsiaTheme="minorEastAsia"/>
          <w:sz w:val="32"/>
          <w:szCs w:val="32"/>
        </w:rPr>
        <w:t>主要原因是</w:t>
      </w:r>
      <w:r>
        <w:rPr>
          <w:rFonts w:hint="eastAsia" w:asciiTheme="minorEastAsia" w:hAnsiTheme="minorEastAsia" w:eastAsiaTheme="minorEastAsia"/>
          <w:sz w:val="32"/>
          <w:szCs w:val="32"/>
          <w:lang w:val="en-US" w:eastAsia="zh-CN"/>
        </w:rPr>
        <w:t>岳阳市不动产测绘中心</w:t>
      </w:r>
      <w:r>
        <w:rPr>
          <w:rFonts w:hint="eastAsia" w:asciiTheme="minorEastAsia" w:hAnsiTheme="minorEastAsia" w:eastAsiaTheme="minorEastAsia"/>
          <w:sz w:val="32"/>
          <w:szCs w:val="32"/>
          <w:lang w:val="en-US"/>
        </w:rPr>
        <w:t>单位性质为</w:t>
      </w:r>
      <w:r>
        <w:rPr>
          <w:rFonts w:hint="eastAsia" w:asciiTheme="minorEastAsia" w:hAnsiTheme="minorEastAsia" w:eastAsiaTheme="minorEastAsia"/>
          <w:sz w:val="32"/>
          <w:szCs w:val="32"/>
          <w:lang w:val="en-US" w:eastAsia="zh-CN"/>
        </w:rPr>
        <w:t>自收自支</w:t>
      </w:r>
      <w:r>
        <w:rPr>
          <w:rFonts w:hint="eastAsia" w:asciiTheme="minorEastAsia" w:hAnsiTheme="minorEastAsia" w:eastAsiaTheme="minorEastAsia"/>
          <w:sz w:val="32"/>
          <w:szCs w:val="32"/>
          <w:lang w:val="en-US"/>
        </w:rPr>
        <w:t>事业单位，部门决算报表没有机关运行经费统计数据</w:t>
      </w:r>
      <w:r>
        <w:rPr>
          <w:rFonts w:hint="eastAsia" w:asciiTheme="minorEastAsia" w:hAnsiTheme="minorEastAsia" w:eastAsiaTheme="minorEastAsia"/>
          <w:sz w:val="32"/>
          <w:szCs w:val="32"/>
          <w:lang w:eastAsia="zh-CN"/>
        </w:rPr>
        <w:t>。</w:t>
      </w:r>
    </w:p>
    <w:p>
      <w:pPr>
        <w:pStyle w:val="10"/>
        <w:rPr>
          <w:rFonts w:hAnsi="黑体"/>
          <w:b/>
          <w:sz w:val="32"/>
          <w:szCs w:val="32"/>
        </w:rPr>
      </w:pPr>
      <w:r>
        <w:rPr>
          <w:rFonts w:hint="eastAsia" w:hAnsi="黑体"/>
          <w:b/>
          <w:sz w:val="32"/>
          <w:szCs w:val="32"/>
        </w:rPr>
        <w:t>十一、一般性支出情况说明</w:t>
      </w:r>
    </w:p>
    <w:p>
      <w:pPr>
        <w:pStyle w:val="10"/>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2021年本部门开支会议费</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万元；开支培训费</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万元；举办节庆、晚会、论坛、赛事活动，开支</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本单位202</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年没有召开会议，没有进行培训</w:t>
      </w:r>
      <w:r>
        <w:rPr>
          <w:rFonts w:hint="eastAsia" w:asciiTheme="minorEastAsia" w:hAnsiTheme="minorEastAsia" w:eastAsiaTheme="minorEastAsia"/>
          <w:sz w:val="32"/>
          <w:szCs w:val="32"/>
          <w:lang w:eastAsia="zh-CN"/>
        </w:rPr>
        <w:t>，也</w:t>
      </w:r>
      <w:r>
        <w:rPr>
          <w:rFonts w:hint="eastAsia" w:asciiTheme="minorEastAsia" w:hAnsiTheme="minorEastAsia" w:eastAsiaTheme="minorEastAsia"/>
          <w:sz w:val="32"/>
          <w:szCs w:val="32"/>
        </w:rPr>
        <w:t>未举办节庆、晚会、论坛、赛事活动。</w:t>
      </w:r>
    </w:p>
    <w:p>
      <w:pPr>
        <w:pStyle w:val="10"/>
        <w:numPr>
          <w:ilvl w:val="0"/>
          <w:numId w:val="4"/>
        </w:numPr>
        <w:rPr>
          <w:rFonts w:hint="eastAsia" w:hAnsi="黑体"/>
          <w:b/>
          <w:sz w:val="32"/>
          <w:szCs w:val="32"/>
        </w:rPr>
      </w:pPr>
      <w:r>
        <w:rPr>
          <w:rFonts w:hint="eastAsia" w:hAnsi="黑体"/>
          <w:b/>
          <w:sz w:val="32"/>
          <w:szCs w:val="32"/>
        </w:rPr>
        <w:t>政府采购支出说明</w:t>
      </w:r>
    </w:p>
    <w:p>
      <w:pPr>
        <w:pStyle w:val="10"/>
        <w:ind w:firstLine="640" w:firstLineChars="200"/>
        <w:rPr>
          <w:rFonts w:hint="eastAsia" w:hAnsi="黑体"/>
          <w:b/>
          <w:sz w:val="32"/>
          <w:szCs w:val="32"/>
        </w:rPr>
      </w:pPr>
      <w:r>
        <w:rPr>
          <w:rFonts w:hint="eastAsia" w:asciiTheme="minorEastAsia" w:hAnsiTheme="minorEastAsia" w:eastAsiaTheme="minorEastAsia"/>
          <w:sz w:val="32"/>
          <w:szCs w:val="32"/>
          <w:lang w:val="en-US" w:eastAsia="zh-CN"/>
        </w:rPr>
        <w:t>2021年度</w:t>
      </w:r>
      <w:r>
        <w:rPr>
          <w:rFonts w:hint="eastAsia" w:asciiTheme="minorEastAsia" w:hAnsiTheme="minorEastAsia" w:eastAsiaTheme="minorEastAsia"/>
          <w:sz w:val="32"/>
          <w:szCs w:val="32"/>
          <w:lang w:val="en-US"/>
        </w:rPr>
        <w:t>本</w:t>
      </w:r>
      <w:r>
        <w:rPr>
          <w:rFonts w:hint="eastAsia" w:asciiTheme="minorEastAsia" w:hAnsiTheme="minorEastAsia" w:eastAsiaTheme="minorEastAsia"/>
          <w:sz w:val="32"/>
          <w:szCs w:val="32"/>
          <w:lang w:val="en-US" w:eastAsia="zh-CN"/>
        </w:rPr>
        <w:t>部门</w:t>
      </w:r>
      <w:r>
        <w:rPr>
          <w:rFonts w:hint="eastAsia" w:asciiTheme="minorEastAsia" w:hAnsiTheme="minorEastAsia" w:eastAsiaTheme="minorEastAsia"/>
          <w:sz w:val="32"/>
          <w:szCs w:val="32"/>
          <w:lang w:val="en-US"/>
        </w:rPr>
        <w:t>无政府采购。</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本部门2021年度政府采购支出总额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万元，其中：政府采购货物支出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 xml:space="preserve"> 万元、政府采购工程支出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万元、政府采购服务支出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万元。授予中小企业合同金额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%，其中：授予小微企业合同金额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万元，占授予中小企业合同金额的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%；货物采购授予中小企业合同金额占货物支出金额的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%，工程采购授予中小企业合同金额占工程支出金额的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%，服务采购授予中小企业合同金额占服务支出金额的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10"/>
        <w:rPr>
          <w:rFonts w:hAnsi="黑体"/>
          <w:b/>
          <w:sz w:val="32"/>
          <w:szCs w:val="32"/>
        </w:rPr>
      </w:pPr>
      <w:r>
        <w:rPr>
          <w:rFonts w:hint="eastAsia" w:hAnsi="黑体"/>
          <w:b/>
          <w:sz w:val="32"/>
          <w:szCs w:val="32"/>
        </w:rPr>
        <w:t>十三、国有资产占用情况说明</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截至2021年12月31日，部门（单位）共有车辆</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辆，其中，主要领导干部用车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辆，机要通信用车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辆、应急保障用车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辆、执法执勤用车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辆、特种专业技术用车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辆、其他用车</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辆，其他用车主要是</w:t>
      </w:r>
      <w:r>
        <w:rPr>
          <w:rFonts w:hint="eastAsia" w:asciiTheme="minorEastAsia" w:hAnsiTheme="minorEastAsia" w:eastAsiaTheme="minorEastAsia"/>
          <w:sz w:val="32"/>
          <w:szCs w:val="32"/>
          <w:lang w:val="en-US"/>
        </w:rPr>
        <w:t>机要通信和应急保障之外公务用途的</w:t>
      </w:r>
      <w:r>
        <w:rPr>
          <w:rFonts w:hint="eastAsia" w:asciiTheme="minorEastAsia" w:hAnsiTheme="minorEastAsia" w:eastAsiaTheme="minorEastAsia"/>
          <w:sz w:val="32"/>
          <w:szCs w:val="32"/>
          <w:lang w:val="en-US" w:eastAsia="zh-CN"/>
        </w:rPr>
        <w:t>车辆</w:t>
      </w:r>
      <w:r>
        <w:rPr>
          <w:rFonts w:hint="eastAsia" w:asciiTheme="minorEastAsia" w:hAnsiTheme="minorEastAsia" w:eastAsiaTheme="minorEastAsia"/>
          <w:sz w:val="32"/>
          <w:szCs w:val="32"/>
        </w:rPr>
        <w:t>；单位价值50万元以上通用设备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台（套）；单位价值100万元以上专用设备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w:t>
      </w:r>
    </w:p>
    <w:p>
      <w:pPr>
        <w:pStyle w:val="10"/>
        <w:rPr>
          <w:rFonts w:hAnsi="黑体"/>
          <w:b/>
          <w:sz w:val="32"/>
          <w:szCs w:val="32"/>
        </w:rPr>
      </w:pPr>
      <w:r>
        <w:rPr>
          <w:rFonts w:hint="eastAsia" w:hAnsi="黑体"/>
          <w:b/>
          <w:sz w:val="32"/>
          <w:szCs w:val="32"/>
          <w:lang w:eastAsia="zh-CN"/>
        </w:rPr>
        <w:t>十四、</w:t>
      </w:r>
      <w:r>
        <w:rPr>
          <w:rFonts w:hint="eastAsia" w:hAnsi="黑体"/>
          <w:b/>
          <w:sz w:val="32"/>
          <w:szCs w:val="32"/>
        </w:rPr>
        <w:t>2021年度预算绩效情况说明</w:t>
      </w:r>
    </w:p>
    <w:p>
      <w:pPr>
        <w:autoSpaceDE w:val="0"/>
        <w:autoSpaceDN w:val="0"/>
        <w:adjustRightInd w:val="0"/>
        <w:ind w:firstLine="640" w:firstLineChars="200"/>
        <w:jc w:val="left"/>
        <w:rPr>
          <w:rFonts w:ascii="宋体" w:hAnsi="宋体" w:cs="黑体"/>
          <w:color w:val="000000"/>
          <w:kern w:val="0"/>
          <w:sz w:val="32"/>
          <w:szCs w:val="32"/>
        </w:rPr>
      </w:pPr>
      <w:r>
        <w:rPr>
          <w:rFonts w:hint="eastAsia" w:ascii="宋体" w:hAnsi="宋体" w:cs="黑体"/>
          <w:color w:val="000000"/>
          <w:kern w:val="0"/>
          <w:sz w:val="32"/>
          <w:szCs w:val="32"/>
        </w:rPr>
        <w:t>根据预算绩效管理要求，我</w:t>
      </w:r>
      <w:r>
        <w:rPr>
          <w:rFonts w:hint="eastAsia" w:ascii="宋体" w:hAnsi="宋体" w:cs="黑体"/>
          <w:color w:val="000000"/>
          <w:kern w:val="0"/>
          <w:sz w:val="32"/>
          <w:szCs w:val="32"/>
          <w:lang w:eastAsia="zh-CN"/>
        </w:rPr>
        <w:t>单位</w:t>
      </w:r>
      <w:r>
        <w:rPr>
          <w:rFonts w:hint="eastAsia" w:ascii="宋体" w:hAnsi="宋体" w:cs="黑体"/>
          <w:color w:val="000000"/>
          <w:kern w:val="0"/>
          <w:sz w:val="32"/>
          <w:szCs w:val="32"/>
        </w:rPr>
        <w:t>组织对</w:t>
      </w:r>
      <w:r>
        <w:rPr>
          <w:rFonts w:ascii="宋体" w:hAnsi="宋体" w:cs="黑体"/>
          <w:color w:val="000000"/>
          <w:kern w:val="0"/>
          <w:sz w:val="32"/>
          <w:szCs w:val="32"/>
        </w:rPr>
        <w:t>2021</w:t>
      </w:r>
      <w:r>
        <w:rPr>
          <w:rFonts w:hint="eastAsia" w:ascii="宋体" w:hAnsi="宋体" w:cs="黑体"/>
          <w:color w:val="000000"/>
          <w:kern w:val="0"/>
          <w:sz w:val="32"/>
          <w:szCs w:val="32"/>
        </w:rPr>
        <w:t>年度一般公共预算项目支出全面开展绩效自评，其中，一级项目</w:t>
      </w:r>
      <w:r>
        <w:rPr>
          <w:rFonts w:hint="eastAsia" w:ascii="宋体" w:hAnsi="宋体" w:cs="黑体"/>
          <w:color w:val="000000"/>
          <w:kern w:val="0"/>
          <w:sz w:val="32"/>
          <w:szCs w:val="32"/>
          <w:lang w:val="en-US" w:eastAsia="zh-CN"/>
        </w:rPr>
        <w:t>0</w:t>
      </w:r>
      <w:r>
        <w:rPr>
          <w:rFonts w:hint="eastAsia" w:ascii="宋体" w:hAnsi="宋体" w:cs="黑体"/>
          <w:color w:val="000000"/>
          <w:kern w:val="0"/>
          <w:sz w:val="32"/>
          <w:szCs w:val="32"/>
        </w:rPr>
        <w:t>个，二级项目</w:t>
      </w:r>
      <w:r>
        <w:rPr>
          <w:rFonts w:hint="eastAsia" w:ascii="宋体" w:hAnsi="宋体" w:cs="黑体"/>
          <w:color w:val="000000"/>
          <w:kern w:val="0"/>
          <w:sz w:val="32"/>
          <w:szCs w:val="32"/>
          <w:lang w:val="en-US" w:eastAsia="zh-CN"/>
        </w:rPr>
        <w:t>0</w:t>
      </w:r>
      <w:r>
        <w:rPr>
          <w:rFonts w:hint="eastAsia" w:ascii="宋体" w:hAnsi="宋体" w:cs="黑体"/>
          <w:color w:val="000000"/>
          <w:kern w:val="0"/>
          <w:sz w:val="32"/>
          <w:szCs w:val="32"/>
        </w:rPr>
        <w:t>个，共涉及资金</w:t>
      </w:r>
      <w:r>
        <w:rPr>
          <w:rFonts w:hint="eastAsia" w:ascii="宋体" w:hAnsi="宋体" w:cs="黑体"/>
          <w:color w:val="000000"/>
          <w:kern w:val="0"/>
          <w:sz w:val="32"/>
          <w:szCs w:val="32"/>
          <w:lang w:val="en-US" w:eastAsia="zh-CN"/>
        </w:rPr>
        <w:t>0</w:t>
      </w:r>
      <w:r>
        <w:rPr>
          <w:rFonts w:hint="eastAsia" w:ascii="宋体" w:hAnsi="宋体" w:cs="黑体"/>
          <w:color w:val="000000"/>
          <w:kern w:val="0"/>
          <w:sz w:val="32"/>
          <w:szCs w:val="32"/>
        </w:rPr>
        <w:t>万元，占一般公共预算项目支出总额的</w:t>
      </w:r>
      <w:r>
        <w:rPr>
          <w:rFonts w:hint="eastAsia" w:ascii="宋体" w:hAnsi="宋体" w:cs="黑体"/>
          <w:color w:val="000000"/>
          <w:kern w:val="0"/>
          <w:sz w:val="32"/>
          <w:szCs w:val="32"/>
          <w:lang w:val="en-US" w:eastAsia="zh-CN"/>
        </w:rPr>
        <w:t>0</w:t>
      </w:r>
      <w:r>
        <w:rPr>
          <w:rFonts w:ascii="宋体" w:hAnsi="宋体" w:cs="黑体"/>
          <w:color w:val="000000"/>
          <w:kern w:val="0"/>
          <w:sz w:val="32"/>
          <w:szCs w:val="32"/>
        </w:rPr>
        <w:t>%</w:t>
      </w:r>
      <w:r>
        <w:rPr>
          <w:rFonts w:hint="eastAsia" w:ascii="宋体" w:hAnsi="宋体" w:cs="黑体"/>
          <w:color w:val="000000"/>
          <w:kern w:val="0"/>
          <w:sz w:val="32"/>
          <w:szCs w:val="32"/>
        </w:rPr>
        <w:t>。组织对</w:t>
      </w:r>
      <w:r>
        <w:rPr>
          <w:rFonts w:ascii="宋体" w:hAnsi="宋体" w:cs="黑体"/>
          <w:color w:val="000000"/>
          <w:kern w:val="0"/>
          <w:sz w:val="32"/>
          <w:szCs w:val="32"/>
        </w:rPr>
        <w:t>2021</w:t>
      </w:r>
      <w:r>
        <w:rPr>
          <w:rFonts w:hint="eastAsia" w:ascii="宋体" w:hAnsi="宋体" w:cs="黑体"/>
          <w:color w:val="000000"/>
          <w:kern w:val="0"/>
          <w:sz w:val="32"/>
          <w:szCs w:val="32"/>
        </w:rPr>
        <w:t>年度</w:t>
      </w:r>
      <w:r>
        <w:rPr>
          <w:rFonts w:hint="eastAsia" w:ascii="宋体" w:hAnsi="宋体" w:cs="黑体"/>
          <w:color w:val="000000"/>
          <w:kern w:val="0"/>
          <w:sz w:val="32"/>
          <w:szCs w:val="32"/>
          <w:lang w:eastAsia="zh-CN"/>
        </w:rPr>
        <w:t>岳阳市不动产测绘中心</w:t>
      </w:r>
      <w:r>
        <w:rPr>
          <w:rFonts w:hint="eastAsia" w:ascii="宋体" w:hAnsi="宋体" w:cs="黑体"/>
          <w:color w:val="000000"/>
          <w:kern w:val="0"/>
          <w:sz w:val="32"/>
          <w:szCs w:val="32"/>
        </w:rPr>
        <w:t>等</w:t>
      </w:r>
      <w:r>
        <w:rPr>
          <w:rFonts w:hint="eastAsia" w:ascii="宋体" w:hAnsi="宋体" w:cs="黑体"/>
          <w:color w:val="000000"/>
          <w:kern w:val="0"/>
          <w:sz w:val="32"/>
          <w:szCs w:val="32"/>
          <w:lang w:val="en-US" w:eastAsia="zh-CN"/>
        </w:rPr>
        <w:t>0</w:t>
      </w:r>
      <w:r>
        <w:rPr>
          <w:rFonts w:hint="eastAsia" w:ascii="宋体" w:hAnsi="宋体" w:cs="黑体"/>
          <w:color w:val="000000"/>
          <w:kern w:val="0"/>
          <w:sz w:val="32"/>
          <w:szCs w:val="32"/>
        </w:rPr>
        <w:t>个政府性基金预算项目支出开展绩效自评，共涉及资金</w:t>
      </w:r>
      <w:r>
        <w:rPr>
          <w:rFonts w:hint="eastAsia" w:ascii="宋体" w:hAnsi="宋体" w:cs="黑体"/>
          <w:color w:val="000000"/>
          <w:kern w:val="0"/>
          <w:sz w:val="32"/>
          <w:szCs w:val="32"/>
          <w:lang w:val="en-US" w:eastAsia="zh-CN"/>
        </w:rPr>
        <w:t>0</w:t>
      </w:r>
      <w:r>
        <w:rPr>
          <w:rFonts w:hint="eastAsia" w:ascii="宋体" w:hAnsi="宋体" w:cs="黑体"/>
          <w:color w:val="000000"/>
          <w:kern w:val="0"/>
          <w:sz w:val="32"/>
          <w:szCs w:val="32"/>
        </w:rPr>
        <w:t>万元，占政府性基金预算项目支出总额的</w:t>
      </w:r>
      <w:r>
        <w:rPr>
          <w:rFonts w:hint="eastAsia" w:ascii="宋体" w:hAnsi="宋体" w:cs="黑体"/>
          <w:color w:val="000000"/>
          <w:kern w:val="0"/>
          <w:sz w:val="32"/>
          <w:szCs w:val="32"/>
          <w:lang w:val="en-US" w:eastAsia="zh-CN"/>
        </w:rPr>
        <w:t>0</w:t>
      </w:r>
      <w:r>
        <w:rPr>
          <w:rFonts w:ascii="宋体" w:hAnsi="宋体" w:cs="黑体"/>
          <w:color w:val="000000"/>
          <w:kern w:val="0"/>
          <w:sz w:val="32"/>
          <w:szCs w:val="32"/>
        </w:rPr>
        <w:t>%</w:t>
      </w:r>
      <w:r>
        <w:rPr>
          <w:rFonts w:hint="eastAsia" w:ascii="宋体" w:hAnsi="宋体" w:cs="黑体"/>
          <w:color w:val="000000"/>
          <w:kern w:val="0"/>
          <w:sz w:val="32"/>
          <w:szCs w:val="32"/>
        </w:rPr>
        <w:t>。组织对</w:t>
      </w:r>
      <w:r>
        <w:rPr>
          <w:rFonts w:ascii="宋体" w:hAnsi="宋体" w:cs="黑体"/>
          <w:color w:val="000000"/>
          <w:kern w:val="0"/>
          <w:sz w:val="32"/>
          <w:szCs w:val="32"/>
        </w:rPr>
        <w:t>2021</w:t>
      </w:r>
      <w:r>
        <w:rPr>
          <w:rFonts w:hint="eastAsia" w:ascii="宋体" w:hAnsi="宋体" w:cs="黑体"/>
          <w:color w:val="000000"/>
          <w:kern w:val="0"/>
          <w:sz w:val="32"/>
          <w:szCs w:val="32"/>
        </w:rPr>
        <w:t>年度</w:t>
      </w:r>
      <w:r>
        <w:rPr>
          <w:rFonts w:hint="eastAsia" w:ascii="宋体" w:hAnsi="宋体" w:cs="黑体"/>
          <w:color w:val="000000"/>
          <w:kern w:val="0"/>
          <w:sz w:val="32"/>
          <w:szCs w:val="32"/>
          <w:lang w:val="en-US" w:eastAsia="zh-CN"/>
        </w:rPr>
        <w:t>岳阳市不动产测绘中心</w:t>
      </w:r>
      <w:r>
        <w:rPr>
          <w:rFonts w:hint="eastAsia" w:ascii="宋体" w:hAnsi="宋体" w:cs="黑体"/>
          <w:color w:val="000000"/>
          <w:kern w:val="0"/>
          <w:sz w:val="32"/>
          <w:szCs w:val="32"/>
        </w:rPr>
        <w:t>等</w:t>
      </w:r>
      <w:r>
        <w:rPr>
          <w:rFonts w:hint="eastAsia" w:ascii="宋体" w:hAnsi="宋体" w:cs="黑体"/>
          <w:color w:val="000000"/>
          <w:kern w:val="0"/>
          <w:sz w:val="32"/>
          <w:szCs w:val="32"/>
          <w:lang w:val="en-US" w:eastAsia="zh-CN"/>
        </w:rPr>
        <w:t>0</w:t>
      </w:r>
      <w:r>
        <w:rPr>
          <w:rFonts w:hint="eastAsia" w:ascii="宋体" w:hAnsi="宋体" w:cs="黑体"/>
          <w:color w:val="000000"/>
          <w:kern w:val="0"/>
          <w:sz w:val="32"/>
          <w:szCs w:val="32"/>
        </w:rPr>
        <w:t>个国有资本经营预算项目支出开展绩效自评，共涉及资金</w:t>
      </w:r>
      <w:r>
        <w:rPr>
          <w:rFonts w:hint="eastAsia" w:ascii="宋体" w:hAnsi="宋体" w:cs="黑体"/>
          <w:color w:val="000000"/>
          <w:kern w:val="0"/>
          <w:sz w:val="32"/>
          <w:szCs w:val="32"/>
          <w:lang w:val="en-US" w:eastAsia="zh-CN"/>
        </w:rPr>
        <w:t>0</w:t>
      </w:r>
      <w:r>
        <w:rPr>
          <w:rFonts w:hint="eastAsia" w:ascii="宋体" w:hAnsi="宋体" w:cs="黑体"/>
          <w:color w:val="000000"/>
          <w:kern w:val="0"/>
          <w:sz w:val="32"/>
          <w:szCs w:val="32"/>
        </w:rPr>
        <w:t>万元，占国有资本经营预算项目支出总额的</w:t>
      </w:r>
      <w:r>
        <w:rPr>
          <w:rFonts w:hint="eastAsia" w:ascii="宋体" w:hAnsi="宋体" w:cs="黑体"/>
          <w:color w:val="000000"/>
          <w:kern w:val="0"/>
          <w:sz w:val="32"/>
          <w:szCs w:val="32"/>
          <w:lang w:val="en-US" w:eastAsia="zh-CN"/>
        </w:rPr>
        <w:t>0</w:t>
      </w:r>
      <w:r>
        <w:rPr>
          <w:rFonts w:ascii="宋体" w:hAnsi="宋体" w:cs="黑体"/>
          <w:color w:val="000000"/>
          <w:kern w:val="0"/>
          <w:sz w:val="32"/>
          <w:szCs w:val="32"/>
        </w:rPr>
        <w:t>%</w:t>
      </w:r>
      <w:r>
        <w:rPr>
          <w:rFonts w:hint="eastAsia" w:ascii="宋体" w:hAnsi="宋体" w:cs="黑体"/>
          <w:color w:val="000000"/>
          <w:kern w:val="0"/>
          <w:sz w:val="32"/>
          <w:szCs w:val="32"/>
        </w:rPr>
        <w:t>。</w:t>
      </w:r>
    </w:p>
    <w:p>
      <w:pPr>
        <w:autoSpaceDE w:val="0"/>
        <w:autoSpaceDN w:val="0"/>
        <w:adjustRightInd w:val="0"/>
        <w:ind w:firstLine="640" w:firstLineChars="200"/>
        <w:jc w:val="left"/>
        <w:rPr>
          <w:rFonts w:ascii="宋体" w:hAnsi="宋体" w:cs="黑体"/>
          <w:color w:val="000000"/>
          <w:kern w:val="0"/>
          <w:sz w:val="32"/>
          <w:szCs w:val="32"/>
        </w:rPr>
      </w:pPr>
      <w:r>
        <w:rPr>
          <w:rFonts w:hint="eastAsia" w:ascii="宋体" w:hAnsi="宋体" w:cs="黑体"/>
          <w:color w:val="000000"/>
          <w:kern w:val="0"/>
          <w:sz w:val="32"/>
          <w:szCs w:val="32"/>
        </w:rPr>
        <w:t>组织对</w:t>
      </w:r>
      <w:r>
        <w:rPr>
          <w:rFonts w:hint="eastAsia" w:ascii="宋体" w:hAnsi="宋体" w:cs="黑体"/>
          <w:color w:val="000000"/>
          <w:kern w:val="0"/>
          <w:sz w:val="32"/>
          <w:szCs w:val="32"/>
          <w:lang w:eastAsia="zh-CN"/>
        </w:rPr>
        <w:t>岳阳市不动产测绘中心</w:t>
      </w:r>
      <w:r>
        <w:rPr>
          <w:rFonts w:hint="eastAsia" w:ascii="宋体" w:hAnsi="宋体" w:cs="黑体"/>
          <w:color w:val="000000"/>
          <w:kern w:val="0"/>
          <w:sz w:val="32"/>
          <w:szCs w:val="32"/>
        </w:rPr>
        <w:t>等</w:t>
      </w:r>
      <w:r>
        <w:rPr>
          <w:rFonts w:hint="eastAsia" w:ascii="宋体" w:hAnsi="宋体" w:cs="黑体"/>
          <w:color w:val="000000"/>
          <w:kern w:val="0"/>
          <w:sz w:val="32"/>
          <w:szCs w:val="32"/>
          <w:lang w:val="en-US" w:eastAsia="zh-CN"/>
        </w:rPr>
        <w:t>0</w:t>
      </w:r>
      <w:r>
        <w:rPr>
          <w:rFonts w:hint="eastAsia" w:ascii="宋体" w:hAnsi="宋体" w:cs="黑体"/>
          <w:color w:val="000000"/>
          <w:kern w:val="0"/>
          <w:sz w:val="32"/>
          <w:szCs w:val="32"/>
        </w:rPr>
        <w:t>个项目开展了部门评价，涉及一般公共预算支出</w:t>
      </w:r>
      <w:r>
        <w:rPr>
          <w:rFonts w:hint="eastAsia" w:ascii="宋体" w:hAnsi="宋体" w:cs="黑体"/>
          <w:color w:val="000000"/>
          <w:kern w:val="0"/>
          <w:sz w:val="32"/>
          <w:szCs w:val="32"/>
          <w:lang w:val="en-US" w:eastAsia="zh-CN"/>
        </w:rPr>
        <w:t>0</w:t>
      </w:r>
      <w:r>
        <w:rPr>
          <w:rFonts w:hint="eastAsia" w:ascii="宋体" w:hAnsi="宋体" w:cs="黑体"/>
          <w:color w:val="000000"/>
          <w:kern w:val="0"/>
          <w:sz w:val="32"/>
          <w:szCs w:val="32"/>
        </w:rPr>
        <w:t>万元，政府性基金预算支出</w:t>
      </w:r>
      <w:r>
        <w:rPr>
          <w:rFonts w:hint="eastAsia" w:ascii="宋体" w:hAnsi="宋体" w:cs="黑体"/>
          <w:color w:val="000000"/>
          <w:kern w:val="0"/>
          <w:sz w:val="32"/>
          <w:szCs w:val="32"/>
          <w:lang w:val="en-US" w:eastAsia="zh-CN"/>
        </w:rPr>
        <w:t>0</w:t>
      </w:r>
      <w:r>
        <w:rPr>
          <w:rFonts w:hint="eastAsia" w:ascii="宋体" w:hAnsi="宋体" w:cs="黑体"/>
          <w:color w:val="000000"/>
          <w:kern w:val="0"/>
          <w:sz w:val="32"/>
          <w:szCs w:val="32"/>
        </w:rPr>
        <w:t>万元，国有资本经营预算支出</w:t>
      </w:r>
      <w:r>
        <w:rPr>
          <w:rFonts w:hint="eastAsia" w:ascii="宋体" w:hAnsi="宋体" w:cs="黑体"/>
          <w:color w:val="000000"/>
          <w:kern w:val="0"/>
          <w:sz w:val="32"/>
          <w:szCs w:val="32"/>
          <w:lang w:val="en-US" w:eastAsia="zh-CN"/>
        </w:rPr>
        <w:t>0</w:t>
      </w:r>
      <w:r>
        <w:rPr>
          <w:rFonts w:hint="eastAsia" w:ascii="宋体" w:hAnsi="宋体" w:cs="黑体"/>
          <w:color w:val="000000"/>
          <w:kern w:val="0"/>
          <w:sz w:val="32"/>
          <w:szCs w:val="32"/>
        </w:rPr>
        <w:t>万元。</w:t>
      </w:r>
    </w:p>
    <w:p>
      <w:pPr>
        <w:pStyle w:val="10"/>
        <w:ind w:firstLine="640" w:firstLineChars="200"/>
        <w:rPr>
          <w:rFonts w:hint="eastAsia" w:ascii="宋体" w:hAnsi="宋体" w:eastAsia="宋体" w:cs="宋体"/>
          <w:color w:val="000000" w:themeColor="text1"/>
          <w:kern w:val="0"/>
          <w:sz w:val="32"/>
          <w:szCs w:val="32"/>
          <w:lang w:val="en-US" w:eastAsia="zh-CN"/>
          <w14:textFill>
            <w14:solidFill>
              <w14:schemeClr w14:val="tx1"/>
            </w14:solidFill>
          </w14:textFill>
        </w:rPr>
      </w:pPr>
      <w:r>
        <w:rPr>
          <w:rFonts w:hint="eastAsia" w:ascii="宋体" w:hAnsi="宋体" w:cs="黑体" w:eastAsiaTheme="minorEastAsia"/>
          <w:color w:val="000000"/>
          <w:kern w:val="0"/>
          <w:sz w:val="32"/>
          <w:szCs w:val="32"/>
          <w:lang w:val="en-US" w:eastAsia="zh-CN" w:bidi="ar-SA"/>
        </w:rPr>
        <w:t>组织对岳阳市不动产测绘中心等1个单位开展整体支出绩效评价，涉及一般公共预算支出951.85万元，政府性基金预算支出0万元。从评价情况来看各</w:t>
      </w:r>
      <w:r>
        <w:rPr>
          <w:rFonts w:hint="eastAsia" w:ascii="宋体" w:hAnsi="宋体" w:eastAsia="宋体" w:cs="宋体"/>
          <w:color w:val="000000" w:themeColor="text1"/>
          <w:kern w:val="0"/>
          <w:sz w:val="32"/>
          <w:szCs w:val="32"/>
          <w:lang w:val="en-US" w:eastAsia="zh-CN"/>
          <w14:textFill>
            <w14:solidFill>
              <w14:schemeClr w14:val="tx1"/>
            </w14:solidFill>
          </w14:textFill>
        </w:rPr>
        <w:t>项数量指标完成率均达100%；全年完成非税收入预算指标350万元，超收592.7万元，质量指标均达预期目标；各项时效指标均全面及时完成；保障了全市房产图的现势性和实用性。为产权、产籍管理，信息系统管理，征收拆迁和税收管理提供了重要保证。</w:t>
      </w:r>
    </w:p>
    <w:p>
      <w:pPr>
        <w:autoSpaceDE w:val="0"/>
        <w:autoSpaceDN w:val="0"/>
        <w:adjustRightInd w:val="0"/>
        <w:ind w:firstLine="640" w:firstLineChars="200"/>
        <w:jc w:val="left"/>
        <w:rPr>
          <w:rFonts w:ascii="宋体" w:hAnsi="宋体" w:cs="黑体"/>
          <w:color w:val="000000"/>
          <w:kern w:val="0"/>
          <w:sz w:val="32"/>
          <w:szCs w:val="32"/>
        </w:rPr>
      </w:pPr>
    </w:p>
    <w:p>
      <w:pPr>
        <w:autoSpaceDE w:val="0"/>
        <w:autoSpaceDN w:val="0"/>
        <w:adjustRightInd w:val="0"/>
        <w:ind w:firstLine="640" w:firstLineChars="200"/>
        <w:jc w:val="left"/>
        <w:rPr>
          <w:rFonts w:ascii="宋体" w:hAnsi="宋体" w:cs="黑体"/>
          <w:b/>
          <w:color w:val="000000"/>
          <w:kern w:val="0"/>
          <w:sz w:val="32"/>
          <w:szCs w:val="32"/>
        </w:rPr>
      </w:pPr>
      <w:r>
        <w:rPr>
          <w:rFonts w:hint="eastAsia" w:ascii="宋体" w:hAnsi="宋体" w:cs="黑体"/>
          <w:b/>
          <w:color w:val="000000"/>
          <w:kern w:val="0"/>
          <w:sz w:val="32"/>
          <w:szCs w:val="32"/>
        </w:rPr>
        <w:t>（2）部门决算中项目绩效自评结果。</w:t>
      </w:r>
    </w:p>
    <w:p>
      <w:pPr>
        <w:autoSpaceDE w:val="0"/>
        <w:autoSpaceDN w:val="0"/>
        <w:adjustRightInd w:val="0"/>
        <w:ind w:firstLine="640" w:firstLineChars="200"/>
        <w:jc w:val="left"/>
        <w:rPr>
          <w:rFonts w:hint="eastAsia" w:ascii="宋体" w:hAnsi="宋体" w:cs="黑体"/>
          <w:color w:val="000000"/>
          <w:kern w:val="0"/>
          <w:sz w:val="32"/>
          <w:szCs w:val="32"/>
          <w:lang w:eastAsia="zh-CN"/>
        </w:rPr>
      </w:pPr>
      <w:bookmarkStart w:id="0" w:name="_GoBack"/>
      <w:bookmarkEnd w:id="0"/>
      <w:r>
        <w:rPr>
          <w:rFonts w:hint="eastAsia" w:ascii="宋体" w:hAnsi="宋体" w:cs="黑体"/>
          <w:color w:val="000000"/>
          <w:kern w:val="0"/>
          <w:sz w:val="32"/>
          <w:szCs w:val="32"/>
          <w:lang w:eastAsia="zh-CN"/>
        </w:rPr>
        <w:t>本单位无项目支出，故未开展项目自评，无自评结果。</w:t>
      </w:r>
    </w:p>
    <w:p>
      <w:pPr>
        <w:autoSpaceDE w:val="0"/>
        <w:autoSpaceDN w:val="0"/>
        <w:adjustRightInd w:val="0"/>
        <w:ind w:firstLine="640" w:firstLineChars="200"/>
        <w:jc w:val="left"/>
        <w:rPr>
          <w:rFonts w:hint="eastAsia" w:ascii="宋体" w:hAnsi="宋体" w:cs="黑体"/>
          <w:color w:val="000000"/>
          <w:kern w:val="0"/>
          <w:sz w:val="32"/>
          <w:szCs w:val="32"/>
          <w:lang w:eastAsia="zh-CN"/>
        </w:rPr>
      </w:pPr>
    </w:p>
    <w:p>
      <w:pPr>
        <w:autoSpaceDE w:val="0"/>
        <w:autoSpaceDN w:val="0"/>
        <w:adjustRightInd w:val="0"/>
        <w:ind w:firstLine="640" w:firstLineChars="200"/>
        <w:jc w:val="left"/>
        <w:rPr>
          <w:rFonts w:ascii="宋体" w:hAnsi="宋体" w:cs="黑体"/>
          <w:color w:val="000000"/>
          <w:kern w:val="0"/>
          <w:sz w:val="32"/>
          <w:szCs w:val="32"/>
        </w:rPr>
      </w:pPr>
      <w:r>
        <w:rPr>
          <w:rFonts w:hint="eastAsia" w:ascii="宋体" w:hAnsi="宋体" w:cs="黑体"/>
          <w:b/>
          <w:color w:val="000000"/>
          <w:kern w:val="0"/>
          <w:sz w:val="32"/>
          <w:szCs w:val="32"/>
        </w:rPr>
        <w:t>（</w:t>
      </w:r>
      <w:r>
        <w:rPr>
          <w:rFonts w:ascii="宋体" w:hAnsi="宋体" w:cs="黑体"/>
          <w:b/>
          <w:color w:val="000000"/>
          <w:kern w:val="0"/>
          <w:sz w:val="32"/>
          <w:szCs w:val="32"/>
        </w:rPr>
        <w:t>3</w:t>
      </w:r>
      <w:r>
        <w:rPr>
          <w:rFonts w:hint="eastAsia" w:ascii="宋体" w:hAnsi="宋体" w:cs="黑体"/>
          <w:b/>
          <w:color w:val="000000"/>
          <w:kern w:val="0"/>
          <w:sz w:val="32"/>
          <w:szCs w:val="32"/>
        </w:rPr>
        <w:t>）部门评价项目绩效评价结果。</w:t>
      </w:r>
    </w:p>
    <w:p>
      <w:pPr>
        <w:ind w:firstLine="640" w:firstLineChars="200"/>
        <w:rPr>
          <w:sz w:val="32"/>
          <w:szCs w:val="32"/>
        </w:rPr>
      </w:pPr>
      <w:r>
        <w:rPr>
          <w:rFonts w:hint="eastAsia"/>
          <w:sz w:val="32"/>
          <w:szCs w:val="32"/>
          <w:lang w:eastAsia="zh-CN"/>
        </w:rPr>
        <w:t>本单位无项目支出，故未开展项目自评，无自评结果。</w:t>
      </w:r>
      <w:r>
        <w:rPr>
          <w:rFonts w:hint="eastAsia"/>
          <w:sz w:val="32"/>
          <w:szCs w:val="32"/>
        </w:rPr>
        <w:t>预算绩效管理开展情况、绩效目标和绩效评价报告等，一并作为附件公开。</w:t>
      </w:r>
    </w:p>
    <w:p>
      <w:pPr>
        <w:pStyle w:val="10"/>
        <w:rPr>
          <w:sz w:val="72"/>
          <w:szCs w:val="72"/>
        </w:rPr>
      </w:pPr>
    </w:p>
    <w:p>
      <w:pPr>
        <w:pStyle w:val="10"/>
        <w:rPr>
          <w:sz w:val="72"/>
          <w:szCs w:val="72"/>
        </w:rPr>
      </w:pPr>
    </w:p>
    <w:p>
      <w:pPr>
        <w:pStyle w:val="10"/>
        <w:jc w:val="both"/>
        <w:rPr>
          <w:sz w:val="72"/>
          <w:szCs w:val="72"/>
        </w:rPr>
      </w:pPr>
    </w:p>
    <w:p>
      <w:pPr>
        <w:pStyle w:val="10"/>
        <w:jc w:val="center"/>
        <w:rPr>
          <w:rFonts w:hint="eastAsia"/>
          <w:sz w:val="72"/>
          <w:szCs w:val="72"/>
        </w:rPr>
      </w:pPr>
    </w:p>
    <w:p>
      <w:pPr>
        <w:pStyle w:val="10"/>
        <w:jc w:val="center"/>
        <w:rPr>
          <w:rFonts w:hint="eastAsia"/>
          <w:sz w:val="72"/>
          <w:szCs w:val="72"/>
        </w:rPr>
      </w:pPr>
    </w:p>
    <w:p>
      <w:pPr>
        <w:pStyle w:val="10"/>
        <w:jc w:val="both"/>
        <w:rPr>
          <w:rFonts w:hint="eastAsia"/>
          <w:sz w:val="72"/>
          <w:szCs w:val="72"/>
        </w:rPr>
      </w:pPr>
    </w:p>
    <w:p>
      <w:pPr>
        <w:pStyle w:val="10"/>
        <w:jc w:val="center"/>
        <w:rPr>
          <w:rFonts w:hint="eastAsia"/>
          <w:sz w:val="72"/>
          <w:szCs w:val="72"/>
        </w:rPr>
      </w:pPr>
    </w:p>
    <w:p>
      <w:pPr>
        <w:pStyle w:val="10"/>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财政拨款收入：指本级财政当年拨付的资金。</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政府性基金预算财政拨款收入：指本级财政当年拨付的政府性基金预算资金。</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其他收入：指除上述“财政拨款收入”、“上级补助收入”、“事业收入”、“经营收入”、“附属单位上缴收入”等以外的收入。</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使用非财政拨款结余：指事业单位在当年的“财政拨款收入”、“财政拨款结转和结余资金”、“上级补助收入”、“事业收入”、“经营收入”、“附属单位上缴收入”、“其他收入”不足以安排当年支出情况下，使用以前年度积累的使用非财政拨款结余弥补收支差额的资金（事业单位当年收支相抵后按国家规定提取、用于弥补以后年度收支差额的非财政拨款结余）。</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上年结转和结余：指以前年度尚未完成、结转到本年按有关规定继续使用的资金。</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结余分配：指事业单位按规定对非财政补助结余资金提取的职工福利基金、事业基金和缴纳的所得税，以及减少单位按规定应缴回的基本建设竣工项目结余资金。</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年末结转和结余资金：指本年度或以前年度预算安排、因客观条件发生变化无法按原计划实施，需要延迟到以后年度按有关规定继续使用的资金。</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卫生健康支出（类）：是指用于医疗卫生与计划生育方面的支出，包括保障机构正常运转、完成日常和特定的工作任务或事业发展目标的支出。</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城乡社区支出（类）：是指用于城乡社区事务支出，包括保障机构正常运转、完成日常和特定的工作任务或事业发展目标的支出。</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资源勘探信息等支出（类）：是指用于资源勘探、制造业、建筑业、工业信息等方面支出，包括保障机构正常运转、完成日常和特定的工作任务或事业发展目标的支出。</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自然资源海洋气象等支出（类）：是指用于自然资源、海洋、测绘、气象等公益服务事业方面的支出，包括保障机构正常运转、完成日常和特定的工作任务或事业发展目标的支出。</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灾害防治及应急管理支出（类）：是指用于反映政府用于自然灾害防治、安全生产监管及应急管理等方面的支出，包括保障机构正常运转、完成日常和特定的工作任务或事业发展目标的支出。</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其他支出（类）：是指用于反映除上述项目以外其他不能划分到具体功能科目中的支出项目，包括保障机构正常运转、完成日常和特定的工作任务或事业发展目标的支出。</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基本支出：指保障机构正常运转、完成支日常工作任务而发生的人员支出和公用支出。</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项目支出：指在基本支出之外为完成特定行政任务和事业发展目标所发生的支出。</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工资福利支出：反映单位开支的在职职工和编制外长期聘用人员的各类劳动报酬，以及为上述人员缴纳的各项社会保险费等。</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津贴补贴：反映经国家批准建立的机关事业单位艰苦边远地区津贴、机关工作人员地区附加津贴、机关工作人员岗位津贴、事业单位工作人员特殊岗位津贴补贴等。</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奖金：反映机关工作人员年终一次性奖金。</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伙食补助费：反映单位发给职工的伙食补助费，如误餐补助等。</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绩效工资：反映事业单位工作人员的绩效工资。</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机关事业单位基本养老保险缴费：反映机关事业单位缴纳的基本养老保险费。由单位代扣的工作人员基本养老保险缴费，不在此科目反映。</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职业年金缴费：反映机关事业单位实际缴纳的职业年金支出。由单位代扣的工作人员职业年金缴费，不在此科目反映。</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职工基本医疗保险缴费：反映单位为职工缴纳的基本医疗保险费。</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公务员医疗补助缴费：反映按规定可享受公务员医疗补助单位为职工缴纳的公务员医疗补助费。</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其他社会保障缴费：反映单位为职工缴纳的基本医疗、失业、工伤、生育等社会保险费，残疾人就业保障金，军队（含武警）为军人缴纳的伤亡、退役医疗等社会保险费。</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住房公积金：反映行政事业单位按人力资源和社会保障部、财政部规定的基本工资和津贴补贴以及规定比例为职工缴纳的住房公积金。</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医疗费：反映未参加医疗保险单位的医疗经费和单位按规定为职工支出的其他医疗费用。</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商品和服务支出：反映单位购买商品和服务的支出（不包括用于购置固定资产的支出、战略性和应急储备支出）。</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办公费：反映单位购买按财务会计制度规定不符合固定资产确认标准的日常办公用品、书报杂志等支出。</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印刷费：反映单位的印刷费支出。</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咨询费：反映单位咨询方面的支出。</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水费：反映单位支付的水费、污水处理费等支出。</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电费：反映单位的电费支出。</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邮电费：反映单位开支的信函、包裹、货物等物品的邮寄费及电话费、电报费、传真费、网络通讯费等。</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取暖费：反映单位取暖用燃料费、热力费、炉具购置费、锅炉临时工的工资、节煤奖以及由单位支付的未实行职工住房采暖补贴改革的在职职工和离退休人员宿舍取暖费。</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物业管理费：反映单位开支的办公用房以及未实行职工住宅物业服务改革的在职职工和离退休人员宿舍等的物业管理费，包括综合治理、绿化、卫生等方面的支出。</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差旅费：反映单位工作人员出差发生的城市间交通费、住宿费、伙食补贴费和市内交通费。</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维修(护)费：反映单位日常开支的固定资产（不包括车船等交通工具）修理和维护费用，网络信息系统运行与维护费用，以及按规定提取的修购基金。</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租赁费：反映租赁办公用房、宿舍、专用通讯网以及其他设备等方面的费用。</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会议费：反映会议中按规定开支的住宿费、伙食费、会议室租金、交通费、文件印刷费、医药费等。</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培训费：反映除因公出国（境）培训费以外的各类培训支出。</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公务接待费：反映单位按规定开支的各类公务接待（含外宾接待）费用。</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专用材料费：反映单位购买日常专用材料的支出。具体包括药品及医疗耗材，农用材料，兽医用品，实验室用品，专用服装，消耗性体育用品，专用工具和仪器，艺术部门专用材料和用品，广播电视台发射台发射机的电力、材料等方面的支出。</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劳务费：反映支付给单位和个人的劳务费用，如临时聘用人员、钟点工工资，稿费、翻译费，评审费等。</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委托业务费：反映因委托外单位办理业务而支付的委托业务费。</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工会经费：反映单位按规定提取的工会经费。</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福利费：反映单位按规定提取的福利费。</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公务用车运行维护费：反映单位按规定保留的公务用车燃料费、维修费、过桥过路费、保险费、安全奖励费用等支出。</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其他交通费用：反映单位除公务用车运行维护费以外的其他交通费用。如公务交通补贴，租车费用、出租车费用，飞机、船舶等的燃料费、维修费、保险费等。</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税金及附加费用：反映单位提供劳务或销售产品应负担的税金及附加费用，包括营业税、消费税、城市维护建设税、资源税和教育附加等。</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其他商品和服务支出：反映上述科目未包括的日常公用支出。如行政赔偿费和诉讼费、国内组织的会员费、来访费、广告宣传、其他劳务费及离休人员特需费、公用经费等。</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对个人和家庭的补助：反映政府用于对个人和家庭的补助支出。</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退休费：反映行政事业单位和军队移交政府安置的退休人员的退休费和其他补贴。</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抚恤金：反映按规定开支的烈士遗属、牺牲病故人员遗属的一次性和定期抚恤金，伤残人员的抚恤金，离退休人员等其他人员的各项抚恤金。</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医疗费：反映行政事业单位在职职工、离退休人员的医疗费，军队移交政府安置的离退休人员的医疗费，学生医疗费，优抚对象医疗补助，以及按国家规定资助农民参加新型农村合作医疗和城镇居民参加城镇居民基本医疗保险的支出和对城乡贫困家庭的医疗救助支出。</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助学金：反映各类学校学生助学金、奖学金、学生贷款、出国留学（实习）人员生活费，青少年业余体校学员伙食补助费和生活费补贴，按照协议由我方负担或享受我方奖学金的来华留学生、进修生生活费等。</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奖励金：反映政府各部门的奖励支出，如对个体私营经济的奖励、计划生育目标责任奖励、独生子女父母奖励等。</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其他对个人和家庭的补助支出：反映未包括在上述科目的对个人和家庭的补助支出，如婴幼儿补贴、职工探亲旅费、退职人员及随行家属路费、符合条件的退役回乡义务兵一次性建房补助、符合安置条件的城镇退役士兵自谋职业的一次性经济补助费、对农户的生产经营补贴、保障性住房租金补贴等。</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办公设备购置：反映用于购置并按财务会计制度规定纳入固定资产核算范围的办公家具和办公设备的支出，以及按规定提取的修购基金。</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专用设备购置：反映用于购置具有专门用途、并按财务会计制度规定纳入固定资产核算范围的各类专用设备的支出。如通信设备、发电设备、交通监控设备、卫星转发器、气象设备、进出口监管设备等，以及按规定提取的修购基金。</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信息网络及软件购置更新：反映政府用于信息网络方面的支出。如计算机硬件、软件购置、开发、应用支出等，如果购建的计算机硬件、软件等不符合财务会计制度规定的固定资产确认标准的，不在此科目反映。</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rPr>
      </w:pPr>
      <w:r>
        <w:rPr>
          <w:rFonts w:hint="eastAsia" w:cs="黑体" w:asciiTheme="minorEastAsia" w:hAnsiTheme="minorEastAsia"/>
          <w:color w:val="000000"/>
          <w:kern w:val="0"/>
          <w:sz w:val="32"/>
          <w:szCs w:val="32"/>
          <w:lang w:val="en-US"/>
        </w:rPr>
        <w:t>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ind w:firstLine="640" w:firstLineChars="200"/>
        <w:jc w:val="left"/>
        <w:rPr>
          <w:rFonts w:hint="eastAsia" w:cs="黑体" w:asciiTheme="minorEastAsia" w:hAnsiTheme="minorEastAsia" w:eastAsiaTheme="minorEastAsia"/>
          <w:b/>
          <w:color w:val="000000"/>
          <w:kern w:val="0"/>
          <w:sz w:val="32"/>
          <w:szCs w:val="32"/>
          <w:lang w:val="en-US" w:eastAsia="zh-CN"/>
        </w:rPr>
      </w:pPr>
      <w:r>
        <w:rPr>
          <w:rFonts w:hint="eastAsia" w:cs="黑体" w:asciiTheme="minorEastAsia" w:hAnsiTheme="minorEastAsia"/>
          <w:b/>
          <w:color w:val="000000"/>
          <w:kern w:val="0"/>
          <w:sz w:val="32"/>
          <w:szCs w:val="32"/>
          <w:lang w:val="en-US" w:eastAsia="zh-CN"/>
        </w:rPr>
        <w:t>1、2021年部门决算公开表格</w:t>
      </w:r>
    </w:p>
    <w:p>
      <w:pPr>
        <w:ind w:firstLine="640" w:firstLineChars="200"/>
        <w:jc w:val="left"/>
        <w:rPr>
          <w:rFonts w:hint="eastAsia" w:cs="黑体" w:asciiTheme="minorEastAsia" w:hAnsiTheme="minorEastAsia"/>
          <w:b/>
          <w:color w:val="000000"/>
          <w:kern w:val="0"/>
          <w:sz w:val="32"/>
          <w:szCs w:val="32"/>
        </w:rPr>
      </w:pPr>
      <w:r>
        <w:rPr>
          <w:rFonts w:hint="eastAsia" w:cs="黑体" w:asciiTheme="minorEastAsia" w:hAnsiTheme="minorEastAsia"/>
          <w:b/>
          <w:color w:val="000000"/>
          <w:kern w:val="0"/>
          <w:sz w:val="32"/>
          <w:szCs w:val="32"/>
          <w:lang w:val="en-US" w:eastAsia="zh-CN"/>
        </w:rPr>
        <w:t>2、</w:t>
      </w:r>
      <w:r>
        <w:rPr>
          <w:rFonts w:hint="eastAsia" w:cs="黑体" w:asciiTheme="minorEastAsia" w:hAnsiTheme="minorEastAsia"/>
          <w:b/>
          <w:color w:val="000000"/>
          <w:kern w:val="0"/>
          <w:sz w:val="32"/>
          <w:szCs w:val="32"/>
        </w:rPr>
        <w:t>2021年度部门整体支出绩效评价报告</w:t>
      </w:r>
    </w:p>
    <w:p>
      <w:pPr>
        <w:ind w:firstLine="640" w:firstLineChars="200"/>
        <w:jc w:val="left"/>
        <w:rPr>
          <w:rFonts w:hint="eastAsia" w:cs="黑体" w:asciiTheme="minorEastAsia" w:hAnsiTheme="minorEastAsia"/>
          <w:b/>
          <w:color w:val="000000"/>
          <w:kern w:val="0"/>
          <w:sz w:val="32"/>
          <w:szCs w:val="32"/>
        </w:rPr>
      </w:pPr>
    </w:p>
    <w:p>
      <w:pPr>
        <w:ind w:firstLine="640" w:firstLineChars="200"/>
        <w:jc w:val="left"/>
        <w:rPr>
          <w:rFonts w:hint="eastAsia" w:cs="黑体" w:asciiTheme="minorEastAsia" w:hAnsiTheme="minorEastAsia"/>
          <w:b/>
          <w:color w:val="000000"/>
          <w:kern w:val="0"/>
          <w:sz w:val="32"/>
          <w:szCs w:val="32"/>
        </w:rPr>
      </w:pPr>
    </w:p>
    <w:p>
      <w:pPr>
        <w:ind w:firstLine="640" w:firstLineChars="200"/>
        <w:jc w:val="left"/>
        <w:rPr>
          <w:rFonts w:hint="eastAsia" w:cs="黑体" w:asciiTheme="minorEastAsia" w:hAnsiTheme="minorEastAsia"/>
          <w:b/>
          <w:color w:val="000000"/>
          <w:kern w:val="0"/>
          <w:sz w:val="32"/>
          <w:szCs w:val="32"/>
        </w:rPr>
      </w:pPr>
    </w:p>
    <w:p>
      <w:pPr>
        <w:ind w:firstLine="640" w:firstLineChars="200"/>
        <w:jc w:val="left"/>
        <w:rPr>
          <w:rFonts w:hint="eastAsia" w:cs="黑体" w:asciiTheme="minorEastAsia" w:hAnsiTheme="minorEastAsia"/>
          <w:b/>
          <w:color w:val="000000"/>
          <w:kern w:val="0"/>
          <w:sz w:val="32"/>
          <w:szCs w:val="32"/>
        </w:rPr>
      </w:pPr>
    </w:p>
    <w:p>
      <w:pPr>
        <w:ind w:firstLine="640" w:firstLineChars="200"/>
        <w:jc w:val="left"/>
        <w:rPr>
          <w:rFonts w:hint="eastAsia" w:cs="黑体" w:asciiTheme="minorEastAsia" w:hAnsiTheme="minorEastAsia"/>
          <w:b/>
          <w:color w:val="000000"/>
          <w:kern w:val="0"/>
          <w:sz w:val="32"/>
          <w:szCs w:val="32"/>
        </w:rPr>
      </w:pPr>
    </w:p>
    <w:p>
      <w:pPr>
        <w:ind w:firstLine="640" w:firstLineChars="200"/>
        <w:jc w:val="left"/>
        <w:rPr>
          <w:rFonts w:hint="eastAsia" w:cs="黑体" w:asciiTheme="minorEastAsia" w:hAnsiTheme="minorEastAsia"/>
          <w:b/>
          <w:color w:val="000000"/>
          <w:kern w:val="0"/>
          <w:sz w:val="32"/>
          <w:szCs w:val="32"/>
        </w:rPr>
      </w:pPr>
    </w:p>
    <w:p>
      <w:pPr>
        <w:ind w:firstLine="640" w:firstLineChars="200"/>
        <w:jc w:val="left"/>
        <w:rPr>
          <w:rFonts w:hint="eastAsia" w:cs="黑体" w:asciiTheme="minorEastAsia" w:hAnsiTheme="minorEastAsia"/>
          <w:b/>
          <w:color w:val="000000"/>
          <w:kern w:val="0"/>
          <w:sz w:val="32"/>
          <w:szCs w:val="32"/>
        </w:rPr>
      </w:pPr>
    </w:p>
    <w:p>
      <w:pPr>
        <w:ind w:firstLine="640" w:firstLineChars="200"/>
        <w:jc w:val="left"/>
        <w:rPr>
          <w:rFonts w:hint="eastAsia" w:cs="黑体" w:asciiTheme="minorEastAsia" w:hAnsiTheme="minorEastAsia"/>
          <w:b/>
          <w:color w:val="000000"/>
          <w:kern w:val="0"/>
          <w:sz w:val="32"/>
          <w:szCs w:val="32"/>
        </w:rPr>
      </w:pPr>
    </w:p>
    <w:p>
      <w:pPr>
        <w:ind w:firstLine="640" w:firstLineChars="200"/>
        <w:jc w:val="left"/>
        <w:rPr>
          <w:rFonts w:hint="eastAsia" w:cs="黑体" w:asciiTheme="minorEastAsia" w:hAnsiTheme="minorEastAsia"/>
          <w:b/>
          <w:color w:val="000000"/>
          <w:kern w:val="0"/>
          <w:sz w:val="32"/>
          <w:szCs w:val="32"/>
        </w:rPr>
      </w:pPr>
    </w:p>
    <w:p>
      <w:pPr>
        <w:ind w:firstLine="640" w:firstLineChars="200"/>
        <w:jc w:val="left"/>
        <w:rPr>
          <w:rFonts w:hint="eastAsia" w:cs="黑体" w:asciiTheme="minorEastAsia" w:hAnsiTheme="minorEastAsia"/>
          <w:b/>
          <w:color w:val="000000"/>
          <w:kern w:val="0"/>
          <w:sz w:val="32"/>
          <w:szCs w:val="32"/>
        </w:rPr>
      </w:pPr>
    </w:p>
    <w:p>
      <w:pPr>
        <w:ind w:firstLine="640" w:firstLineChars="200"/>
        <w:jc w:val="left"/>
        <w:rPr>
          <w:rFonts w:hint="eastAsia" w:cs="黑体" w:asciiTheme="minorEastAsia" w:hAnsiTheme="minorEastAsia"/>
          <w:b/>
          <w:color w:val="000000"/>
          <w:kern w:val="0"/>
          <w:sz w:val="32"/>
          <w:szCs w:val="32"/>
        </w:rPr>
      </w:pPr>
    </w:p>
    <w:p>
      <w:pPr>
        <w:ind w:firstLine="640" w:firstLineChars="200"/>
        <w:jc w:val="left"/>
        <w:rPr>
          <w:rFonts w:hint="eastAsia" w:cs="黑体" w:asciiTheme="minorEastAsia" w:hAnsiTheme="minorEastAsia"/>
          <w:b/>
          <w:color w:val="000000"/>
          <w:kern w:val="0"/>
          <w:sz w:val="32"/>
          <w:szCs w:val="32"/>
        </w:rPr>
      </w:pPr>
    </w:p>
    <w:p>
      <w:pPr>
        <w:ind w:firstLine="640" w:firstLineChars="200"/>
        <w:jc w:val="left"/>
        <w:rPr>
          <w:rFonts w:hint="eastAsia" w:cs="黑体" w:asciiTheme="minorEastAsia" w:hAnsiTheme="minorEastAsia"/>
          <w:b/>
          <w:color w:val="000000"/>
          <w:kern w:val="0"/>
          <w:sz w:val="32"/>
          <w:szCs w:val="32"/>
        </w:rPr>
      </w:pPr>
    </w:p>
    <w:p>
      <w:pPr>
        <w:ind w:firstLine="640" w:firstLineChars="200"/>
        <w:jc w:val="left"/>
        <w:rPr>
          <w:rFonts w:hint="eastAsia" w:cs="黑体" w:asciiTheme="minorEastAsia" w:hAnsiTheme="minorEastAsia"/>
          <w:b/>
          <w:color w:val="000000"/>
          <w:kern w:val="0"/>
          <w:sz w:val="32"/>
          <w:szCs w:val="32"/>
        </w:rPr>
      </w:pPr>
    </w:p>
    <w:p>
      <w:pPr>
        <w:ind w:firstLine="640" w:firstLineChars="200"/>
        <w:jc w:val="left"/>
        <w:rPr>
          <w:rFonts w:hint="eastAsia" w:cs="黑体" w:asciiTheme="minorEastAsia" w:hAnsiTheme="minorEastAsia"/>
          <w:b/>
          <w:color w:val="000000"/>
          <w:kern w:val="0"/>
          <w:sz w:val="32"/>
          <w:szCs w:val="32"/>
        </w:rPr>
      </w:pPr>
    </w:p>
    <w:p>
      <w:pPr>
        <w:ind w:firstLine="640" w:firstLineChars="200"/>
        <w:jc w:val="left"/>
        <w:rPr>
          <w:rFonts w:hint="eastAsia" w:cs="黑体" w:asciiTheme="minorEastAsia" w:hAnsiTheme="minorEastAsia"/>
          <w:b/>
          <w:color w:val="000000"/>
          <w:kern w:val="0"/>
          <w:sz w:val="32"/>
          <w:szCs w:val="32"/>
        </w:rPr>
      </w:pPr>
    </w:p>
    <w:p>
      <w:pPr>
        <w:ind w:firstLine="640" w:firstLineChars="200"/>
        <w:jc w:val="left"/>
        <w:rPr>
          <w:rFonts w:hint="eastAsia" w:cs="黑体" w:asciiTheme="minorEastAsia" w:hAnsiTheme="minorEastAsia"/>
          <w:b/>
          <w:color w:val="000000"/>
          <w:kern w:val="0"/>
          <w:sz w:val="32"/>
          <w:szCs w:val="32"/>
        </w:rPr>
      </w:pPr>
    </w:p>
    <w:p>
      <w:pPr>
        <w:ind w:firstLine="640" w:firstLineChars="200"/>
        <w:jc w:val="left"/>
        <w:rPr>
          <w:rFonts w:hint="eastAsia" w:cs="黑体" w:asciiTheme="minorEastAsia" w:hAnsiTheme="minorEastAsia"/>
          <w:b/>
          <w:color w:val="000000"/>
          <w:kern w:val="0"/>
          <w:sz w:val="32"/>
          <w:szCs w:val="32"/>
        </w:rPr>
      </w:pPr>
    </w:p>
    <w:p>
      <w:pPr>
        <w:ind w:firstLine="640" w:firstLineChars="200"/>
        <w:jc w:val="left"/>
        <w:rPr>
          <w:rFonts w:hint="eastAsia" w:cs="黑体" w:asciiTheme="minorEastAsia" w:hAnsiTheme="minorEastAsia"/>
          <w:b/>
          <w:color w:val="000000"/>
          <w:kern w:val="0"/>
          <w:sz w:val="32"/>
          <w:szCs w:val="32"/>
        </w:rPr>
      </w:pPr>
    </w:p>
    <w:p>
      <w:pPr>
        <w:ind w:firstLine="640" w:firstLineChars="200"/>
        <w:jc w:val="left"/>
        <w:rPr>
          <w:rFonts w:hint="eastAsia" w:cs="黑体" w:asciiTheme="minorEastAsia" w:hAnsiTheme="minorEastAsia"/>
          <w:b/>
          <w:color w:val="000000"/>
          <w:kern w:val="0"/>
          <w:sz w:val="32"/>
          <w:szCs w:val="32"/>
        </w:rPr>
      </w:pPr>
    </w:p>
    <w:p>
      <w:pPr>
        <w:ind w:firstLine="640" w:firstLineChars="200"/>
        <w:jc w:val="left"/>
        <w:rPr>
          <w:rFonts w:hint="eastAsia" w:cs="黑体" w:asciiTheme="minorEastAsia" w:hAnsiTheme="minorEastAsia"/>
          <w:b/>
          <w:color w:val="000000"/>
          <w:kern w:val="0"/>
          <w:sz w:val="32"/>
          <w:szCs w:val="32"/>
        </w:rPr>
      </w:pPr>
    </w:p>
    <w:p>
      <w:pPr>
        <w:shd w:val="clear" w:color="auto" w:fill="FFFFFF"/>
        <w:spacing w:line="720" w:lineRule="atLeast"/>
        <w:ind w:firstLine="300"/>
        <w:jc w:val="center"/>
        <w:rPr>
          <w:rFonts w:hint="eastAsia" w:ascii="宋体" w:hAnsi="宋体" w:cs="宋体"/>
          <w:color w:val="333333"/>
          <w:kern w:val="0"/>
          <w:sz w:val="44"/>
          <w:szCs w:val="44"/>
        </w:rPr>
      </w:pPr>
    </w:p>
    <w:p>
      <w:pPr>
        <w:shd w:val="clear" w:color="auto" w:fill="FFFFFF"/>
        <w:spacing w:line="720" w:lineRule="atLeast"/>
        <w:ind w:firstLine="300"/>
        <w:jc w:val="center"/>
        <w:rPr>
          <w:rFonts w:hint="eastAsia" w:ascii="宋体" w:hAnsi="宋体" w:cs="宋体"/>
          <w:color w:val="333333"/>
          <w:kern w:val="0"/>
          <w:sz w:val="44"/>
          <w:szCs w:val="44"/>
          <w:lang w:val="en-US" w:eastAsia="zh-CN"/>
        </w:rPr>
      </w:pPr>
      <w:r>
        <w:rPr>
          <w:rFonts w:hint="eastAsia" w:ascii="宋体" w:hAnsi="宋体" w:cs="宋体"/>
          <w:color w:val="333333"/>
          <w:kern w:val="0"/>
          <w:sz w:val="44"/>
          <w:szCs w:val="44"/>
        </w:rPr>
        <w:t>岳阳市</w:t>
      </w:r>
      <w:r>
        <w:rPr>
          <w:rFonts w:hint="eastAsia" w:ascii="宋体" w:hAnsi="宋体" w:cs="宋体"/>
          <w:color w:val="333333"/>
          <w:kern w:val="0"/>
          <w:sz w:val="44"/>
          <w:szCs w:val="44"/>
          <w:lang w:eastAsia="zh-CN"/>
        </w:rPr>
        <w:t>不动产测绘中心</w:t>
      </w:r>
    </w:p>
    <w:p>
      <w:pPr>
        <w:shd w:val="clear" w:color="auto" w:fill="FFFFFF"/>
        <w:spacing w:line="720" w:lineRule="atLeast"/>
        <w:ind w:firstLine="300"/>
        <w:jc w:val="center"/>
        <w:rPr>
          <w:rFonts w:hint="eastAsia" w:ascii="宋体" w:hAnsi="宋体" w:cs="宋体"/>
          <w:color w:val="333333"/>
          <w:kern w:val="0"/>
          <w:sz w:val="21"/>
          <w:szCs w:val="21"/>
        </w:rPr>
      </w:pPr>
      <w:r>
        <w:rPr>
          <w:rFonts w:hint="eastAsia" w:ascii="宋体" w:hAnsi="宋体" w:cs="Times New Roman"/>
          <w:color w:val="333333"/>
          <w:kern w:val="0"/>
          <w:sz w:val="44"/>
          <w:szCs w:val="44"/>
        </w:rPr>
        <w:t>202</w:t>
      </w:r>
      <w:r>
        <w:rPr>
          <w:rFonts w:hint="eastAsia" w:ascii="宋体" w:hAnsi="宋体" w:cs="Times New Roman"/>
          <w:color w:val="333333"/>
          <w:kern w:val="0"/>
          <w:sz w:val="44"/>
          <w:szCs w:val="44"/>
          <w:lang w:val="en-US" w:eastAsia="zh-CN"/>
        </w:rPr>
        <w:t>1</w:t>
      </w:r>
      <w:r>
        <w:rPr>
          <w:rFonts w:hint="eastAsia" w:ascii="宋体" w:hAnsi="宋体" w:cs="Times New Roman"/>
          <w:color w:val="333333"/>
          <w:kern w:val="0"/>
          <w:sz w:val="44"/>
          <w:szCs w:val="44"/>
        </w:rPr>
        <w:t>年部门整体支出绩效情况表</w:t>
      </w:r>
    </w:p>
    <w:p>
      <w:pPr>
        <w:shd w:val="clear" w:color="auto" w:fill="FFFFFF"/>
        <w:spacing w:line="450" w:lineRule="atLeast"/>
        <w:ind w:firstLine="544"/>
        <w:jc w:val="left"/>
        <w:rPr>
          <w:rFonts w:hint="eastAsia" w:ascii="微软雅黑" w:hAnsi="微软雅黑" w:eastAsia="微软雅黑" w:cs="宋体"/>
          <w:color w:val="333333"/>
          <w:kern w:val="0"/>
          <w:sz w:val="21"/>
          <w:szCs w:val="21"/>
        </w:rPr>
      </w:pPr>
      <w:r>
        <w:rPr>
          <w:rFonts w:hint="default" w:eastAsia="微软雅黑" w:cs="Times New Roman"/>
          <w:b/>
          <w:color w:val="333333"/>
          <w:kern w:val="0"/>
          <w:sz w:val="28"/>
          <w:szCs w:val="28"/>
        </w:rPr>
        <w:t> </w:t>
      </w:r>
    </w:p>
    <w:tbl>
      <w:tblPr>
        <w:tblStyle w:val="6"/>
        <w:tblW w:w="93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
      <w:tblGrid>
        <w:gridCol w:w="1654"/>
        <w:gridCol w:w="46"/>
        <w:gridCol w:w="1410"/>
        <w:gridCol w:w="9"/>
        <w:gridCol w:w="83"/>
        <w:gridCol w:w="421"/>
        <w:gridCol w:w="742"/>
        <w:gridCol w:w="155"/>
        <w:gridCol w:w="230"/>
        <w:gridCol w:w="465"/>
        <w:gridCol w:w="331"/>
        <w:gridCol w:w="384"/>
        <w:gridCol w:w="368"/>
        <w:gridCol w:w="733"/>
        <w:gridCol w:w="312"/>
        <w:gridCol w:w="126"/>
        <w:gridCol w:w="377"/>
        <w:gridCol w:w="558"/>
        <w:gridCol w:w="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394" w:type="dxa"/>
            <w:gridSpan w:val="19"/>
            <w:tcBorders>
              <w:top w:val="single" w:color="000000" w:sz="4" w:space="0"/>
              <w:left w:val="single" w:color="000000"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黑体" w:hAnsi="黑体" w:eastAsia="黑体" w:cs="黑体"/>
                <w:color w:val="000000"/>
                <w:sz w:val="28"/>
                <w:szCs w:val="28"/>
              </w:rPr>
              <w:t>一、单位基本概况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人员编制</w:t>
            </w:r>
          </w:p>
        </w:tc>
        <w:tc>
          <w:tcPr>
            <w:tcW w:w="3561" w:type="dxa"/>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17</w:t>
            </w:r>
          </w:p>
        </w:tc>
        <w:tc>
          <w:tcPr>
            <w:tcW w:w="715"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实有人数</w:t>
            </w:r>
          </w:p>
        </w:tc>
        <w:tc>
          <w:tcPr>
            <w:tcW w:w="346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3120" w:hRule="atLeast"/>
          <w:jc w:val="center"/>
        </w:trPr>
        <w:tc>
          <w:tcPr>
            <w:tcW w:w="165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职能职责概述</w:t>
            </w:r>
          </w:p>
        </w:tc>
        <w:tc>
          <w:tcPr>
            <w:tcW w:w="7740" w:type="dxa"/>
            <w:gridSpan w:val="18"/>
            <w:tcBorders>
              <w:top w:val="single" w:color="000000" w:sz="4" w:space="0"/>
              <w:left w:val="single" w:color="000000" w:sz="4" w:space="0"/>
              <w:bottom w:val="single" w:color="000000" w:sz="4" w:space="0"/>
              <w:right w:val="single" w:color="000000" w:sz="4" w:space="0"/>
              <w:tl2br w:val="nil"/>
              <w:tr2bl w:val="nil"/>
            </w:tcBorders>
            <w:noWrap w:val="0"/>
            <w:vAlign w:val="center"/>
          </w:tcPr>
          <w:p>
            <w:pPr>
              <w:autoSpaceDN w:val="0"/>
              <w:spacing w:line="320" w:lineRule="exact"/>
              <w:jc w:val="left"/>
              <w:textAlignment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负责市区不动产基础测绘；</w:t>
            </w:r>
          </w:p>
          <w:p>
            <w:pPr>
              <w:autoSpaceDN w:val="0"/>
              <w:spacing w:line="320" w:lineRule="exact"/>
              <w:jc w:val="left"/>
              <w:textAlignment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负责市区为不动产登记服务的地籍、房屋、界址的测绘；</w:t>
            </w:r>
          </w:p>
          <w:p>
            <w:pPr>
              <w:autoSpaceDN w:val="0"/>
              <w:spacing w:line="320" w:lineRule="exact"/>
              <w:jc w:val="left"/>
              <w:textAlignment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负责市区商品房预售测绘、房产调查和房屋面积测算；</w:t>
            </w:r>
          </w:p>
          <w:p>
            <w:pPr>
              <w:autoSpaceDN w:val="0"/>
              <w:spacing w:line="320" w:lineRule="exact"/>
              <w:jc w:val="left"/>
              <w:textAlignment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负责房屋楼盘表的建立和变更；</w:t>
            </w:r>
          </w:p>
          <w:p>
            <w:pPr>
              <w:autoSpaceDN w:val="0"/>
              <w:spacing w:line="320" w:lineRule="exact"/>
              <w:jc w:val="left"/>
              <w:textAlignment w:val="center"/>
              <w:rPr>
                <w:rFonts w:hint="eastAsia" w:ascii="仿宋_GB2312" w:hAnsi="仿宋_GB2312" w:eastAsia="仿宋_GB2312" w:cs="仿宋_GB2312"/>
                <w:color w:val="000000"/>
                <w:sz w:val="24"/>
                <w:szCs w:val="24"/>
                <w:lang w:val="en-US"/>
              </w:rPr>
            </w:pPr>
            <w:r>
              <w:rPr>
                <w:rFonts w:hint="eastAsia" w:ascii="仿宋_GB2312" w:hAnsi="仿宋_GB2312" w:eastAsia="仿宋_GB2312" w:cs="仿宋_GB2312"/>
                <w:color w:val="000000"/>
                <w:sz w:val="24"/>
                <w:szCs w:val="24"/>
                <w:lang w:val="en-US" w:eastAsia="zh-CN"/>
              </w:rPr>
              <w:t>负责不动产测绘成果的审核、转化和利用。</w:t>
            </w:r>
          </w:p>
          <w:p>
            <w:pPr>
              <w:autoSpaceDN w:val="0"/>
              <w:spacing w:line="320" w:lineRule="exact"/>
              <w:jc w:val="left"/>
              <w:textAlignment w:val="center"/>
              <w:rPr>
                <w:rFonts w:hint="eastAsia" w:ascii="仿宋_GB2312" w:hAnsi="仿宋_GB2312" w:eastAsia="仿宋_GB2312" w:cs="仿宋_GB2312"/>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778" w:hRule="atLeast"/>
          <w:jc w:val="center"/>
        </w:trPr>
        <w:tc>
          <w:tcPr>
            <w:tcW w:w="165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年度主要</w:t>
            </w:r>
          </w:p>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工作内容</w:t>
            </w:r>
          </w:p>
        </w:tc>
        <w:tc>
          <w:tcPr>
            <w:tcW w:w="7740" w:type="dxa"/>
            <w:gridSpan w:val="18"/>
            <w:tcBorders>
              <w:top w:val="single" w:color="000000" w:sz="4" w:space="0"/>
              <w:left w:val="single" w:color="000000" w:sz="4" w:space="0"/>
              <w:bottom w:val="single" w:color="000000" w:sz="4" w:space="0"/>
              <w:right w:val="single" w:color="000000" w:sz="4" w:space="0"/>
              <w:tl2br w:val="nil"/>
              <w:tr2bl w:val="nil"/>
            </w:tcBorders>
            <w:noWrap w:val="0"/>
            <w:vAlign w:val="center"/>
          </w:tcPr>
          <w:p>
            <w:pPr>
              <w:autoSpaceDN w:val="0"/>
              <w:spacing w:line="320" w:lineRule="exact"/>
              <w:jc w:val="left"/>
              <w:textAlignment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1.实现全年非税收入350万元。</w:t>
            </w:r>
          </w:p>
          <w:p>
            <w:pPr>
              <w:autoSpaceDN w:val="0"/>
              <w:spacing w:line="320" w:lineRule="exact"/>
              <w:jc w:val="lef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2</w:t>
            </w:r>
            <w:r>
              <w:rPr>
                <w:rFonts w:hint="eastAsia" w:ascii="仿宋_GB2312" w:hAnsi="仿宋_GB2312" w:eastAsia="仿宋_GB2312" w:cs="仿宋_GB2312"/>
                <w:color w:val="000000"/>
                <w:sz w:val="24"/>
                <w:szCs w:val="24"/>
                <w:lang w:eastAsia="zh-CN"/>
              </w:rPr>
              <w:t>.</w:t>
            </w:r>
            <w:r>
              <w:rPr>
                <w:rFonts w:hint="eastAsia" w:ascii="仿宋_GB2312" w:hAnsi="仿宋_GB2312" w:eastAsia="仿宋_GB2312" w:cs="仿宋_GB2312"/>
                <w:color w:val="000000"/>
                <w:sz w:val="24"/>
                <w:szCs w:val="24"/>
              </w:rPr>
              <w:t>为不动产登记管理搞好基础测绘。</w:t>
            </w:r>
          </w:p>
          <w:p>
            <w:pPr>
              <w:autoSpaceDN w:val="0"/>
              <w:spacing w:line="320" w:lineRule="exact"/>
              <w:jc w:val="lef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3</w:t>
            </w:r>
            <w:r>
              <w:rPr>
                <w:rFonts w:hint="eastAsia" w:ascii="仿宋_GB2312" w:hAnsi="仿宋_GB2312" w:eastAsia="仿宋_GB2312" w:cs="仿宋_GB2312"/>
                <w:color w:val="000000"/>
                <w:sz w:val="24"/>
                <w:szCs w:val="24"/>
              </w:rPr>
              <w:t>.为商品房预售提供准确的房屋面积数据。</w:t>
            </w:r>
          </w:p>
          <w:p>
            <w:pPr>
              <w:autoSpaceDN w:val="0"/>
              <w:spacing w:line="320" w:lineRule="exact"/>
              <w:jc w:val="lef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4</w:t>
            </w:r>
            <w:r>
              <w:rPr>
                <w:rFonts w:hint="eastAsia" w:ascii="仿宋_GB2312" w:hAnsi="仿宋_GB2312" w:eastAsia="仿宋_GB2312" w:cs="仿宋_GB2312"/>
                <w:color w:val="000000"/>
                <w:sz w:val="24"/>
                <w:szCs w:val="24"/>
                <w:lang w:eastAsia="zh-CN"/>
              </w:rPr>
              <w:t>.配合不动产登记信息中心搞好不动产登记综合平台建设及历史数据清理工作</w:t>
            </w:r>
            <w:r>
              <w:rPr>
                <w:rFonts w:hint="eastAsia" w:ascii="仿宋_GB2312" w:hAnsi="仿宋_GB2312" w:eastAsia="仿宋_GB2312" w:cs="仿宋_GB2312"/>
                <w:color w:val="000000"/>
                <w:sz w:val="24"/>
                <w:szCs w:val="24"/>
              </w:rPr>
              <w:t>。</w:t>
            </w:r>
          </w:p>
          <w:p>
            <w:pPr>
              <w:autoSpaceDN w:val="0"/>
              <w:spacing w:line="320" w:lineRule="exact"/>
              <w:jc w:val="left"/>
              <w:textAlignment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5</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lang w:val="en-US" w:eastAsia="zh-CN"/>
              </w:rPr>
              <w:t>为满足多测合一的专业范围，争取完成测绘资质变更。</w:t>
            </w:r>
          </w:p>
          <w:p>
            <w:pPr>
              <w:autoSpaceDN w:val="0"/>
              <w:spacing w:line="320" w:lineRule="exact"/>
              <w:jc w:val="left"/>
              <w:textAlignment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6.全力配合“集中化解房地产办证信访突出问题专项工作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3515" w:hRule="atLeast"/>
          <w:jc w:val="center"/>
        </w:trPr>
        <w:tc>
          <w:tcPr>
            <w:tcW w:w="165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pacing w:val="-6"/>
                <w:sz w:val="24"/>
                <w:szCs w:val="24"/>
              </w:rPr>
            </w:pPr>
            <w:r>
              <w:rPr>
                <w:rFonts w:hint="eastAsia" w:ascii="仿宋_GB2312" w:hAnsi="仿宋_GB2312" w:eastAsia="仿宋_GB2312" w:cs="仿宋_GB2312"/>
                <w:color w:val="000000"/>
                <w:spacing w:val="-6"/>
                <w:sz w:val="24"/>
                <w:szCs w:val="24"/>
              </w:rPr>
              <w:t>总体运行情况及取得的成绩</w:t>
            </w:r>
          </w:p>
        </w:tc>
        <w:tc>
          <w:tcPr>
            <w:tcW w:w="7740" w:type="dxa"/>
            <w:gridSpan w:val="18"/>
            <w:tcBorders>
              <w:top w:val="single" w:color="000000" w:sz="4" w:space="0"/>
              <w:left w:val="single" w:color="000000" w:sz="4" w:space="0"/>
              <w:bottom w:val="single" w:color="000000" w:sz="4" w:space="0"/>
              <w:right w:val="single" w:color="000000" w:sz="4" w:space="0"/>
              <w:tl2br w:val="nil"/>
              <w:tr2bl w:val="nil"/>
            </w:tcBorders>
            <w:noWrap w:val="0"/>
            <w:vAlign w:val="center"/>
          </w:tcPr>
          <w:p>
            <w:pPr>
              <w:autoSpaceDN w:val="0"/>
              <w:spacing w:line="320" w:lineRule="exact"/>
              <w:jc w:val="left"/>
              <w:textAlignment w:val="center"/>
              <w:rPr>
                <w:rFonts w:hint="eastAsia" w:ascii="仿宋_GB2312" w:hAnsi="仿宋_GB2312" w:eastAsia="仿宋_GB2312" w:cs="仿宋_GB2312"/>
                <w:color w:val="000000"/>
                <w:sz w:val="24"/>
                <w:szCs w:val="24"/>
                <w:lang w:val="en-US" w:eastAsia="zh-CN"/>
              </w:rPr>
            </w:pPr>
          </w:p>
          <w:p>
            <w:pPr>
              <w:autoSpaceDN w:val="0"/>
              <w:spacing w:line="320" w:lineRule="exact"/>
              <w:jc w:val="lef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1.全年非税收入942.7万，超收592.7万元。</w:t>
            </w:r>
          </w:p>
          <w:p>
            <w:pPr>
              <w:autoSpaceDN w:val="0"/>
              <w:spacing w:line="320" w:lineRule="exact"/>
              <w:jc w:val="left"/>
              <w:textAlignment w:val="center"/>
              <w:rPr>
                <w:rFonts w:hint="eastAsia" w:ascii="仿宋_GB2312" w:hAnsi="仿宋_GB2312" w:eastAsia="仿宋_GB2312" w:cs="仿宋_GB2312"/>
                <w:color w:val="000000"/>
                <w:sz w:val="24"/>
                <w:szCs w:val="24"/>
                <w:lang w:eastAsia="zh-CN"/>
              </w:rPr>
            </w:pPr>
            <w:r>
              <w:rPr>
                <w:rFonts w:hint="eastAsia" w:ascii="仿宋_GB2312" w:hAnsi="仿宋_GB2312" w:eastAsia="仿宋_GB2312" w:cs="仿宋_GB2312"/>
                <w:color w:val="000000"/>
                <w:sz w:val="24"/>
                <w:szCs w:val="24"/>
                <w:lang w:val="en-US" w:eastAsia="zh-CN"/>
              </w:rPr>
              <w:t>2</w:t>
            </w:r>
            <w:r>
              <w:rPr>
                <w:rFonts w:hint="eastAsia" w:ascii="仿宋_GB2312" w:hAnsi="仿宋_GB2312" w:eastAsia="仿宋_GB2312" w:cs="仿宋_GB2312"/>
                <w:color w:val="000000"/>
                <w:sz w:val="24"/>
                <w:szCs w:val="24"/>
              </w:rPr>
              <w:t>.完成</w:t>
            </w:r>
            <w:r>
              <w:rPr>
                <w:rFonts w:hint="eastAsia" w:ascii="仿宋_GB2312" w:hAnsi="仿宋_GB2312" w:eastAsia="仿宋_GB2312" w:cs="仿宋_GB2312"/>
                <w:color w:val="000000"/>
                <w:sz w:val="24"/>
                <w:szCs w:val="24"/>
                <w:lang w:eastAsia="zh-CN"/>
              </w:rPr>
              <w:t>郡华</w:t>
            </w:r>
            <w:r>
              <w:rPr>
                <w:rFonts w:hint="eastAsia" w:ascii="仿宋_GB2312" w:hAnsi="仿宋_GB2312" w:eastAsia="仿宋_GB2312" w:cs="仿宋_GB2312"/>
                <w:color w:val="000000"/>
                <w:sz w:val="24"/>
                <w:szCs w:val="24"/>
                <w:lang w:val="en-US" w:eastAsia="zh-CN"/>
              </w:rPr>
              <w:t>·长郡里</w:t>
            </w:r>
            <w:r>
              <w:rPr>
                <w:rFonts w:hint="eastAsia" w:ascii="仿宋_GB2312" w:hAnsi="仿宋_GB2312" w:eastAsia="仿宋_GB2312" w:cs="仿宋_GB2312"/>
                <w:color w:val="000000"/>
                <w:sz w:val="24"/>
                <w:szCs w:val="24"/>
                <w:lang w:eastAsia="zh-CN"/>
              </w:rPr>
              <w:t>、祥生</w:t>
            </w:r>
            <w:r>
              <w:rPr>
                <w:rFonts w:hint="eastAsia" w:ascii="仿宋_GB2312" w:hAnsi="仿宋_GB2312" w:eastAsia="仿宋_GB2312" w:cs="仿宋_GB2312"/>
                <w:color w:val="000000"/>
                <w:sz w:val="24"/>
                <w:szCs w:val="24"/>
                <w:lang w:val="en-US" w:eastAsia="zh-CN"/>
              </w:rPr>
              <w:t>·金麟府</w:t>
            </w:r>
            <w:r>
              <w:rPr>
                <w:rFonts w:hint="eastAsia" w:ascii="仿宋_GB2312" w:hAnsi="仿宋_GB2312" w:eastAsia="仿宋_GB2312" w:cs="仿宋_GB2312"/>
                <w:color w:val="000000"/>
                <w:sz w:val="24"/>
                <w:szCs w:val="24"/>
                <w:lang w:eastAsia="zh-CN"/>
              </w:rPr>
              <w:t>、美的</w:t>
            </w:r>
            <w:r>
              <w:rPr>
                <w:rFonts w:hint="eastAsia" w:ascii="仿宋_GB2312" w:hAnsi="仿宋_GB2312" w:eastAsia="仿宋_GB2312" w:cs="仿宋_GB2312"/>
                <w:color w:val="000000"/>
                <w:sz w:val="24"/>
                <w:szCs w:val="24"/>
                <w:lang w:val="en-US" w:eastAsia="zh-CN"/>
              </w:rPr>
              <w:t>·梧桐庄园、</w:t>
            </w:r>
            <w:r>
              <w:rPr>
                <w:rFonts w:hint="eastAsia" w:ascii="仿宋_GB2312" w:hAnsi="仿宋_GB2312" w:eastAsia="仿宋_GB2312" w:cs="仿宋_GB2312"/>
                <w:color w:val="000000"/>
                <w:sz w:val="24"/>
                <w:szCs w:val="24"/>
                <w:lang w:eastAsia="zh-CN"/>
              </w:rPr>
              <w:t>中环名座、天伦溪山府、融创岳阳都会</w:t>
            </w:r>
            <w:r>
              <w:rPr>
                <w:rFonts w:hint="eastAsia" w:ascii="仿宋_GB2312" w:hAnsi="仿宋_GB2312" w:eastAsia="仿宋_GB2312" w:cs="仿宋_GB2312"/>
                <w:color w:val="000000"/>
                <w:sz w:val="24"/>
                <w:szCs w:val="24"/>
              </w:rPr>
              <w:t>等项目</w:t>
            </w:r>
            <w:r>
              <w:rPr>
                <w:rFonts w:hint="eastAsia" w:ascii="仿宋_GB2312" w:hAnsi="仿宋_GB2312" w:eastAsia="仿宋_GB2312" w:cs="仿宋_GB2312"/>
                <w:color w:val="000000"/>
                <w:sz w:val="24"/>
                <w:szCs w:val="24"/>
                <w:lang w:val="en-US" w:eastAsia="zh-CN"/>
              </w:rPr>
              <w:t>116</w:t>
            </w:r>
            <w:r>
              <w:rPr>
                <w:rFonts w:hint="eastAsia" w:ascii="仿宋_GB2312" w:hAnsi="仿宋_GB2312" w:eastAsia="仿宋_GB2312" w:cs="仿宋_GB2312"/>
                <w:color w:val="000000"/>
                <w:sz w:val="24"/>
                <w:szCs w:val="24"/>
              </w:rPr>
              <w:t>栋房屋面积预测工作，预测总面积</w:t>
            </w:r>
            <w:r>
              <w:rPr>
                <w:rFonts w:hint="eastAsia" w:ascii="仿宋_GB2312" w:hAnsi="仿宋_GB2312" w:eastAsia="仿宋_GB2312" w:cs="仿宋_GB2312"/>
                <w:color w:val="000000"/>
                <w:sz w:val="24"/>
                <w:szCs w:val="24"/>
                <w:lang w:val="en-US" w:eastAsia="zh-CN"/>
              </w:rPr>
              <w:t>132.11</w:t>
            </w:r>
            <w:r>
              <w:rPr>
                <w:rFonts w:hint="eastAsia" w:ascii="仿宋_GB2312" w:hAnsi="仿宋_GB2312" w:eastAsia="仿宋_GB2312" w:cs="仿宋_GB2312"/>
                <w:color w:val="000000"/>
                <w:sz w:val="24"/>
                <w:szCs w:val="24"/>
              </w:rPr>
              <w:t>万平方米</w:t>
            </w:r>
            <w:r>
              <w:rPr>
                <w:rFonts w:hint="eastAsia" w:ascii="仿宋_GB2312" w:hAnsi="仿宋_GB2312" w:eastAsia="仿宋_GB2312" w:cs="仿宋_GB2312"/>
                <w:color w:val="000000"/>
                <w:sz w:val="24"/>
                <w:szCs w:val="24"/>
                <w:lang w:eastAsia="zh-CN"/>
              </w:rPr>
              <w:t>。</w:t>
            </w:r>
          </w:p>
          <w:p>
            <w:pPr>
              <w:autoSpaceDN w:val="0"/>
              <w:spacing w:line="320" w:lineRule="exact"/>
              <w:jc w:val="lef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3</w:t>
            </w:r>
            <w:r>
              <w:rPr>
                <w:rFonts w:hint="eastAsia" w:ascii="仿宋_GB2312" w:hAnsi="仿宋_GB2312" w:eastAsia="仿宋_GB2312" w:cs="仿宋_GB2312"/>
                <w:color w:val="000000"/>
                <w:sz w:val="24"/>
                <w:szCs w:val="24"/>
                <w:lang w:eastAsia="zh-CN"/>
              </w:rPr>
              <w:t>.完成碧桂园</w:t>
            </w:r>
            <w:r>
              <w:rPr>
                <w:rFonts w:hint="eastAsia" w:ascii="仿宋_GB2312" w:hAnsi="仿宋_GB2312" w:eastAsia="仿宋_GB2312" w:cs="仿宋_GB2312"/>
                <w:color w:val="000000"/>
                <w:sz w:val="24"/>
                <w:szCs w:val="24"/>
                <w:lang w:val="en-US" w:eastAsia="zh-CN"/>
              </w:rPr>
              <w:t>·凤凰城</w:t>
            </w:r>
            <w:r>
              <w:rPr>
                <w:rFonts w:hint="eastAsia" w:ascii="仿宋_GB2312" w:hAnsi="仿宋_GB2312" w:eastAsia="仿宋_GB2312" w:cs="仿宋_GB2312"/>
                <w:color w:val="000000"/>
                <w:sz w:val="24"/>
                <w:szCs w:val="24"/>
                <w:lang w:eastAsia="zh-CN"/>
              </w:rPr>
              <w:t>、荣盛</w:t>
            </w:r>
            <w:r>
              <w:rPr>
                <w:rFonts w:hint="eastAsia" w:ascii="仿宋_GB2312" w:hAnsi="仿宋_GB2312" w:eastAsia="仿宋_GB2312" w:cs="仿宋_GB2312"/>
                <w:color w:val="000000"/>
                <w:sz w:val="24"/>
                <w:szCs w:val="24"/>
                <w:lang w:val="en-US" w:eastAsia="zh-CN"/>
              </w:rPr>
              <w:t>·金鹗御府</w:t>
            </w:r>
            <w:r>
              <w:rPr>
                <w:rFonts w:hint="eastAsia" w:ascii="仿宋_GB2312" w:hAnsi="仿宋_GB2312" w:eastAsia="仿宋_GB2312" w:cs="仿宋_GB2312"/>
                <w:color w:val="000000"/>
                <w:sz w:val="24"/>
                <w:szCs w:val="24"/>
                <w:lang w:eastAsia="zh-CN"/>
              </w:rPr>
              <w:t>、洞庭湖国际公馆、民院学府、云梦新城、南湖嘉苑等项目</w:t>
            </w:r>
            <w:r>
              <w:rPr>
                <w:rFonts w:hint="eastAsia" w:ascii="仿宋_GB2312" w:hAnsi="仿宋_GB2312" w:eastAsia="仿宋_GB2312" w:cs="仿宋_GB2312"/>
                <w:color w:val="000000"/>
                <w:sz w:val="24"/>
                <w:szCs w:val="24"/>
                <w:lang w:val="en-US" w:eastAsia="zh-CN"/>
              </w:rPr>
              <w:t>375</w:t>
            </w:r>
            <w:r>
              <w:rPr>
                <w:rFonts w:hint="eastAsia" w:ascii="仿宋_GB2312" w:hAnsi="仿宋_GB2312" w:eastAsia="仿宋_GB2312" w:cs="仿宋_GB2312"/>
                <w:color w:val="000000"/>
                <w:sz w:val="24"/>
                <w:szCs w:val="24"/>
                <w:lang w:eastAsia="zh-CN"/>
              </w:rPr>
              <w:t>栋房屋实测工作，实测面积</w:t>
            </w:r>
            <w:r>
              <w:rPr>
                <w:rFonts w:hint="eastAsia" w:ascii="仿宋_GB2312" w:hAnsi="仿宋_GB2312" w:eastAsia="仿宋_GB2312" w:cs="仿宋_GB2312"/>
                <w:color w:val="000000"/>
                <w:sz w:val="24"/>
                <w:szCs w:val="24"/>
                <w:lang w:val="en-US" w:eastAsia="zh-CN"/>
              </w:rPr>
              <w:t>290.05</w:t>
            </w:r>
            <w:r>
              <w:rPr>
                <w:rFonts w:hint="eastAsia" w:ascii="仿宋_GB2312" w:hAnsi="仿宋_GB2312" w:eastAsia="仿宋_GB2312" w:cs="仿宋_GB2312"/>
                <w:color w:val="000000"/>
                <w:sz w:val="24"/>
                <w:szCs w:val="24"/>
                <w:lang w:eastAsia="zh-CN"/>
              </w:rPr>
              <w:t>万平方米</w:t>
            </w:r>
          </w:p>
          <w:p>
            <w:pPr>
              <w:autoSpaceDN w:val="0"/>
              <w:spacing w:line="320" w:lineRule="exact"/>
              <w:jc w:val="lef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4</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lang w:val="en-US" w:eastAsia="zh-CN"/>
              </w:rPr>
              <w:t>积极配合“集中化解房地产办证信访突出问题专项工作 ” 在需化解的36个楼盘中，有28个楼盘已出具房产实测报告，3个楼盘已完成外业测绘工作。</w:t>
            </w:r>
          </w:p>
          <w:p>
            <w:pPr>
              <w:autoSpaceDN w:val="0"/>
              <w:spacing w:line="320" w:lineRule="exact"/>
              <w:jc w:val="left"/>
              <w:textAlignment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5</w:t>
            </w:r>
            <w:r>
              <w:rPr>
                <w:rFonts w:hint="eastAsia" w:ascii="仿宋_GB2312" w:hAnsi="仿宋_GB2312" w:eastAsia="仿宋_GB2312" w:cs="仿宋_GB2312"/>
                <w:color w:val="000000"/>
                <w:sz w:val="24"/>
                <w:szCs w:val="24"/>
                <w:lang w:eastAsia="zh-CN"/>
              </w:rPr>
              <w:t>.</w:t>
            </w:r>
            <w:r>
              <w:rPr>
                <w:rFonts w:hint="eastAsia" w:ascii="仿宋_GB2312" w:hAnsi="仿宋_GB2312" w:eastAsia="仿宋_GB2312" w:cs="仿宋_GB2312"/>
                <w:color w:val="000000"/>
                <w:sz w:val="24"/>
                <w:szCs w:val="24"/>
                <w:lang w:val="en-US" w:eastAsia="zh-CN"/>
              </w:rPr>
              <w:t>完成20个多测合一项目的测绘成果审核工作；完成岳阳市机关事务管理局30栋办公用房实测报告的审核工作。</w:t>
            </w:r>
          </w:p>
          <w:p>
            <w:pPr>
              <w:autoSpaceDN w:val="0"/>
              <w:spacing w:line="320" w:lineRule="exact"/>
              <w:jc w:val="left"/>
              <w:textAlignment w:val="center"/>
              <w:rPr>
                <w:rFonts w:hint="eastAsia" w:ascii="仿宋_GB2312" w:hAnsi="仿宋_GB2312" w:eastAsia="仿宋_GB2312" w:cs="仿宋_GB2312"/>
                <w:color w:val="000000"/>
                <w:sz w:val="24"/>
                <w:szCs w:val="24"/>
              </w:rPr>
            </w:pPr>
          </w:p>
          <w:p>
            <w:pPr>
              <w:autoSpaceDN w:val="0"/>
              <w:spacing w:line="320" w:lineRule="exact"/>
              <w:jc w:val="left"/>
              <w:textAlignment w:val="center"/>
              <w:rPr>
                <w:rFonts w:hint="eastAsia" w:ascii="仿宋_GB2312" w:hAnsi="仿宋_GB2312" w:eastAsia="仿宋_GB2312" w:cs="仿宋_GB2312"/>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394" w:type="dxa"/>
            <w:gridSpan w:val="19"/>
            <w:tcBorders>
              <w:top w:val="single" w:color="000000" w:sz="4" w:space="0"/>
              <w:left w:val="single" w:color="000000"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黑体" w:hAnsi="黑体" w:eastAsia="黑体" w:cs="黑体"/>
                <w:color w:val="000000"/>
                <w:sz w:val="28"/>
                <w:szCs w:val="28"/>
              </w:rPr>
              <w:t>二、部门（单位）收支情况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394" w:type="dxa"/>
            <w:gridSpan w:val="19"/>
            <w:tcBorders>
              <w:top w:val="single" w:color="000000" w:sz="4" w:space="0"/>
              <w:left w:val="single" w:color="000000"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b/>
                <w:color w:val="000000"/>
                <w:sz w:val="24"/>
                <w:szCs w:val="24"/>
              </w:rPr>
              <w:t>年度收入情况（万元）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vMerge w:val="restart"/>
            <w:tcBorders>
              <w:top w:val="single" w:color="000000" w:sz="4" w:space="0"/>
              <w:left w:val="single" w:color="000000" w:sz="4" w:space="0"/>
              <w:bottom w:val="single" w:color="000000" w:sz="4" w:space="0"/>
              <w:right w:val="single" w:color="auto"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收入合计</w:t>
            </w:r>
          </w:p>
        </w:tc>
        <w:tc>
          <w:tcPr>
            <w:tcW w:w="7740" w:type="dxa"/>
            <w:gridSpan w:val="18"/>
            <w:tcBorders>
              <w:top w:val="single" w:color="000000" w:sz="4" w:space="0"/>
              <w:left w:val="single" w:color="auto"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014" w:hRule="atLeast"/>
          <w:jc w:val="center"/>
        </w:trPr>
        <w:tc>
          <w:tcPr>
            <w:tcW w:w="1654" w:type="dxa"/>
            <w:vMerge w:val="continue"/>
            <w:tcBorders>
              <w:top w:val="single" w:color="000000" w:sz="4" w:space="0"/>
              <w:left w:val="single" w:color="000000" w:sz="4" w:space="0"/>
              <w:bottom w:val="single" w:color="000000" w:sz="4" w:space="0"/>
              <w:right w:val="single" w:color="auto"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p>
        </w:tc>
        <w:tc>
          <w:tcPr>
            <w:tcW w:w="1548" w:type="dxa"/>
            <w:gridSpan w:val="4"/>
            <w:tcBorders>
              <w:top w:val="single" w:color="000000" w:sz="4" w:space="0"/>
              <w:left w:val="single" w:color="auto"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上年结转</w:t>
            </w:r>
          </w:p>
        </w:tc>
        <w:tc>
          <w:tcPr>
            <w:tcW w:w="1548"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公共财</w:t>
            </w:r>
          </w:p>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政拨款</w:t>
            </w:r>
          </w:p>
        </w:tc>
        <w:tc>
          <w:tcPr>
            <w:tcW w:w="1548"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政府基金拨款</w:t>
            </w:r>
          </w:p>
        </w:tc>
        <w:tc>
          <w:tcPr>
            <w:tcW w:w="1548"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纳入专户管理的非税收入</w:t>
            </w:r>
          </w:p>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拨款</w:t>
            </w:r>
          </w:p>
        </w:tc>
        <w:tc>
          <w:tcPr>
            <w:tcW w:w="1548"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其他</w:t>
            </w:r>
          </w:p>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收入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54" w:hRule="atLeast"/>
          <w:jc w:val="center"/>
        </w:trPr>
        <w:tc>
          <w:tcPr>
            <w:tcW w:w="1654" w:type="dxa"/>
            <w:tcBorders>
              <w:top w:val="single" w:color="000000" w:sz="4" w:space="0"/>
              <w:left w:val="single" w:color="000000" w:sz="4" w:space="0"/>
              <w:bottom w:val="single" w:color="000000" w:sz="4" w:space="0"/>
              <w:right w:val="single" w:color="auto" w:sz="4" w:space="0"/>
              <w:tl2br w:val="nil"/>
              <w:tr2bl w:val="nil"/>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951.85</w:t>
            </w:r>
          </w:p>
        </w:tc>
        <w:tc>
          <w:tcPr>
            <w:tcW w:w="1548" w:type="dxa"/>
            <w:gridSpan w:val="4"/>
            <w:tcBorders>
              <w:top w:val="single" w:color="000000" w:sz="4" w:space="0"/>
              <w:left w:val="single" w:color="auto"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527.85</w:t>
            </w:r>
          </w:p>
        </w:tc>
        <w:tc>
          <w:tcPr>
            <w:tcW w:w="1548"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423.99</w:t>
            </w:r>
          </w:p>
        </w:tc>
        <w:tc>
          <w:tcPr>
            <w:tcW w:w="1548"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0</w:t>
            </w:r>
          </w:p>
        </w:tc>
        <w:tc>
          <w:tcPr>
            <w:tcW w:w="1548"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0</w:t>
            </w:r>
          </w:p>
        </w:tc>
        <w:tc>
          <w:tcPr>
            <w:tcW w:w="1548"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0.01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9394" w:type="dxa"/>
            <w:gridSpan w:val="19"/>
            <w:tcBorders>
              <w:top w:val="single" w:color="000000" w:sz="4" w:space="0"/>
              <w:left w:val="single" w:color="000000"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b/>
                <w:color w:val="000000"/>
                <w:sz w:val="24"/>
                <w:szCs w:val="24"/>
              </w:rPr>
              <w:t>年度支出和结余情况（万元）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366" w:hRule="atLeast"/>
          <w:jc w:val="center"/>
        </w:trPr>
        <w:tc>
          <w:tcPr>
            <w:tcW w:w="1700" w:type="dxa"/>
            <w:gridSpan w:val="2"/>
            <w:vMerge w:val="restart"/>
            <w:tcBorders>
              <w:top w:val="single" w:color="000000" w:sz="4" w:space="0"/>
              <w:left w:val="single" w:color="000000" w:sz="4" w:space="0"/>
              <w:bottom w:val="single" w:color="000000" w:sz="4" w:space="0"/>
              <w:right w:val="single" w:color="auto"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支出合计</w:t>
            </w:r>
          </w:p>
        </w:tc>
        <w:tc>
          <w:tcPr>
            <w:tcW w:w="1419" w:type="dxa"/>
            <w:gridSpan w:val="2"/>
            <w:vMerge w:val="restart"/>
            <w:tcBorders>
              <w:top w:val="single" w:color="000000" w:sz="4" w:space="0"/>
              <w:left w:val="single" w:color="auto" w:sz="4" w:space="0"/>
              <w:bottom w:val="single" w:color="000000" w:sz="4" w:space="0"/>
              <w:right w:val="single" w:color="auto"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基本支出</w:t>
            </w:r>
          </w:p>
        </w:tc>
        <w:tc>
          <w:tcPr>
            <w:tcW w:w="2811" w:type="dxa"/>
            <w:gridSpan w:val="8"/>
            <w:tcBorders>
              <w:top w:val="single" w:color="000000" w:sz="4" w:space="0"/>
              <w:left w:val="single" w:color="auto" w:sz="4" w:space="0"/>
              <w:bottom w:val="single" w:color="auto" w:sz="4" w:space="0"/>
              <w:right w:val="single" w:color="auto"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其中：</w:t>
            </w:r>
          </w:p>
        </w:tc>
        <w:tc>
          <w:tcPr>
            <w:tcW w:w="1413" w:type="dxa"/>
            <w:gridSpan w:val="3"/>
            <w:vMerge w:val="restart"/>
            <w:tcBorders>
              <w:top w:val="single" w:color="000000" w:sz="4" w:space="0"/>
              <w:left w:val="single" w:color="auto" w:sz="4" w:space="0"/>
              <w:bottom w:val="single" w:color="000000" w:sz="4" w:space="0"/>
              <w:right w:val="single" w:color="auto"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项目支出</w:t>
            </w:r>
          </w:p>
        </w:tc>
        <w:tc>
          <w:tcPr>
            <w:tcW w:w="2051" w:type="dxa"/>
            <w:gridSpan w:val="4"/>
            <w:tcBorders>
              <w:top w:val="single" w:color="000000" w:sz="4" w:space="0"/>
              <w:left w:val="single" w:color="auto" w:sz="4" w:space="0"/>
              <w:bottom w:val="single" w:color="auto" w:sz="4" w:space="0"/>
              <w:right w:val="single" w:color="000000"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700" w:type="dxa"/>
            <w:gridSpan w:val="2"/>
            <w:vMerge w:val="continue"/>
            <w:tcBorders>
              <w:top w:val="single" w:color="000000" w:sz="4" w:space="0"/>
              <w:left w:val="single" w:color="000000" w:sz="4" w:space="0"/>
              <w:bottom w:val="single" w:color="000000" w:sz="4" w:space="0"/>
              <w:right w:val="single" w:color="auto"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p>
        </w:tc>
        <w:tc>
          <w:tcPr>
            <w:tcW w:w="1419" w:type="dxa"/>
            <w:gridSpan w:val="2"/>
            <w:vMerge w:val="continue"/>
            <w:tcBorders>
              <w:top w:val="single" w:color="000000" w:sz="4" w:space="0"/>
              <w:left w:val="single" w:color="auto" w:sz="4" w:space="0"/>
              <w:bottom w:val="single" w:color="000000" w:sz="4" w:space="0"/>
              <w:right w:val="single" w:color="auto"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p>
        </w:tc>
        <w:tc>
          <w:tcPr>
            <w:tcW w:w="1401" w:type="dxa"/>
            <w:gridSpan w:val="4"/>
            <w:tcBorders>
              <w:top w:val="single" w:color="auto" w:sz="4" w:space="0"/>
              <w:left w:val="single" w:color="000000"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人员支出</w:t>
            </w:r>
          </w:p>
        </w:tc>
        <w:tc>
          <w:tcPr>
            <w:tcW w:w="1410" w:type="dxa"/>
            <w:gridSpan w:val="4"/>
            <w:tcBorders>
              <w:top w:val="single" w:color="auto" w:sz="4" w:space="0"/>
              <w:left w:val="single" w:color="000000"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公用支出</w:t>
            </w:r>
          </w:p>
        </w:tc>
        <w:tc>
          <w:tcPr>
            <w:tcW w:w="1413" w:type="dxa"/>
            <w:gridSpan w:val="3"/>
            <w:vMerge w:val="continue"/>
            <w:tcBorders>
              <w:top w:val="single" w:color="000000" w:sz="4" w:space="0"/>
              <w:left w:val="single" w:color="auto" w:sz="4" w:space="0"/>
              <w:bottom w:val="single" w:color="000000" w:sz="4" w:space="0"/>
              <w:right w:val="single" w:color="auto"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p>
        </w:tc>
        <w:tc>
          <w:tcPr>
            <w:tcW w:w="1061" w:type="dxa"/>
            <w:gridSpan w:val="3"/>
            <w:tcBorders>
              <w:top w:val="single" w:color="auto" w:sz="4" w:space="0"/>
              <w:left w:val="single" w:color="auto" w:sz="4" w:space="0"/>
              <w:bottom w:val="single" w:color="000000" w:sz="4" w:space="0"/>
              <w:right w:val="single" w:color="auto" w:sz="4" w:space="0"/>
              <w:tl2br w:val="nil"/>
              <w:tr2bl w:val="nil"/>
            </w:tcBorders>
            <w:noWrap w:val="0"/>
            <w:vAlign w:val="center"/>
          </w:tcPr>
          <w:p>
            <w:pPr>
              <w:autoSpaceDN w:val="0"/>
              <w:spacing w:line="320" w:lineRule="exac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当年结余</w:t>
            </w:r>
          </w:p>
        </w:tc>
        <w:tc>
          <w:tcPr>
            <w:tcW w:w="990" w:type="dxa"/>
            <w:tcBorders>
              <w:top w:val="single" w:color="auto" w:sz="4" w:space="0"/>
              <w:left w:val="single" w:color="auto"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累计结余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24" w:hRule="atLeast"/>
          <w:jc w:val="center"/>
        </w:trPr>
        <w:tc>
          <w:tcPr>
            <w:tcW w:w="1700" w:type="dxa"/>
            <w:gridSpan w:val="2"/>
            <w:tcBorders>
              <w:top w:val="single" w:color="000000" w:sz="4" w:space="0"/>
              <w:left w:val="single" w:color="000000" w:sz="4" w:space="0"/>
              <w:bottom w:val="single" w:color="000000" w:sz="4" w:space="0"/>
              <w:right w:val="single" w:color="auto" w:sz="4" w:space="0"/>
              <w:tl2br w:val="nil"/>
              <w:tr2bl w:val="nil"/>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951.85</w:t>
            </w:r>
          </w:p>
        </w:tc>
        <w:tc>
          <w:tcPr>
            <w:tcW w:w="1410" w:type="dxa"/>
            <w:tcBorders>
              <w:top w:val="single" w:color="000000" w:sz="4" w:space="0"/>
              <w:left w:val="single" w:color="auto"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951.85</w:t>
            </w:r>
          </w:p>
        </w:tc>
        <w:tc>
          <w:tcPr>
            <w:tcW w:w="1410"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345.17</w:t>
            </w:r>
          </w:p>
        </w:tc>
        <w:tc>
          <w:tcPr>
            <w:tcW w:w="1410"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606.68</w:t>
            </w:r>
          </w:p>
        </w:tc>
        <w:tc>
          <w:tcPr>
            <w:tcW w:w="1413" w:type="dxa"/>
            <w:gridSpan w:val="3"/>
            <w:tcBorders>
              <w:top w:val="single" w:color="000000" w:sz="4" w:space="0"/>
              <w:left w:val="single" w:color="000000" w:sz="4" w:space="0"/>
              <w:bottom w:val="single" w:color="000000" w:sz="4" w:space="0"/>
              <w:right w:val="single" w:color="auto"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0</w:t>
            </w:r>
          </w:p>
        </w:tc>
        <w:tc>
          <w:tcPr>
            <w:tcW w:w="1061" w:type="dxa"/>
            <w:gridSpan w:val="3"/>
            <w:tcBorders>
              <w:top w:val="single" w:color="000000" w:sz="4" w:space="0"/>
              <w:left w:val="single" w:color="auto" w:sz="4" w:space="0"/>
              <w:bottom w:val="single" w:color="000000" w:sz="4" w:space="0"/>
              <w:right w:val="single" w:color="auto" w:sz="4" w:space="0"/>
              <w:tl2br w:val="nil"/>
              <w:tr2bl w:val="nil"/>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-527.85</w:t>
            </w:r>
          </w:p>
        </w:tc>
        <w:tc>
          <w:tcPr>
            <w:tcW w:w="990" w:type="dxa"/>
            <w:tcBorders>
              <w:top w:val="single" w:color="000000" w:sz="4" w:space="0"/>
              <w:left w:val="single" w:color="auto"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34" w:hRule="atLeast"/>
          <w:jc w:val="center"/>
        </w:trPr>
        <w:tc>
          <w:tcPr>
            <w:tcW w:w="1700" w:type="dxa"/>
            <w:gridSpan w:val="2"/>
            <w:vMerge w:val="restart"/>
            <w:tcBorders>
              <w:top w:val="single" w:color="000000" w:sz="4" w:space="0"/>
              <w:left w:val="single" w:color="000000" w:sz="4" w:space="0"/>
              <w:bottom w:val="single" w:color="000000" w:sz="4" w:space="0"/>
              <w:right w:val="single" w:color="auto"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三公经费合计</w:t>
            </w:r>
          </w:p>
        </w:tc>
        <w:tc>
          <w:tcPr>
            <w:tcW w:w="7694" w:type="dxa"/>
            <w:gridSpan w:val="17"/>
            <w:tcBorders>
              <w:top w:val="single" w:color="000000" w:sz="4" w:space="0"/>
              <w:left w:val="single" w:color="auto"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2"/>
            <w:vMerge w:val="continue"/>
            <w:tcBorders>
              <w:top w:val="single" w:color="000000" w:sz="4" w:space="0"/>
              <w:left w:val="single" w:color="000000" w:sz="4" w:space="0"/>
              <w:bottom w:val="single" w:color="000000" w:sz="4" w:space="0"/>
              <w:right w:val="single" w:color="auto"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p>
        </w:tc>
        <w:tc>
          <w:tcPr>
            <w:tcW w:w="1923" w:type="dxa"/>
            <w:gridSpan w:val="4"/>
            <w:tcBorders>
              <w:top w:val="single" w:color="000000" w:sz="4" w:space="0"/>
              <w:left w:val="single" w:color="auto"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公务接待费</w:t>
            </w:r>
          </w:p>
        </w:tc>
        <w:tc>
          <w:tcPr>
            <w:tcW w:w="1923"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公务用车运维费</w:t>
            </w:r>
          </w:p>
        </w:tc>
        <w:tc>
          <w:tcPr>
            <w:tcW w:w="1923"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公务用车购置费</w:t>
            </w:r>
          </w:p>
        </w:tc>
        <w:tc>
          <w:tcPr>
            <w:tcW w:w="1925"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因公出国费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24" w:hRule="atLeast"/>
          <w:jc w:val="center"/>
        </w:trPr>
        <w:tc>
          <w:tcPr>
            <w:tcW w:w="1700" w:type="dxa"/>
            <w:gridSpan w:val="2"/>
            <w:tcBorders>
              <w:top w:val="single" w:color="000000" w:sz="4" w:space="0"/>
              <w:left w:val="single" w:color="000000" w:sz="4" w:space="0"/>
              <w:bottom w:val="single" w:color="000000" w:sz="4" w:space="0"/>
              <w:right w:val="single" w:color="auto" w:sz="4" w:space="0"/>
              <w:tl2br w:val="nil"/>
              <w:tr2bl w:val="nil"/>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5.41</w:t>
            </w:r>
          </w:p>
        </w:tc>
        <w:tc>
          <w:tcPr>
            <w:tcW w:w="1923" w:type="dxa"/>
            <w:gridSpan w:val="4"/>
            <w:tcBorders>
              <w:top w:val="single" w:color="000000" w:sz="4" w:space="0"/>
              <w:left w:val="single" w:color="auto"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0.03</w:t>
            </w:r>
          </w:p>
        </w:tc>
        <w:tc>
          <w:tcPr>
            <w:tcW w:w="1923"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5.41</w:t>
            </w:r>
          </w:p>
        </w:tc>
        <w:tc>
          <w:tcPr>
            <w:tcW w:w="1923"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0</w:t>
            </w:r>
          </w:p>
        </w:tc>
        <w:tc>
          <w:tcPr>
            <w:tcW w:w="1925"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34" w:hRule="atLeast"/>
          <w:jc w:val="center"/>
        </w:trPr>
        <w:tc>
          <w:tcPr>
            <w:tcW w:w="1700" w:type="dxa"/>
            <w:gridSpan w:val="2"/>
            <w:vMerge w:val="restart"/>
            <w:tcBorders>
              <w:top w:val="single" w:color="000000" w:sz="4" w:space="0"/>
              <w:left w:val="single" w:color="000000" w:sz="4" w:space="0"/>
              <w:bottom w:val="single" w:color="000000" w:sz="4" w:space="0"/>
              <w:right w:val="single" w:color="auto"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固定资产合计</w:t>
            </w:r>
          </w:p>
        </w:tc>
        <w:tc>
          <w:tcPr>
            <w:tcW w:w="5331" w:type="dxa"/>
            <w:gridSpan w:val="12"/>
            <w:tcBorders>
              <w:top w:val="single" w:color="000000" w:sz="4" w:space="0"/>
              <w:left w:val="single" w:color="auto" w:sz="4" w:space="0"/>
              <w:bottom w:val="single" w:color="000000" w:sz="4" w:space="0"/>
              <w:right w:val="single" w:color="auto"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其中：</w:t>
            </w:r>
          </w:p>
        </w:tc>
        <w:tc>
          <w:tcPr>
            <w:tcW w:w="2363" w:type="dxa"/>
            <w:gridSpan w:val="5"/>
            <w:vMerge w:val="restart"/>
            <w:tcBorders>
              <w:top w:val="single" w:color="000000" w:sz="4" w:space="0"/>
              <w:left w:val="single" w:color="auto"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2"/>
            <w:vMerge w:val="continue"/>
            <w:tcBorders>
              <w:top w:val="single" w:color="000000" w:sz="4" w:space="0"/>
              <w:left w:val="single" w:color="000000" w:sz="4" w:space="0"/>
              <w:bottom w:val="single" w:color="000000" w:sz="4" w:space="0"/>
              <w:right w:val="single" w:color="auto"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p>
        </w:tc>
        <w:tc>
          <w:tcPr>
            <w:tcW w:w="2665" w:type="dxa"/>
            <w:gridSpan w:val="5"/>
            <w:tcBorders>
              <w:top w:val="single" w:color="000000" w:sz="4" w:space="0"/>
              <w:left w:val="single" w:color="auto"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在用固定资产</w:t>
            </w:r>
          </w:p>
        </w:tc>
        <w:tc>
          <w:tcPr>
            <w:tcW w:w="2666" w:type="dxa"/>
            <w:gridSpan w:val="7"/>
            <w:tcBorders>
              <w:top w:val="single" w:color="000000" w:sz="4" w:space="0"/>
              <w:left w:val="single" w:color="000000" w:sz="4" w:space="0"/>
              <w:bottom w:val="single" w:color="000000" w:sz="4" w:space="0"/>
              <w:right w:val="single" w:color="auto"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出租固定资产</w:t>
            </w:r>
          </w:p>
        </w:tc>
        <w:tc>
          <w:tcPr>
            <w:tcW w:w="2363" w:type="dxa"/>
            <w:gridSpan w:val="5"/>
            <w:vMerge w:val="continue"/>
            <w:tcBorders>
              <w:top w:val="single" w:color="000000" w:sz="4" w:space="0"/>
              <w:left w:val="single" w:color="auto"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49" w:hRule="atLeast"/>
          <w:jc w:val="center"/>
        </w:trPr>
        <w:tc>
          <w:tcPr>
            <w:tcW w:w="1700" w:type="dxa"/>
            <w:gridSpan w:val="2"/>
            <w:tcBorders>
              <w:top w:val="single" w:color="000000" w:sz="4" w:space="0"/>
              <w:left w:val="single" w:color="000000" w:sz="4" w:space="0"/>
              <w:bottom w:val="single" w:color="000000" w:sz="4" w:space="0"/>
              <w:right w:val="single" w:color="auto" w:sz="4" w:space="0"/>
              <w:tl2br w:val="nil"/>
              <w:tr2bl w:val="nil"/>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223.59</w:t>
            </w:r>
          </w:p>
        </w:tc>
        <w:tc>
          <w:tcPr>
            <w:tcW w:w="2665" w:type="dxa"/>
            <w:gridSpan w:val="5"/>
            <w:tcBorders>
              <w:top w:val="single" w:color="000000" w:sz="4" w:space="0"/>
              <w:left w:val="single" w:color="auto"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223.59</w:t>
            </w:r>
          </w:p>
        </w:tc>
        <w:tc>
          <w:tcPr>
            <w:tcW w:w="2666" w:type="dxa"/>
            <w:gridSpan w:val="7"/>
            <w:tcBorders>
              <w:top w:val="single" w:color="000000" w:sz="4" w:space="0"/>
              <w:left w:val="single" w:color="000000" w:sz="4" w:space="0"/>
              <w:bottom w:val="single" w:color="000000" w:sz="4" w:space="0"/>
              <w:right w:val="single" w:color="auto"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0</w:t>
            </w:r>
          </w:p>
        </w:tc>
        <w:tc>
          <w:tcPr>
            <w:tcW w:w="2363" w:type="dxa"/>
            <w:gridSpan w:val="5"/>
            <w:tcBorders>
              <w:top w:val="single" w:color="000000" w:sz="4" w:space="0"/>
              <w:left w:val="single" w:color="auto" w:sz="4" w:space="0"/>
              <w:bottom w:val="single" w:color="000000" w:sz="4" w:space="0"/>
              <w:right w:val="single" w:color="000000" w:sz="4" w:space="0"/>
              <w:tl2br w:val="nil"/>
              <w:tr2bl w:val="nil"/>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0</w:t>
            </w:r>
          </w:p>
        </w:tc>
      </w:tr>
    </w:tbl>
    <w:p>
      <w:pPr>
        <w:ind w:firstLine="640" w:firstLineChars="200"/>
        <w:jc w:val="left"/>
        <w:rPr>
          <w:rFonts w:hint="eastAsia" w:cs="黑体" w:asciiTheme="minorEastAsia" w:hAnsiTheme="minorEastAsia"/>
          <w:b/>
          <w:color w:val="000000"/>
          <w:kern w:val="0"/>
          <w:sz w:val="32"/>
          <w:szCs w:val="32"/>
        </w:rPr>
      </w:pPr>
    </w:p>
    <w:p>
      <w:pPr>
        <w:ind w:firstLine="640" w:firstLineChars="200"/>
        <w:jc w:val="left"/>
        <w:rPr>
          <w:rFonts w:cs="黑体" w:asciiTheme="minorEastAsia" w:hAnsiTheme="minorEastAsia"/>
          <w:color w:val="000000"/>
          <w:kern w:val="0"/>
          <w:sz w:val="32"/>
          <w:szCs w:val="32"/>
        </w:rPr>
      </w:pPr>
    </w:p>
    <w:p>
      <w:pPr>
        <w:ind w:firstLine="640" w:firstLineChars="200"/>
        <w:jc w:val="left"/>
        <w:rPr>
          <w:rFonts w:cs="黑体" w:asciiTheme="minorEastAsia" w:hAnsiTheme="minorEastAsia"/>
          <w:color w:val="000000"/>
          <w:kern w:val="0"/>
          <w:sz w:val="32"/>
          <w:szCs w:val="32"/>
        </w:rPr>
      </w:pPr>
    </w:p>
    <w:p>
      <w:pPr>
        <w:ind w:firstLine="640" w:firstLineChars="200"/>
        <w:jc w:val="left"/>
        <w:rPr>
          <w:rFonts w:cs="黑体" w:asciiTheme="minorEastAsia" w:hAnsiTheme="minorEastAsia"/>
          <w:color w:val="000000"/>
          <w:kern w:val="0"/>
          <w:sz w:val="32"/>
          <w:szCs w:val="32"/>
        </w:rPr>
      </w:pPr>
    </w:p>
    <w:p>
      <w:pPr>
        <w:ind w:firstLine="640" w:firstLineChars="200"/>
        <w:jc w:val="left"/>
        <w:rPr>
          <w:rFonts w:cs="黑体" w:asciiTheme="minorEastAsia" w:hAnsiTheme="minorEastAsia"/>
          <w:color w:val="000000"/>
          <w:kern w:val="0"/>
          <w:sz w:val="32"/>
          <w:szCs w:val="32"/>
        </w:rPr>
      </w:pPr>
    </w:p>
    <w:p>
      <w:pPr>
        <w:ind w:firstLine="640" w:firstLineChars="200"/>
        <w:jc w:val="left"/>
        <w:rPr>
          <w:rFonts w:cs="黑体" w:asciiTheme="minorEastAsia" w:hAnsiTheme="minorEastAsia"/>
          <w:color w:val="000000"/>
          <w:kern w:val="0"/>
          <w:sz w:val="32"/>
          <w:szCs w:val="32"/>
        </w:rPr>
      </w:pPr>
    </w:p>
    <w:p>
      <w:pPr>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等线">
    <w:altName w:val="微软雅黑"/>
    <w:panose1 w:val="02010600030101010101"/>
    <w:charset w:val="86"/>
    <w:family w:val="auto"/>
    <w:pitch w:val="default"/>
    <w:sig w:usb0="00000000" w:usb1="00000000"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6A298D"/>
    <w:multiLevelType w:val="singleLevel"/>
    <w:tmpl w:val="B16A298D"/>
    <w:lvl w:ilvl="0" w:tentative="0">
      <w:start w:val="9"/>
      <w:numFmt w:val="chineseCounting"/>
      <w:suff w:val="nothing"/>
      <w:lvlText w:val="%1、"/>
      <w:lvlJc w:val="left"/>
      <w:rPr>
        <w:rFonts w:hint="eastAsia"/>
      </w:rPr>
    </w:lvl>
  </w:abstractNum>
  <w:abstractNum w:abstractNumId="1">
    <w:nsid w:val="FC5F40D2"/>
    <w:multiLevelType w:val="singleLevel"/>
    <w:tmpl w:val="FC5F40D2"/>
    <w:lvl w:ilvl="0" w:tentative="0">
      <w:start w:val="2"/>
      <w:numFmt w:val="chineseCounting"/>
      <w:suff w:val="nothing"/>
      <w:lvlText w:val="（%1）"/>
      <w:lvlJc w:val="left"/>
      <w:rPr>
        <w:rFonts w:hint="eastAsia"/>
      </w:rPr>
    </w:lvl>
  </w:abstractNum>
  <w:abstractNum w:abstractNumId="2">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77321CF"/>
    <w:multiLevelType w:val="singleLevel"/>
    <w:tmpl w:val="577321CF"/>
    <w:lvl w:ilvl="0" w:tentative="0">
      <w:start w:val="12"/>
      <w:numFmt w:val="chineseCounting"/>
      <w:suff w:val="nothing"/>
      <w:lvlText w:val="%1、"/>
      <w:lvlJc w:val="left"/>
      <w:rPr>
        <w:rFonts w:hint="eastAsia"/>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5YjBiMWNjOWQ0NTdjNjRlMDFhZjdkMmRhYzcwMzAifQ=="/>
  </w:docVars>
  <w:rsids>
    <w:rsidRoot w:val="00172A27"/>
    <w:rsid w:val="0002229B"/>
    <w:rsid w:val="000273BD"/>
    <w:rsid w:val="000415B7"/>
    <w:rsid w:val="00041E3F"/>
    <w:rsid w:val="00055DAA"/>
    <w:rsid w:val="00061F7B"/>
    <w:rsid w:val="000658A3"/>
    <w:rsid w:val="00074155"/>
    <w:rsid w:val="000873EF"/>
    <w:rsid w:val="000A3F69"/>
    <w:rsid w:val="00103957"/>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197"/>
    <w:rsid w:val="003C47E6"/>
    <w:rsid w:val="003C4FC2"/>
    <w:rsid w:val="003E233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75489"/>
    <w:rsid w:val="00DD06FF"/>
    <w:rsid w:val="00DD5FE9"/>
    <w:rsid w:val="00E00C7A"/>
    <w:rsid w:val="00E209CF"/>
    <w:rsid w:val="00E37D6C"/>
    <w:rsid w:val="00E55B68"/>
    <w:rsid w:val="00E67BE6"/>
    <w:rsid w:val="00E8683C"/>
    <w:rsid w:val="00EA2B72"/>
    <w:rsid w:val="00F74360"/>
    <w:rsid w:val="00FB462F"/>
    <w:rsid w:val="00FE16FA"/>
    <w:rsid w:val="00FE328A"/>
    <w:rsid w:val="00FE6269"/>
    <w:rsid w:val="00FF5CD6"/>
    <w:rsid w:val="01BD0025"/>
    <w:rsid w:val="05633A58"/>
    <w:rsid w:val="06B411F0"/>
    <w:rsid w:val="07793E25"/>
    <w:rsid w:val="087403E0"/>
    <w:rsid w:val="0BE56081"/>
    <w:rsid w:val="0E2968C6"/>
    <w:rsid w:val="13BE003E"/>
    <w:rsid w:val="1761062A"/>
    <w:rsid w:val="17A87124"/>
    <w:rsid w:val="24303A4E"/>
    <w:rsid w:val="25BD210D"/>
    <w:rsid w:val="27B248D9"/>
    <w:rsid w:val="27DB542D"/>
    <w:rsid w:val="304B038E"/>
    <w:rsid w:val="34862F60"/>
    <w:rsid w:val="34FA5882"/>
    <w:rsid w:val="366364DD"/>
    <w:rsid w:val="370B6762"/>
    <w:rsid w:val="3A8D0912"/>
    <w:rsid w:val="3B0D27E4"/>
    <w:rsid w:val="3DDC56A2"/>
    <w:rsid w:val="3E0A5C43"/>
    <w:rsid w:val="41BB45C3"/>
    <w:rsid w:val="45F9639D"/>
    <w:rsid w:val="4666249E"/>
    <w:rsid w:val="468F1ED0"/>
    <w:rsid w:val="48292C30"/>
    <w:rsid w:val="48ED43E7"/>
    <w:rsid w:val="572F5A72"/>
    <w:rsid w:val="578C18D8"/>
    <w:rsid w:val="5B571579"/>
    <w:rsid w:val="5E802DCC"/>
    <w:rsid w:val="60A907EA"/>
    <w:rsid w:val="6145544E"/>
    <w:rsid w:val="61922E71"/>
    <w:rsid w:val="67A46120"/>
    <w:rsid w:val="6D1076A0"/>
    <w:rsid w:val="6E5515D4"/>
    <w:rsid w:val="6FB25FF1"/>
    <w:rsid w:val="720B1306"/>
    <w:rsid w:val="77AA2419"/>
    <w:rsid w:val="791A5016"/>
    <w:rsid w:val="7A503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0"/>
    <w:pPr>
      <w:ind w:firstLine="420" w:firstLineChars="200"/>
    </w:pPr>
    <w:rPr>
      <w:rFonts w:hint="default"/>
      <w:sz w:val="21"/>
      <w:szCs w:val="24"/>
    </w:rPr>
  </w:style>
  <w:style w:type="paragraph" w:styleId="3">
    <w:name w:val="Balloon Text"/>
    <w:basedOn w:val="1"/>
    <w:link w:val="12"/>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qFormat/>
    <w:uiPriority w:val="99"/>
    <w:rPr>
      <w:sz w:val="18"/>
      <w:szCs w:val="18"/>
    </w:rPr>
  </w:style>
  <w:style w:type="paragraph" w:customStyle="1" w:styleId="10">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1">
    <w:name w:val="List Paragraph"/>
    <w:basedOn w:val="1"/>
    <w:qFormat/>
    <w:uiPriority w:val="34"/>
    <w:pPr>
      <w:ind w:firstLine="420" w:firstLineChars="200"/>
    </w:pPr>
  </w:style>
  <w:style w:type="character" w:customStyle="1" w:styleId="12">
    <w:name w:val="批注框文本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80904-B2FB-4FE3-894F-42F14B17BC5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23</Pages>
  <Words>8836</Words>
  <Characters>9272</Characters>
  <Lines>69</Lines>
  <Paragraphs>19</Paragraphs>
  <TotalTime>3</TotalTime>
  <ScaleCrop>false</ScaleCrop>
  <LinksUpToDate>false</LinksUpToDate>
  <CharactersWithSpaces>9290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湖南省岳阳市房地产测绘中心</cp:lastModifiedBy>
  <cp:lastPrinted>2022-07-27T12:55:00Z</cp:lastPrinted>
  <dcterms:modified xsi:type="dcterms:W3CDTF">2023-09-22T02:23:17Z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D2567680720B47429D70AB8CB2D81CEA</vt:lpwstr>
  </property>
</Properties>
</file>