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附件2-2</w:t>
      </w:r>
    </w:p>
    <w:p>
      <w:pPr>
        <w:spacing w:line="348" w:lineRule="auto"/>
        <w:rPr>
          <w:rFonts w:eastAsia="黑体" w:cs="黑体"/>
          <w:bCs/>
          <w:sz w:val="32"/>
          <w:szCs w:val="32"/>
        </w:rPr>
      </w:pPr>
    </w:p>
    <w:p>
      <w:pPr>
        <w:spacing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</w:t>
      </w:r>
      <w:r>
        <w:rPr>
          <w:rFonts w:hint="eastAsia" w:eastAsia="仿宋_GB2312"/>
          <w:sz w:val="32"/>
          <w:szCs w:val="32"/>
        </w:rPr>
        <w:sym w:font="Wingdings 2" w:char="0052"/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  </w:t>
      </w:r>
      <w:r>
        <w:rPr>
          <w:rFonts w:hint="eastAsia" w:eastAsia="仿宋_GB2312"/>
          <w:sz w:val="32"/>
          <w:u w:val="single"/>
          <w:lang w:eastAsia="zh-CN"/>
        </w:rPr>
        <w:t>质量基础专项</w:t>
      </w:r>
      <w:r>
        <w:rPr>
          <w:rFonts w:hint="eastAsia" w:eastAsia="仿宋_GB2312"/>
          <w:sz w:val="32"/>
          <w:u w:val="single"/>
        </w:rPr>
        <w:t xml:space="preserve">    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eastAsia="zh-CN"/>
        </w:rPr>
        <w:t>岳阳市市场监督管理局</w:t>
      </w:r>
      <w:r>
        <w:rPr>
          <w:rFonts w:hint="eastAsia" w:eastAsia="仿宋_GB2312"/>
          <w:sz w:val="32"/>
          <w:u w:val="single"/>
        </w:rPr>
        <w:t xml:space="preserve">         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eastAsia="zh-CN"/>
        </w:rPr>
        <w:t>岳阳市市场监督管理局</w:t>
      </w:r>
      <w:r>
        <w:rPr>
          <w:rFonts w:hint="eastAsia" w:eastAsia="仿宋_GB2312"/>
          <w:sz w:val="32"/>
          <w:u w:val="single"/>
        </w:rPr>
        <w:t xml:space="preserve">     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报告日期： </w:t>
      </w:r>
      <w:r>
        <w:rPr>
          <w:rFonts w:hint="eastAsia" w:eastAsia="仿宋_GB2312"/>
          <w:sz w:val="32"/>
          <w:lang w:val="en-US" w:eastAsia="zh-CN"/>
        </w:rPr>
        <w:t>2022</w:t>
      </w:r>
      <w:r>
        <w:rPr>
          <w:rFonts w:hint="eastAsia" w:eastAsia="仿宋_GB2312"/>
          <w:sz w:val="32"/>
        </w:rPr>
        <w:t xml:space="preserve">年 </w:t>
      </w:r>
      <w:r>
        <w:rPr>
          <w:rFonts w:hint="eastAsia" w:eastAsia="仿宋_GB2312"/>
          <w:sz w:val="32"/>
          <w:lang w:val="en-US" w:eastAsia="zh-CN"/>
        </w:rPr>
        <w:t>6</w:t>
      </w:r>
      <w:r>
        <w:rPr>
          <w:rFonts w:hint="eastAsia" w:eastAsia="仿宋_GB2312"/>
          <w:sz w:val="32"/>
        </w:rPr>
        <w:t xml:space="preserve">月 </w:t>
      </w:r>
      <w:r>
        <w:rPr>
          <w:rFonts w:hint="eastAsia" w:eastAsia="仿宋_GB2312"/>
          <w:sz w:val="32"/>
          <w:lang w:val="en-US" w:eastAsia="zh-CN"/>
        </w:rPr>
        <w:t>8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89"/>
        <w:gridCol w:w="602"/>
        <w:gridCol w:w="118"/>
        <w:gridCol w:w="1232"/>
        <w:gridCol w:w="568"/>
        <w:gridCol w:w="414"/>
        <w:gridCol w:w="306"/>
        <w:gridCol w:w="707"/>
        <w:gridCol w:w="640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许平亚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0730-8224907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岳阳市岳阳楼区青年中路</w:t>
            </w:r>
            <w:r>
              <w:rPr>
                <w:rFonts w:hint="eastAsia" w:eastAsia="仿宋_GB2312"/>
                <w:sz w:val="24"/>
                <w:lang w:val="en-US" w:eastAsia="zh-CN"/>
              </w:rPr>
              <w:t>72号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1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</w:t>
            </w: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 xml:space="preserve"> 月起至 </w:t>
            </w:r>
            <w:r>
              <w:rPr>
                <w:rFonts w:hint="eastAsia" w:eastAsia="仿宋_GB2312"/>
                <w:sz w:val="24"/>
                <w:lang w:val="en-US" w:eastAsia="zh-CN"/>
              </w:rPr>
              <w:t>2021</w:t>
            </w: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  <w:r>
              <w:rPr>
                <w:rFonts w:hint="eastAsia" w:eastAsia="仿宋_GB2312"/>
                <w:sz w:val="24"/>
              </w:rPr>
              <w:t>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288</w:t>
            </w: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288</w:t>
            </w: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288</w:t>
            </w: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288</w:t>
            </w: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胡絮报质量科印制考核资料开支2013810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5,860.00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32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拨检测中心化粪池产品专项检验费2013810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44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周飚报市长质量奖宣传费开支（岳阳日报）61#2013810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7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周飚等报差旅费开支2013802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26,523.00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102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拨检测中心计量专项经费2013810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1,620,000.00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95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周志勇报交2021年度省质量协会会费开支2013810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25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拨支队质量执法办案经费2013899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80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彭玲等报差旅费开支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3018.50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记账 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彭玲等报差旅费开支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7552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记账 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彭玲等报差旅费开支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2660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记账 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彭玲等报差旅费开支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2340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记账40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李青松报差旅费开支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4870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记账184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周刚报差旅费开支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3488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记账71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周刚报差旅费开支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1708.5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记账27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钟郁报标准化培训开支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28,427.80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56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拨汩罗市局质量月活动经费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49000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50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周赕报差旅费开支2013804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26,949.50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25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计量科付检测中心50家企业的抽样和检测工作费用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368,400.00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73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计量科付检测中心计量服务中小企业费用开支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74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胡絮报质量科印刷资料开支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14,393.60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78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胡絮报质量监督科2021年度其他工业产品抽检费开支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98,994.00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200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胡絮报质量监督科2021年度汽柴油检测费开支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179,700.00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200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调帐2月44#凭证下拨检测中心化烘池产品专项检验费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 219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2880000</w:t>
            </w:r>
          </w:p>
        </w:tc>
        <w:tc>
          <w:tcPr>
            <w:tcW w:w="29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07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333333"/>
                <w:sz w:val="28"/>
                <w:szCs w:val="28"/>
                <w:shd w:val="clear" w:color="auto" w:fill="FFFFFF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shd w:val="clear" w:color="auto" w:fill="FFFFFF"/>
                <w:lang w:eastAsia="zh-CN"/>
              </w:rPr>
              <w:t>体目标：深入推进质量强市战略，积极探索“一站试”试点服务，着力缺陷消费品召回，全力服务高质量发展，不发生重大的服务质量事件；提升计量技术能力水平，实施“计量服务中小企业行”试点活动；紧盯标准化工作重点，坚持标准高质量发展；完成岳阳自贸片区涉及认证认可的改革任务。</w:t>
            </w:r>
          </w:p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。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印发了《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val="en-US" w:eastAsia="zh-CN"/>
              </w:rPr>
              <w:t>2021年岳阳质量强市工作要点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》、《岳阳市十四五质量强市发展规划》引导相关部门开展质量提升行动，在市局门户网站开通了“缺陷产品召回”信息专栏，公布手机缺陷信息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val="en-US" w:eastAsia="zh-CN"/>
              </w:rPr>
              <w:t>50多条。2021年全市新增注册二级计量师12名。延续注册一级计量师11名，通过全国专业基数资格考试的一级注册计量师5名，二级计量师8名，围绕高端装备制造、生物医药等支柱产业选取220件中小企业作为服务对象，实施一企一策对口服务。填补了市级标准化奖励政策的空白完成</w:t>
            </w:r>
            <w:r>
              <w:rPr>
                <w:rFonts w:hint="eastAsia" w:eastAsia="仿宋_GB2312"/>
                <w:b w:val="0"/>
                <w:bCs/>
                <w:i w:val="0"/>
                <w:iCs w:val="0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shd w:val="clear" w:color="auto" w:fill="FFFFFF"/>
                <w:lang w:eastAsia="zh-CN"/>
              </w:rPr>
              <w:t>完成岳阳自贸片区涉及认证认可的改革任务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23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强制检定工作计量器具的备案及检定数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30000台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完成45498台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集贸市场衡器数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2000台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完成3058台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计量标准建标数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5个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开展市场监管抽查批次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660批次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完成660批次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抽查产品类别完成数量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20类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完成20类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完成生产许可证后监督抽查企业数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36个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完成36个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531"/>
              </w:tabs>
              <w:spacing w:line="360" w:lineRule="exact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ab/>
            </w:r>
            <w:r>
              <w:rPr>
                <w:rFonts w:hint="eastAsia" w:eastAsia="仿宋_GB2312"/>
                <w:sz w:val="24"/>
                <w:lang w:eastAsia="zh-CN"/>
              </w:rPr>
              <w:t>开展标准化试点示范项目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sz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6个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完成9个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检验检测机构双随机监督抽查比例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4"/>
              </w:rPr>
              <w:t>≥</w:t>
            </w:r>
            <w:r>
              <w:rPr>
                <w:rFonts w:hint="eastAsia" w:ascii="Arial" w:hAnsi="Arial" w:eastAsia="仿宋_GB2312" w:cs="Arial"/>
                <w:sz w:val="24"/>
                <w:lang w:val="en-US" w:eastAsia="zh-CN"/>
              </w:rPr>
              <w:t>10%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完成了10%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特大安全事故发生率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强制检定率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=100%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计量标准通过率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=100%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计划完成时间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12月10日前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与时间匹配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贸易结算公平性持续向好</w:t>
            </w: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赵奇志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副局长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钟辉雄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科长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李岳军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科长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刘文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科长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周志勇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科长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杨震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科长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徐瑶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科长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 xml:space="preserve">填报人（签名）： </w:t>
      </w:r>
      <w:r>
        <w:rPr>
          <w:rFonts w:hint="eastAsia" w:eastAsia="仿宋_GB2312" w:cs="仿宋_GB2312"/>
          <w:bCs/>
          <w:sz w:val="28"/>
          <w:szCs w:val="28"/>
          <w:lang w:eastAsia="zh-CN"/>
        </w:rPr>
        <w:t>徐瑶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0730-8224907</w:t>
      </w:r>
    </w:p>
    <w:tbl>
      <w:tblPr>
        <w:tblStyle w:val="7"/>
        <w:tblW w:w="9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26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spacing w:line="560" w:lineRule="exact"/>
              <w:ind w:firstLine="642" w:firstLineChars="200"/>
              <w:rPr>
                <w:rFonts w:hint="eastAsia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项目基本概况</w:t>
            </w:r>
          </w:p>
          <w:p>
            <w:pPr>
              <w:pStyle w:val="6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rightChars="0" w:firstLine="642" w:firstLineChars="200"/>
              <w:rPr>
                <w:rFonts w:hint="eastAsia" w:ascii="仿宋_GB2312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1、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eastAsia="zh-CN"/>
              </w:rPr>
              <w:t>单位基本情况</w:t>
            </w:r>
          </w:p>
          <w:p>
            <w:pPr>
              <w:pStyle w:val="6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rightChars="0" w:firstLine="560" w:firstLineChars="200"/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根据编委核定，我局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设置机构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val="en-US" w:eastAsia="zh-CN"/>
              </w:rPr>
              <w:t>43个，其中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内设机构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val="en-US" w:eastAsia="zh-CN"/>
              </w:rPr>
              <w:t>33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个，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副处级综合行政执法支队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val="en-US" w:eastAsia="zh-CN"/>
              </w:rPr>
              <w:t>1个，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直属事业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个，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直属分局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个。</w:t>
            </w:r>
          </w:p>
          <w:p>
            <w:pPr>
              <w:pStyle w:val="6"/>
              <w:shd w:val="clear" w:color="auto" w:fill="FFFFFF"/>
              <w:spacing w:before="0" w:beforeAutospacing="0" w:after="0" w:afterAutospacing="0"/>
              <w:ind w:firstLine="570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内设科室分别是办公室、</w:t>
            </w:r>
            <w:r>
              <w:rPr>
                <w:rFonts w:hint="eastAsia" w:ascii="仿宋_GB2312" w:eastAsia="仿宋_GB2312"/>
                <w:sz w:val="28"/>
                <w:szCs w:val="28"/>
              </w:rPr>
              <w:tab/>
            </w:r>
            <w:r>
              <w:rPr>
                <w:rFonts w:hint="eastAsia" w:ascii="仿宋_GB2312" w:eastAsia="仿宋_GB2312"/>
                <w:sz w:val="28"/>
                <w:szCs w:val="28"/>
              </w:rPr>
              <w:t>综合规划和科技信息化科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政策法规科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信用监督管理科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网络交易监督管理科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广告监督管理科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登记注册科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市场规范管理科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反不正当竞争和反垄断科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价格监督管理科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投诉举报科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质量发展科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产品质量安全监督管理科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食品安全协调科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食品生产安全监督管理科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食品经营安全监督管理科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特殊食品和化妆品安全监督管理科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餐饮食品安全监督管理科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抽检监测管理科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药品生产指导协调科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药品流通监督管理科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医疗器械监督管理科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特种设备安全监察科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计量科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标准化科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认证认可监督管理科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知识产权运用促进科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知识产权保护科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消费者权益保护科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财务和审计科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人事科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6"/>
              <w:shd w:val="clear" w:color="auto" w:fill="FFFFFF"/>
              <w:spacing w:before="0" w:beforeAutospacing="0" w:after="0" w:afterAutospacing="0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机关党委（纪委）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离退休人员管理服务科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。</w:t>
            </w:r>
          </w:p>
          <w:p>
            <w:pPr>
              <w:pStyle w:val="6"/>
              <w:shd w:val="clear" w:color="auto" w:fill="FFFFFF"/>
              <w:spacing w:before="0" w:beforeAutospacing="0" w:after="0" w:afterAutospacing="0"/>
              <w:ind w:firstLine="570"/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副处级综合行政执法支队是岳阳市市场监管综合行政执法支队。</w:t>
            </w:r>
          </w:p>
          <w:p>
            <w:pPr>
              <w:pStyle w:val="6"/>
              <w:shd w:val="clear" w:color="auto" w:fill="FFFFFF"/>
              <w:spacing w:before="0" w:beforeAutospacing="0" w:after="0" w:afterAutospacing="0"/>
              <w:ind w:firstLine="570"/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直属事业单位为岳阳市质量计量检验监测中心，岳阳市食品药品审评认证与不良反应监测中心，岳阳市市场监督管理局机关事务管理中心，岳阳市消费者维权服务中心。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firstLine="573"/>
              <w:textAlignment w:val="auto"/>
              <w:rPr>
                <w:rFonts w:hint="eastAsia" w:ascii="Arial" w:hAnsi="Arial" w:cs="Arial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</w:rPr>
              <w:t>直属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lang w:eastAsia="zh-CN"/>
              </w:rPr>
              <w:t>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分别是岳阳市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市场监督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管理局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经济技术开发区分局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、岳阳市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市场监督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管理局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南湖新区分局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、岳阳市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市场监督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管理局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城陵矶新港区分局。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4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项目基本情况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质量基础专项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（以下简称：项目）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主要用于2021年重点工业产品监督抽查，特种设备安全监管、政府质量考核、标准化工作、专项打假及投诉处理、纤维制品质量监督、名牌战略、法人库及条码管理及其他民生领域管理监督。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本项目资金使用单位是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岳阳市市场监督管理局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机关（以下简称：局机关）检测及专项抽查承办机构为岳阳市质量计量检验检测中心（本局二级机构）。</w:t>
            </w:r>
          </w:p>
          <w:p>
            <w:pPr>
              <w:widowControl/>
              <w:shd w:val="clear" w:color="auto" w:fill="FFFFFF"/>
              <w:spacing w:line="560" w:lineRule="exact"/>
              <w:ind w:firstLine="642" w:firstLineChars="200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项目绩效目标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333333"/>
                <w:sz w:val="28"/>
                <w:szCs w:val="28"/>
                <w:shd w:val="clear" w:color="auto" w:fill="FFFFFF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shd w:val="clear" w:color="auto" w:fill="FFFFFF"/>
                <w:lang w:eastAsia="zh-CN"/>
              </w:rPr>
              <w:t>体目标：深入推进质量强市战略，积极探索“一站试”试点服务，着力缺陷消费品召回，全力服务高质量发展，不发生重大的服务质量事件；提升计量技术能力水平，实施“计量服务中小企业行”试点活动；紧盯标准化工作重点，坚持标准高质量发展；完成岳阳自贸片区涉及认证认可的改革任务。</w:t>
            </w:r>
          </w:p>
          <w:p>
            <w:pPr>
              <w:numPr>
                <w:ilvl w:val="0"/>
                <w:numId w:val="2"/>
              </w:numPr>
              <w:spacing w:line="560" w:lineRule="exact"/>
              <w:ind w:left="0" w:leftChars="0" w:firstLine="560" w:firstLineChars="200"/>
              <w:rPr>
                <w:rFonts w:hint="eastAsia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b/>
                <w:bCs/>
                <w:sz w:val="30"/>
                <w:szCs w:val="30"/>
              </w:rPr>
              <w:t>项目资金使用及管理情况</w:t>
            </w:r>
          </w:p>
          <w:p>
            <w:pPr>
              <w:widowControl/>
              <w:shd w:val="clear" w:color="auto" w:fill="FFFFFF"/>
              <w:spacing w:line="560" w:lineRule="exact"/>
              <w:ind w:firstLine="642" w:firstLineChars="200"/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</w:rPr>
              <w:t>1、</w:t>
            </w:r>
            <w:r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  <w:lang w:eastAsia="zh-CN"/>
              </w:rPr>
              <w:t>项目资金到位情况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我局质量基础专项经费纳入部门预算管理，预算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288万元，2021年2月到位288万元。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Chars="200" w:firstLine="321" w:firstLineChars="1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2、</w:t>
            </w:r>
            <w:r>
              <w:rPr>
                <w:rFonts w:hint="eastAsia" w:ascii="仿宋_GB2312" w:hAnsi="宋体" w:eastAsia="仿宋_GB2312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eastAsia="zh-CN"/>
              </w:rPr>
              <w:t>项目资金使用情况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</w:t>
            </w:r>
          </w:p>
          <w:p>
            <w:pPr>
              <w:widowControl/>
              <w:shd w:val="clear" w:color="auto" w:fill="FFFFFF"/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2020年质量基础专项收入288万元，均为本级财政资金，专项资金支出288万元，支付率100%。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明细情况如下表（单位：万元）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</w:t>
            </w:r>
          </w:p>
          <w:tbl>
            <w:tblPr>
              <w:tblStyle w:val="8"/>
              <w:tblW w:w="907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5"/>
              <w:gridCol w:w="1709"/>
              <w:gridCol w:w="2901"/>
              <w:gridCol w:w="2049"/>
              <w:gridCol w:w="13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序号</w:t>
                  </w:r>
                </w:p>
              </w:tc>
              <w:tc>
                <w:tcPr>
                  <w:tcW w:w="170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项目单位</w:t>
                  </w:r>
                </w:p>
              </w:tc>
              <w:tc>
                <w:tcPr>
                  <w:tcW w:w="2901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支出内容</w:t>
                  </w: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实际支出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9" w:type="dxa"/>
                  <w:vMerge w:val="restart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jc w:val="center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</w:p>
                <w:p>
                  <w:pPr>
                    <w:widowControl/>
                    <w:spacing w:line="560" w:lineRule="exact"/>
                    <w:jc w:val="center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</w:p>
                <w:p>
                  <w:pPr>
                    <w:widowControl/>
                    <w:spacing w:line="560" w:lineRule="exact"/>
                    <w:jc w:val="center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</w:p>
                <w:p>
                  <w:pPr>
                    <w:widowControl/>
                    <w:spacing w:line="560" w:lineRule="exact"/>
                    <w:jc w:val="center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局机关</w:t>
                  </w:r>
                </w:p>
              </w:tc>
              <w:tc>
                <w:tcPr>
                  <w:tcW w:w="2901" w:type="dxa"/>
                  <w:noWrap w:val="0"/>
                  <w:vAlign w:val="center"/>
                </w:tcPr>
                <w:p>
                  <w:pPr>
                    <w:jc w:val="both"/>
                    <w:rPr>
                      <w:rFonts w:hint="eastAsia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lang w:val="en-US" w:eastAsia="zh-CN"/>
                    </w:rPr>
                    <w:t>培训费</w:t>
                  </w: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  <w:t>2.84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709" w:type="dxa"/>
                  <w:vMerge w:val="continue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  <w:tc>
                <w:tcPr>
                  <w:tcW w:w="2901" w:type="dxa"/>
                  <w:noWrap w:val="0"/>
                  <w:vAlign w:val="center"/>
                </w:tcPr>
                <w:p>
                  <w:pPr>
                    <w:jc w:val="both"/>
                    <w:rPr>
                      <w:rFonts w:hint="eastAsia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lang w:val="en-US" w:eastAsia="zh-CN"/>
                    </w:rPr>
                    <w:t>办公费</w:t>
                  </w: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  <w:t>0.6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709" w:type="dxa"/>
                  <w:vMerge w:val="continue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  <w:tc>
                <w:tcPr>
                  <w:tcW w:w="2901" w:type="dxa"/>
                  <w:noWrap w:val="0"/>
                  <w:vAlign w:val="center"/>
                </w:tcPr>
                <w:p>
                  <w:pPr>
                    <w:jc w:val="both"/>
                    <w:rPr>
                      <w:rFonts w:hint="eastAsia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lang w:val="en-US" w:eastAsia="zh-CN"/>
                    </w:rPr>
                    <w:t>印刷费</w:t>
                  </w: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  <w:t>2.03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709" w:type="dxa"/>
                  <w:vMerge w:val="continue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  <w:tc>
                <w:tcPr>
                  <w:tcW w:w="2901" w:type="dxa"/>
                  <w:noWrap w:val="0"/>
                  <w:vAlign w:val="center"/>
                </w:tcPr>
                <w:p>
                  <w:pPr>
                    <w:jc w:val="both"/>
                    <w:rPr>
                      <w:rFonts w:hint="eastAsia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lang w:eastAsia="zh-CN"/>
                    </w:rPr>
                    <w:t>差旅费</w:t>
                  </w: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 w:bidi="ar-SA"/>
                    </w:rPr>
                    <w:t>7.92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709" w:type="dxa"/>
                  <w:vMerge w:val="continue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  <w:tc>
                <w:tcPr>
                  <w:tcW w:w="2901" w:type="dxa"/>
                  <w:noWrap w:val="0"/>
                  <w:vAlign w:val="center"/>
                </w:tcPr>
                <w:p>
                  <w:pPr>
                    <w:jc w:val="both"/>
                    <w:rPr>
                      <w:rFonts w:hint="default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</w:pPr>
                  <w:r>
                    <w:rPr>
                      <w:rFonts w:hint="eastAsia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  <w:t>检测费</w:t>
                  </w:r>
                </w:p>
              </w:tc>
              <w:tc>
                <w:tcPr>
                  <w:tcW w:w="2049" w:type="dxa"/>
                  <w:noWrap w:val="0"/>
                  <w:vAlign w:val="center"/>
                </w:tcPr>
                <w:p>
                  <w:pPr>
                    <w:jc w:val="both"/>
                    <w:rPr>
                      <w:rFonts w:hint="default" w:ascii="Calibri" w:hAnsi="Calibri" w:eastAsia="仿宋_GB2312" w:cs="Times New Roman"/>
                      <w:color w:val="auto"/>
                      <w:kern w:val="2"/>
                      <w:sz w:val="28"/>
                      <w:szCs w:val="28"/>
                      <w:highlight w:val="none"/>
                      <w:shd w:val="clear" w:color="auto" w:fill="auto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2"/>
                      <w:sz w:val="24"/>
                      <w:szCs w:val="24"/>
                      <w:highlight w:val="none"/>
                      <w:shd w:val="clear" w:color="auto" w:fill="auto"/>
                      <w:lang w:val="en-US" w:eastAsia="zh-CN" w:bidi="ar-SA"/>
                    </w:rPr>
                    <w:t>266.71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1709" w:type="dxa"/>
                  <w:vMerge w:val="continue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901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宣传费</w:t>
                  </w: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7.9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5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170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eastAsia="zh-CN"/>
                    </w:rPr>
                    <w:t>合计</w:t>
                  </w:r>
                </w:p>
              </w:tc>
              <w:tc>
                <w:tcPr>
                  <w:tcW w:w="2901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  <w:tc>
                <w:tcPr>
                  <w:tcW w:w="2049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default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  <w:lang w:val="en-US" w:eastAsia="zh-CN"/>
                    </w:rPr>
                    <w:t>288</w:t>
                  </w:r>
                </w:p>
              </w:tc>
              <w:tc>
                <w:tcPr>
                  <w:tcW w:w="1350" w:type="dxa"/>
                  <w:noWrap w:val="0"/>
                  <w:vAlign w:val="top"/>
                </w:tcPr>
                <w:p>
                  <w:pPr>
                    <w:widowControl/>
                    <w:spacing w:line="560" w:lineRule="exact"/>
                    <w:rPr>
                      <w:rFonts w:hint="eastAsia" w:ascii="仿宋_GB2312" w:hAnsi="宋体" w:eastAsia="仿宋_GB2312"/>
                      <w:color w:val="auto"/>
                      <w:sz w:val="28"/>
                      <w:szCs w:val="28"/>
                      <w:highlight w:val="none"/>
                      <w:shd w:val="clear" w:color="auto" w:fill="auto"/>
                      <w:vertAlign w:val="baseline"/>
                    </w:rPr>
                  </w:pPr>
                </w:p>
              </w:tc>
            </w:tr>
          </w:tbl>
          <w:p>
            <w:pPr>
              <w:widowControl/>
              <w:shd w:val="clear" w:color="auto" w:fill="FFFFFF"/>
              <w:spacing w:line="560" w:lineRule="exact"/>
              <w:ind w:firstLine="560" w:firstLineChars="200"/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  <w:lang w:val="en-US" w:eastAsia="zh-CN"/>
              </w:rPr>
              <w:t>3、</w:t>
            </w:r>
            <w:r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  <w:lang w:eastAsia="zh-CN"/>
              </w:rPr>
              <w:t>项目</w:t>
            </w:r>
            <w:r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</w:rPr>
              <w:t>资金</w:t>
            </w:r>
            <w:r>
              <w:rPr>
                <w:rFonts w:hint="eastAsia" w:ascii="仿宋_GB2312" w:hAnsi="宋体" w:eastAsia="仿宋_GB2312"/>
                <w:b/>
                <w:bCs/>
                <w:color w:val="333333"/>
                <w:sz w:val="32"/>
                <w:szCs w:val="32"/>
                <w:shd w:val="clear" w:color="auto" w:fill="FFFFFF"/>
                <w:lang w:eastAsia="zh-CN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市场监督管理局项目资金管理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</w:rPr>
              <w:t>执行《湖南省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lang w:eastAsia="zh-CN"/>
              </w:rPr>
              <w:t>市场监督管理局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</w:rPr>
              <w:t>专项资金管理办法》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要求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专项资金的管理和使用符合财政预算管理的有关规定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做到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专款专用，专题研究，一事一议，集体采购，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遵循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统筹兼顾、突出重点、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踪问效的原则。专项资金使用流程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审批程序：使用单位提出申请 → 分管业务局领导审核 → 分管财务局领导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→ 局长批准。审批要求：使用单位应提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项目资金申请报告，填写《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岳阳市市场监督管理局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专项资金使用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审批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单》。财务科对报告进行编号登记管理，对报账票据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等相关材料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审核把关。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281" w:firstLineChars="100"/>
              <w:rPr>
                <w:rFonts w:hint="eastAsia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（三）</w:t>
            </w:r>
            <w:r>
              <w:rPr>
                <w:rFonts w:hint="eastAsia" w:eastAsia="仿宋_GB2312"/>
                <w:b/>
                <w:bCs/>
                <w:sz w:val="30"/>
                <w:szCs w:val="30"/>
              </w:rPr>
              <w:t>项目组织实施情况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1、制订考核指标，明确资金投向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。根据以前年度计划完成情况，结合本年度实际，在编制年度预算时设定好绩效目标指标值，明确本年度项目资金投向，指导项目实施。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2、明确政府购买服务范围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。根据岳阳市质量计量检验检测中心的检验能力，根据相关科室审定的检测计划，核拨政府购买服务资金。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3、进行了职责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分工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。计量科、产品质量安全监督管理科组织实施强制检定、产品质量抽检计划，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定期公布抽检结果及相关信息。督促指导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工业产品的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核 查、处置、召回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、查处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质量发展科、标准化科、认证认可监督管理科对各自监管领域实施监管，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财务和审计科负责向市财政局申请资金，结合年度绩效任务核拨资金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组织实施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。按相关文件要求，由市市场监管局组织实施。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考核检验检测部门检验数据正确率和检验报告的及时率；实行工作质量和工作效率考核机制。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Chars="200"/>
              <w:rPr>
                <w:rFonts w:hint="eastAsia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eastAsia="仿宋_GB2312"/>
                <w:b/>
                <w:bCs/>
                <w:sz w:val="30"/>
                <w:szCs w:val="30"/>
                <w:lang w:eastAsia="zh-CN"/>
              </w:rPr>
              <w:t>（四）</w:t>
            </w:r>
            <w:r>
              <w:rPr>
                <w:rFonts w:hint="eastAsia" w:eastAsia="仿宋_GB2312"/>
                <w:b/>
                <w:bCs/>
                <w:sz w:val="30"/>
                <w:szCs w:val="30"/>
              </w:rPr>
              <w:t>综合评价情况及评价结论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质量基础专项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资金使用符合中央、省、市文件要求，符合我市经济发展的需要。财政资金的投入，增强了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我市市场监督管理的力度，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为我市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新增长极建设创造了更加良好的市场环境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绩效评价自评小组根据《岳阳市项目支出绩效评价指标体系》方案，自评得分9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分，考评结果为优秀。（详见附表1绩效评价自评表）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600" w:firstLineChars="200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  <w:lang w:eastAsia="zh-CN"/>
              </w:rPr>
              <w:t>（五）</w:t>
            </w:r>
            <w:r>
              <w:rPr>
                <w:rFonts w:hint="eastAsia" w:eastAsia="仿宋_GB2312"/>
                <w:sz w:val="30"/>
                <w:szCs w:val="30"/>
              </w:rPr>
              <w:t>项目主要绩效情况分析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1、量化目标及完成情况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（1）计划强制检定工作计量器具的备案及检定数30000台次，实际完成检定45498台次，完成率151.66%；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（2）计划集贸市场衡器检定2000台次，实际完成检定3058台次,完成率152.90%；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（3）计划计量标准建标数5个。实际完成5个,完成率100%；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（4）开展市场监管抽检批次660批次，实际完成660批次，完成率100%；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（5）抽查产品类别完成数量计划20类，实际完成20类，完成率100%；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（6）完成生产许可证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后监督抽查企业数量36个，实际完成36个，完成率100%；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质量目标及完成情况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（1）特大安全事故发生率为0，实际情况未发生。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（2）强制检定率100%，实际完成100%，已达标。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（3）计量标准通过率100%，实际完成100%，已达标。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（4）不合格企业后处理工作完成率100%，实际完成100%，已达标。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3、项目完成时效：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计划抽及检定样于12月10日前完成，检验于11月30日结束。到11月底已完成100%，年度任务与时间进度匹配。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（4）项目成本：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质量基础专项资金288万元纳入单位预算管理，至12月底累计到账288万元，累计支出288万元，控制在预算范围之内。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301" w:firstLineChars="100"/>
              <w:rPr>
                <w:rFonts w:hint="eastAsia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eastAsia="仿宋_GB2312"/>
                <w:b/>
                <w:bCs/>
                <w:sz w:val="30"/>
                <w:szCs w:val="30"/>
              </w:rPr>
              <w:t>（六）主要经验及做法、存在问题和建议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经验及做法：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合理编制绩效目标考核指标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。预算编制时，根据各科室年度工作目标，合理编制专项资金绩效考核指标，并实施跟踪监控，将计划完成情况作为核定下一个年度资金分配的重要依据。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2、突出质量抽检检验的结果运用。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认真做好监督抽查后处理及执法查处工作，积极开展监督抽查重点工业品及其他产品的通报、公告工作，组织各类工业产品专项整治，抓好不合格项目的督促整改。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存在的问题：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现有能力不足。主要是强制检定的燃气表、电能表、加气机、压力仪表、出租车计价器等检测项目数量太多，仅检验中心无法完成全市的检验检测。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人力资源短缺。市、县级法定计量检定机构人员老化、编制不足以及岗位变动频繁、能力水平不高等问题普遍存在。集贸市场计价秤、眼睛制配场所验光仪器等量大面广，因缺人才难以按时完成100%的强检任务。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建议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1）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适当增加财政投入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强制检定、产品质量抽检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范围广、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类目多、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任务重，建议政府逐年增加财政投入，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及时更新检验设备，加强人员培训，以适应不断更新的检验能力的需要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2）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完善绩效管理相关制度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进一步细化工作任务，完善项目资金分配、使用及管理制度，按照职责分工和工作任务合理分配资金。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（七</w:t>
            </w:r>
            <w:r>
              <w:rPr>
                <w:rFonts w:hint="eastAsia" w:eastAsia="仿宋_GB2312"/>
                <w:b/>
                <w:bCs/>
                <w:sz w:val="30"/>
                <w:szCs w:val="30"/>
              </w:rPr>
              <w:t>）附件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>
      <w:pPr>
        <w:spacing w:beforeLines="50"/>
        <w:rPr>
          <w:rFonts w:ascii="仿宋_GB2312" w:hAnsi="宋体" w:eastAsia="仿宋_GB2312" w:cs="宋体"/>
          <w:kern w:val="0"/>
          <w:szCs w:val="21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spacing w:beforeLines="50" w:line="56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beforeLines="50"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附件3-2</w:t>
      </w:r>
    </w:p>
    <w:p>
      <w:pPr>
        <w:spacing w:beforeLines="60" w:afterLines="60" w:line="56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项目支出绩效评价指标体系（参考样表）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540"/>
        <w:gridCol w:w="703"/>
        <w:gridCol w:w="540"/>
        <w:gridCol w:w="803"/>
        <w:gridCol w:w="550"/>
        <w:gridCol w:w="2407"/>
        <w:gridCol w:w="2772"/>
        <w:gridCol w:w="8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一级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二级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8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2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具体指标</w:t>
            </w:r>
          </w:p>
        </w:tc>
        <w:tc>
          <w:tcPr>
            <w:tcW w:w="2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自评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70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项目决策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项目目标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目标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内容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设立了项目绩效目标；目标明确；目标细化；目标量化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①设有目标（1分）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②目标明确（1分）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③目标细化（1分）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④目标量化（1分）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决策过程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决策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依据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①符合法律法规（1分）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②符合经济社会发展规划（1分）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③部门年度工作计划（1分）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spacing w:val="-6"/>
                <w:kern w:val="0"/>
                <w:sz w:val="18"/>
                <w:szCs w:val="18"/>
              </w:rPr>
              <w:t>④针对某一实际问题和需求（1分）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以上③需提供佐证资料。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决策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程序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项目符合申报条件；申报、批复程序符合相关管理办法；项目调整履行了相应手续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①符合申报条件（2分）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②项目申报、批复程序符合管理办法（1分）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spacing w:val="-6"/>
                <w:kern w:val="0"/>
                <w:sz w:val="18"/>
                <w:szCs w:val="18"/>
              </w:rPr>
              <w:t>③项目调整履行了相应手续（1分）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资金分配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分配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办法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①有相应的资金管理办法（1分）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②办法健全、规范（1分）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③因素全面合理（1分）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以上①需提供佐证资料。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分配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结果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资金分配符合相关管理办法；分配结果公平合理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①符合分配办法（2分）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②分配公平合理（3分）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spacing w:val="-6"/>
                <w:kern w:val="0"/>
                <w:sz w:val="18"/>
                <w:szCs w:val="18"/>
              </w:rPr>
              <w:t>此项需提供相应的资金分配方案。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0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项目管理 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资金到位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到位率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实际到位/计划到位*100%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根据项目资金的实际到位率计算得分（3分）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到位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资金及时到位；若未及时到位，是否影响项目进度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①到位及时（2分）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18"/>
                <w:szCs w:val="18"/>
              </w:rPr>
              <w:t>②不及时但未影响项目进度 （1分）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spacing w:val="-6"/>
                <w:kern w:val="0"/>
                <w:sz w:val="18"/>
                <w:szCs w:val="18"/>
              </w:rPr>
              <w:t>③不及时并影响项目进度（0.5分）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资金管理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使用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①虚列套取扣4-7分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②依据不合规扣2分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③截留、挤占、挪用扣3-6分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④超标准开支扣2-5分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⑤超预算扣2-5分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财务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资金管理、费用支出等制度健全；制度执行严格；会计核算规范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①财务制度健全（1分）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②严格执行制度（1分）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③会计核算规范（1分）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以上①需提供佐证资料。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0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项目管理 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组织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机构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机构健全、分工明确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①机构健全、分工明确  （1分）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条件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项目实施单位是否提供或具备了必备的人员、场地和设备等条件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具备人员、场地、设备条件（1分）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项目按计划开工；按计划进度开展；按计划完工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①按计划开工（1分）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②按计划开展（1分）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③按计划完工（1分）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管理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制度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项目管理制度健全；严格执行相关管理制度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①管理制度健全（2分）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②制度执行严格（3分）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以上①需提供佐证资料。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一级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二级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24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具体指标</w:t>
            </w:r>
          </w:p>
        </w:tc>
        <w:tc>
          <w:tcPr>
            <w:tcW w:w="27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自评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项目绩效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7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项目产出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4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目标完成率=目标完成数/预定目标数×100%</w:t>
            </w:r>
          </w:p>
        </w:tc>
        <w:tc>
          <w:tcPr>
            <w:tcW w:w="27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完成绩效目标100%得5分，未完成100%的同比例扣减。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目标完成质量=实际达到的效果/预定目标×100%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项目产出质量达到绩效目标100%得4分，未完成100%的同比例扣减。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项目资金使用的预定目标是否如期完成，未完成的理由是否充分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项目产出时效达到绩效目标得3分，未如期完成且无充分理由的扣3分。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项目产出成本是否按绩效目标控制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项目产出成本按绩效目标控制得3分，未完成的，按超支比例扣减。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项目效果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指项目对国民经济和区域经济发展所带来的直接或间接效益等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完成绩效目标设定的经济效益得8分，未完成的，按完成情况酌情扣分。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项目实施是否产生社会综合效益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完成绩效目标设定的社会效益得8分，未完成的，按完成情况酌情扣分。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环境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项目实施是否对环境产生积极或消极影响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完成绩效目标设定的积极的环境效益得8分，未完成的，按完成情况酌情扣分。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影响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项目实施对人、自然、资源是否带来可持续影响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完成绩效设定目标的得8分，未完成的，按完成情况酌情扣分。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对象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服务对象满意率=项目区被调查人数中表示满意的人数(户数)/ 被调查人数(户数)×100%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满意率达90%（含）以上的得8分，80%（含）-90%得6分，70%（含）-80%得4分，60%（含）-70%得2分，60%以下不得分。</w:t>
            </w: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97</w:t>
            </w:r>
          </w:p>
        </w:tc>
      </w:tr>
    </w:tbl>
    <w:p>
      <w:pPr>
        <w:adjustRightInd w:val="0"/>
        <w:snapToGrid w:val="0"/>
        <w:spacing w:beforeLines="50" w:line="200" w:lineRule="exact"/>
        <w:contextualSpacing/>
        <w:rPr>
          <w:rFonts w:ascii="仿宋_GB2312" w:eastAsia="仿宋_GB2312"/>
        </w:rPr>
      </w:pPr>
    </w:p>
    <w:p>
      <w:pPr>
        <w:adjustRightInd w:val="0"/>
        <w:snapToGrid w:val="0"/>
        <w:spacing w:beforeLines="50"/>
        <w:contextualSpacing/>
        <w:rPr>
          <w:rFonts w:ascii="仿宋_GB2312" w:eastAsia="仿宋_GB2312"/>
        </w:rPr>
      </w:pPr>
      <w:r>
        <w:rPr>
          <w:rFonts w:hint="eastAsia" w:ascii="仿宋_GB2312" w:eastAsia="仿宋_GB2312"/>
        </w:rPr>
        <w:t>备注：部门（单位）根据项目实际，在《项目支出绩效评价指标体系（参考样表）》上进一步完</w:t>
      </w:r>
    </w:p>
    <w:p>
      <w:pPr>
        <w:adjustRightInd w:val="0"/>
        <w:snapToGrid w:val="0"/>
        <w:spacing w:beforeLines="50"/>
        <w:ind w:firstLine="630" w:firstLineChars="300"/>
        <w:contextualSpacing/>
        <w:rPr>
          <w:rFonts w:eastAsia="仿宋_GB2312"/>
          <w:sz w:val="32"/>
        </w:rPr>
      </w:pPr>
      <w:r>
        <w:rPr>
          <w:rFonts w:hint="eastAsia" w:ascii="仿宋_GB2312" w:eastAsia="仿宋_GB2312"/>
        </w:rPr>
        <w:t>善、量化、细化个性指标，形成本项目的指标体系。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D096E9"/>
    <w:multiLevelType w:val="singleLevel"/>
    <w:tmpl w:val="84D096E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F9227B8"/>
    <w:multiLevelType w:val="singleLevel"/>
    <w:tmpl w:val="CF9227B8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DFE368A5"/>
    <w:multiLevelType w:val="singleLevel"/>
    <w:tmpl w:val="DFE368A5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7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0EEEF8FB"/>
    <w:multiLevelType w:val="singleLevel"/>
    <w:tmpl w:val="0EEEF8F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6F276B7"/>
    <w:multiLevelType w:val="singleLevel"/>
    <w:tmpl w:val="66F276B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40C9D"/>
    <w:rsid w:val="0054794C"/>
    <w:rsid w:val="005530D1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B6"/>
    <w:rsid w:val="00CA69DC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2CDFED2D"/>
    <w:rsid w:val="301703D3"/>
    <w:rsid w:val="358ED5F7"/>
    <w:rsid w:val="46367457"/>
    <w:rsid w:val="4E6B464C"/>
    <w:rsid w:val="5C92280B"/>
    <w:rsid w:val="5DEB4561"/>
    <w:rsid w:val="6B8D35F0"/>
    <w:rsid w:val="74B77EFC"/>
    <w:rsid w:val="77F9336E"/>
    <w:rsid w:val="7F7F9C41"/>
    <w:rsid w:val="BBC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5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auto"/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sz w:val="18"/>
      <w:szCs w:val="18"/>
    </w:rPr>
  </w:style>
  <w:style w:type="character" w:customStyle="1" w:styleId="13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4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5">
    <w:name w:val="正文文本缩进 2 Char"/>
    <w:basedOn w:val="9"/>
    <w:link w:val="2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6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7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8">
    <w:name w:val="批注框文本 Char"/>
    <w:basedOn w:val="9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1642</Words>
  <Characters>9361</Characters>
  <Lines>78</Lines>
  <Paragraphs>21</Paragraphs>
  <TotalTime>2</TotalTime>
  <ScaleCrop>false</ScaleCrop>
  <LinksUpToDate>false</LinksUpToDate>
  <CharactersWithSpaces>10982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2021-06-03T09:03:00Z</dcterms:created>
  <dc:creator>User</dc:creator>
  <cp:lastModifiedBy>瑶瑶</cp:lastModifiedBy>
  <cp:lastPrinted>2021-06-11T16:20:00Z</cp:lastPrinted>
  <dcterms:modified xsi:type="dcterms:W3CDTF">2022-06-15T15:59:45Z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