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cs="黑体"/>
          <w:bCs/>
          <w:sz w:val="32"/>
          <w:szCs w:val="32"/>
        </w:rPr>
      </w:pPr>
      <w:r>
        <w:rPr>
          <w:rFonts w:hint="eastAsia" w:ascii="黑体" w:hAnsi="黑体" w:eastAsia="黑体" w:cs="黑体"/>
          <w:bCs/>
          <w:sz w:val="32"/>
          <w:szCs w:val="32"/>
        </w:rPr>
        <w:t>附件2-1</w:t>
      </w:r>
    </w:p>
    <w:p>
      <w:pPr>
        <w:spacing w:line="348" w:lineRule="auto"/>
        <w:jc w:val="center"/>
        <w:rPr>
          <w:rFonts w:eastAsia="方正小标宋简体"/>
          <w:bCs/>
          <w:sz w:val="42"/>
          <w:szCs w:val="42"/>
        </w:rPr>
      </w:pPr>
    </w:p>
    <w:p>
      <w:pPr>
        <w:spacing w:line="800" w:lineRule="exact"/>
        <w:jc w:val="center"/>
        <w:rPr>
          <w:rFonts w:hint="eastAsia" w:ascii="黑体" w:hAnsi="黑体" w:eastAsia="黑体" w:cs="黑体"/>
          <w:bCs/>
          <w:sz w:val="46"/>
          <w:szCs w:val="46"/>
        </w:rPr>
      </w:pPr>
      <w:r>
        <w:rPr>
          <w:rFonts w:hint="eastAsia" w:ascii="黑体" w:hAnsi="黑体" w:eastAsia="黑体" w:cs="黑体"/>
          <w:bCs/>
          <w:sz w:val="46"/>
          <w:szCs w:val="46"/>
        </w:rPr>
        <w:t>岳阳市202</w:t>
      </w:r>
      <w:r>
        <w:rPr>
          <w:rFonts w:hint="eastAsia" w:ascii="黑体" w:hAnsi="黑体" w:eastAsia="黑体" w:cs="黑体"/>
          <w:bCs/>
          <w:sz w:val="46"/>
          <w:szCs w:val="46"/>
          <w:lang w:val="en-US" w:eastAsia="zh-CN"/>
        </w:rPr>
        <w:t>1</w:t>
      </w:r>
      <w:r>
        <w:rPr>
          <w:rFonts w:hint="eastAsia" w:ascii="黑体" w:hAnsi="黑体" w:eastAsia="黑体" w:cs="黑体"/>
          <w:bCs/>
          <w:sz w:val="46"/>
          <w:szCs w:val="46"/>
        </w:rPr>
        <w:t>年度部门整体支出</w:t>
      </w:r>
    </w:p>
    <w:p>
      <w:pPr>
        <w:spacing w:line="800" w:lineRule="exact"/>
        <w:jc w:val="center"/>
        <w:rPr>
          <w:rFonts w:hint="eastAsia" w:ascii="黑体" w:hAnsi="黑体" w:eastAsia="黑体" w:cs="黑体"/>
          <w:bCs/>
          <w:sz w:val="46"/>
          <w:szCs w:val="46"/>
        </w:rPr>
      </w:pPr>
      <w:r>
        <w:rPr>
          <w:rFonts w:hint="eastAsia" w:ascii="黑体" w:hAnsi="黑体" w:eastAsia="黑体" w:cs="黑体"/>
          <w:bCs/>
          <w:sz w:val="46"/>
          <w:szCs w:val="46"/>
        </w:rPr>
        <w:t>绩效评价自评报告</w:t>
      </w:r>
    </w:p>
    <w:p>
      <w:pPr>
        <w:rPr>
          <w:rFonts w:eastAsia="仿宋_GB2312"/>
          <w:b/>
          <w:sz w:val="32"/>
        </w:rPr>
      </w:pPr>
    </w:p>
    <w:p>
      <w:pPr>
        <w:rPr>
          <w:rFonts w:eastAsia="仿宋_GB2312"/>
          <w:b/>
          <w:sz w:val="32"/>
        </w:rPr>
      </w:pPr>
    </w:p>
    <w:p>
      <w:pPr>
        <w:rPr>
          <w:rFonts w:eastAsia="仿宋_GB2312"/>
          <w:b/>
          <w:sz w:val="32"/>
        </w:rPr>
      </w:pPr>
    </w:p>
    <w:p>
      <w:pPr>
        <w:spacing w:beforeLines="50" w:line="348" w:lineRule="auto"/>
        <w:ind w:firstLine="476" w:firstLineChars="150"/>
        <w:rPr>
          <w:rFonts w:hint="eastAsia" w:eastAsia="仿宋_GB2312"/>
          <w:sz w:val="32"/>
          <w:szCs w:val="32"/>
          <w:u w:val="single"/>
          <w:lang w:eastAsia="zh-CN"/>
        </w:rPr>
      </w:pPr>
      <w:r>
        <w:rPr>
          <w:rFonts w:hint="eastAsia" w:eastAsia="仿宋_GB2312"/>
          <w:sz w:val="32"/>
          <w:szCs w:val="32"/>
        </w:rPr>
        <w:t>部门(单位)名称：</w:t>
      </w:r>
      <w:r>
        <w:rPr>
          <w:rFonts w:hint="eastAsia" w:eastAsia="仿宋_GB2312"/>
          <w:sz w:val="32"/>
          <w:szCs w:val="32"/>
          <w:u w:val="single"/>
          <w:lang w:eastAsia="zh-CN"/>
        </w:rPr>
        <w:t>岳阳市市场监督管理局</w:t>
      </w:r>
    </w:p>
    <w:p>
      <w:pPr>
        <w:spacing w:beforeLines="50" w:line="348" w:lineRule="auto"/>
        <w:ind w:firstLine="476" w:firstLineChars="150"/>
        <w:rPr>
          <w:rFonts w:hint="eastAsia" w:eastAsia="仿宋_GB2312"/>
          <w:spacing w:val="20"/>
          <w:sz w:val="32"/>
          <w:szCs w:val="32"/>
          <w:lang w:eastAsia="zh-CN"/>
        </w:rPr>
      </w:pPr>
      <w:r>
        <w:rPr>
          <w:rFonts w:hint="eastAsia" w:eastAsia="仿宋_GB2312"/>
          <w:sz w:val="32"/>
          <w:szCs w:val="32"/>
        </w:rPr>
        <w:t>预</w:t>
      </w:r>
      <w:r>
        <w:rPr>
          <w:rFonts w:hint="eastAsia" w:eastAsia="仿宋_GB2312"/>
          <w:spacing w:val="30"/>
          <w:sz w:val="32"/>
          <w:szCs w:val="32"/>
        </w:rPr>
        <w:t>算编码：</w:t>
      </w:r>
      <w:r>
        <w:rPr>
          <w:rFonts w:hint="eastAsia" w:eastAsia="仿宋_GB2312"/>
          <w:spacing w:val="20"/>
          <w:sz w:val="32"/>
          <w:szCs w:val="32"/>
          <w:u w:val="single"/>
          <w:lang w:val="en-US" w:eastAsia="zh-CN"/>
        </w:rPr>
        <w:t>506</w:t>
      </w:r>
    </w:p>
    <w:p>
      <w:pPr>
        <w:spacing w:before="301" w:beforeLines="50" w:line="348" w:lineRule="auto"/>
        <w:ind w:firstLine="476" w:firstLineChars="150"/>
        <w:rPr>
          <w:rFonts w:hint="eastAsia" w:eastAsia="仿宋_GB2312"/>
          <w:sz w:val="32"/>
          <w:szCs w:val="32"/>
        </w:rPr>
      </w:pPr>
      <w:r>
        <w:rPr>
          <w:rFonts w:hint="eastAsia" w:eastAsia="仿宋_GB2312"/>
          <w:sz w:val="32"/>
          <w:szCs w:val="32"/>
        </w:rPr>
        <w:t>评价方式：</w:t>
      </w:r>
      <w:r>
        <w:rPr>
          <w:rFonts w:hint="eastAsia" w:ascii="仿宋_GB2312" w:eastAsia="仿宋_GB2312"/>
          <w:sz w:val="32"/>
          <w:szCs w:val="32"/>
          <w:lang w:eastAsia="zh-CN"/>
        </w:rPr>
        <w:t>岳阳市市场监督管理局整体</w:t>
      </w:r>
      <w:r>
        <w:rPr>
          <w:rFonts w:hint="eastAsia" w:ascii="仿宋_GB2312" w:eastAsia="仿宋_GB2312"/>
          <w:sz w:val="32"/>
          <w:szCs w:val="32"/>
        </w:rPr>
        <w:t>绩效自评</w:t>
      </w:r>
    </w:p>
    <w:p>
      <w:pPr>
        <w:spacing w:beforeLines="50" w:line="348" w:lineRule="auto"/>
        <w:ind w:firstLine="476" w:firstLineChars="150"/>
        <w:rPr>
          <w:rFonts w:hint="eastAsia" w:eastAsia="仿宋_GB2312"/>
          <w:sz w:val="32"/>
          <w:szCs w:val="32"/>
          <w:lang w:eastAsia="zh-CN"/>
        </w:rPr>
      </w:pPr>
      <w:r>
        <w:rPr>
          <w:rFonts w:hint="eastAsia" w:eastAsia="仿宋_GB2312"/>
          <w:sz w:val="32"/>
          <w:szCs w:val="32"/>
        </w:rPr>
        <w:t>评价机构：</w:t>
      </w:r>
      <w:r>
        <w:rPr>
          <w:rFonts w:hint="eastAsia" w:ascii="仿宋_GB2312" w:eastAsia="仿宋_GB2312"/>
          <w:sz w:val="32"/>
          <w:szCs w:val="32"/>
          <w:lang w:eastAsia="zh-CN"/>
        </w:rPr>
        <w:t>岳阳市市场监督管理局绩效</w:t>
      </w:r>
      <w:r>
        <w:rPr>
          <w:rFonts w:hint="eastAsia" w:ascii="仿宋_GB2312" w:eastAsia="仿宋_GB2312"/>
          <w:sz w:val="32"/>
          <w:szCs w:val="32"/>
        </w:rPr>
        <w:t>评价组</w:t>
      </w:r>
    </w:p>
    <w:p>
      <w:pPr>
        <w:spacing w:line="720" w:lineRule="exact"/>
        <w:ind w:firstLine="2188" w:firstLineChars="690"/>
        <w:rPr>
          <w:rFonts w:eastAsia="仿宋_GB2312"/>
          <w:sz w:val="32"/>
        </w:rPr>
      </w:pPr>
    </w:p>
    <w:p>
      <w:pPr>
        <w:spacing w:line="720" w:lineRule="exact"/>
        <w:ind w:firstLine="2188" w:firstLineChars="690"/>
        <w:rPr>
          <w:rFonts w:eastAsia="仿宋_GB2312"/>
          <w:sz w:val="32"/>
        </w:rPr>
      </w:pPr>
    </w:p>
    <w:p>
      <w:pPr>
        <w:spacing w:line="720" w:lineRule="exact"/>
        <w:ind w:firstLine="2188" w:firstLineChars="690"/>
        <w:rPr>
          <w:rFonts w:eastAsia="仿宋_GB2312"/>
          <w:sz w:val="32"/>
        </w:rPr>
      </w:pPr>
    </w:p>
    <w:p>
      <w:pPr>
        <w:spacing w:line="348" w:lineRule="auto"/>
        <w:jc w:val="center"/>
        <w:rPr>
          <w:rFonts w:eastAsia="仿宋_GB2312"/>
          <w:sz w:val="32"/>
        </w:rPr>
      </w:pPr>
      <w:r>
        <w:rPr>
          <w:rFonts w:hint="eastAsia" w:eastAsia="仿宋_GB2312"/>
          <w:sz w:val="32"/>
        </w:rPr>
        <w:t>报告日期：</w:t>
      </w:r>
      <w:r>
        <w:rPr>
          <w:rFonts w:hint="eastAsia" w:eastAsia="仿宋_GB2312"/>
          <w:sz w:val="32"/>
          <w:lang w:val="en-US" w:eastAsia="zh-CN"/>
        </w:rPr>
        <w:t>2022</w:t>
      </w:r>
      <w:r>
        <w:rPr>
          <w:rFonts w:hint="eastAsia" w:eastAsia="仿宋_GB2312"/>
          <w:sz w:val="32"/>
        </w:rPr>
        <w:t>年</w:t>
      </w:r>
      <w:r>
        <w:rPr>
          <w:rFonts w:hint="eastAsia" w:eastAsia="仿宋_GB2312"/>
          <w:sz w:val="32"/>
          <w:lang w:val="en-US" w:eastAsia="zh-CN"/>
        </w:rPr>
        <w:t>5</w:t>
      </w:r>
      <w:r>
        <w:rPr>
          <w:rFonts w:hint="eastAsia" w:eastAsia="仿宋_GB2312"/>
          <w:sz w:val="32"/>
        </w:rPr>
        <w:t>月</w:t>
      </w:r>
      <w:r>
        <w:rPr>
          <w:rFonts w:hint="eastAsia" w:eastAsia="仿宋_GB2312"/>
          <w:sz w:val="32"/>
          <w:lang w:val="en-US" w:eastAsia="zh-CN"/>
        </w:rPr>
        <w:t>30</w:t>
      </w:r>
      <w:r>
        <w:rPr>
          <w:rFonts w:hint="eastAsia" w:eastAsia="仿宋_GB2312"/>
          <w:sz w:val="32"/>
        </w:rPr>
        <w:t>日</w:t>
      </w:r>
    </w:p>
    <w:p>
      <w:pPr>
        <w:autoSpaceDN w:val="0"/>
        <w:jc w:val="center"/>
        <w:textAlignment w:val="center"/>
        <w:rPr>
          <w:rFonts w:eastAsia="仿宋_GB2312"/>
          <w:sz w:val="32"/>
          <w:szCs w:val="32"/>
        </w:rPr>
        <w:sectPr>
          <w:headerReference r:id="rId5" w:type="first"/>
          <w:footerReference r:id="rId8" w:type="first"/>
          <w:headerReference r:id="rId3" w:type="default"/>
          <w:footerReference r:id="rId6" w:type="default"/>
          <w:headerReference r:id="rId4" w:type="even"/>
          <w:footerReference r:id="rId7" w:type="even"/>
          <w:pgSz w:w="11906" w:h="16838"/>
          <w:pgMar w:top="1247" w:right="1588" w:bottom="1247" w:left="1588" w:header="851" w:footer="992" w:gutter="0"/>
          <w:pgNumType w:start="1"/>
          <w:cols w:space="720" w:num="1"/>
          <w:docGrid w:type="linesAndChars" w:linePitch="602" w:charSpace="-782"/>
        </w:sectPr>
      </w:pPr>
      <w:r>
        <w:rPr>
          <w:rFonts w:hint="eastAsia" w:eastAsia="仿宋_GB2312"/>
          <w:sz w:val="32"/>
        </w:rPr>
        <w:t>岳阳市财政</w:t>
      </w:r>
      <w:r>
        <w:rPr>
          <w:rFonts w:hint="eastAsia" w:eastAsia="仿宋_GB2312"/>
          <w:sz w:val="32"/>
          <w:szCs w:val="32"/>
        </w:rPr>
        <w:t>局（制）</w:t>
      </w:r>
    </w:p>
    <w:tbl>
      <w:tblPr>
        <w:tblStyle w:val="7"/>
        <w:tblW w:w="999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
      <w:tblGrid>
        <w:gridCol w:w="1441"/>
        <w:gridCol w:w="213"/>
        <w:gridCol w:w="46"/>
        <w:gridCol w:w="1080"/>
        <w:gridCol w:w="210"/>
        <w:gridCol w:w="1145"/>
        <w:gridCol w:w="272"/>
        <w:gridCol w:w="808"/>
        <w:gridCol w:w="1479"/>
        <w:gridCol w:w="101"/>
        <w:gridCol w:w="125"/>
        <w:gridCol w:w="1060"/>
        <w:gridCol w:w="740"/>
        <w:gridCol w:w="139"/>
        <w:gridCol w:w="189"/>
        <w:gridCol w:w="885"/>
        <w:gridCol w:w="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993" w:type="dxa"/>
            <w:gridSpan w:val="17"/>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一、部门（单位）基本概况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联系人</w:t>
            </w:r>
          </w:p>
        </w:tc>
        <w:tc>
          <w:tcPr>
            <w:tcW w:w="3561" w:type="dxa"/>
            <w:gridSpan w:val="6"/>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p>
        </w:tc>
        <w:tc>
          <w:tcPr>
            <w:tcW w:w="1479"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联络电话</w:t>
            </w:r>
          </w:p>
        </w:tc>
        <w:tc>
          <w:tcPr>
            <w:tcW w:w="3299" w:type="dxa"/>
            <w:gridSpan w:val="8"/>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0730-8224907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人员编制</w:t>
            </w:r>
          </w:p>
        </w:tc>
        <w:tc>
          <w:tcPr>
            <w:tcW w:w="3561" w:type="dxa"/>
            <w:gridSpan w:val="6"/>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p>
        </w:tc>
        <w:tc>
          <w:tcPr>
            <w:tcW w:w="1479"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实有人数</w:t>
            </w:r>
          </w:p>
        </w:tc>
        <w:tc>
          <w:tcPr>
            <w:tcW w:w="3299" w:type="dxa"/>
            <w:gridSpan w:val="8"/>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500"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职能职责概述</w:t>
            </w:r>
          </w:p>
        </w:tc>
        <w:tc>
          <w:tcPr>
            <w:tcW w:w="8339" w:type="dxa"/>
            <w:gridSpan w:val="15"/>
            <w:vAlign w:val="center"/>
          </w:tcPr>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（一）</w:t>
            </w:r>
            <w:r>
              <w:rPr>
                <w:rFonts w:hint="eastAsia" w:ascii="仿宋_GB2312" w:hAnsi="仿宋_GB2312" w:eastAsia="仿宋_GB2312" w:cs="仿宋_GB2312"/>
                <w:color w:val="333333"/>
                <w:sz w:val="24"/>
                <w:szCs w:val="24"/>
              </w:rPr>
              <w:tab/>
            </w:r>
            <w:r>
              <w:rPr>
                <w:rFonts w:hint="eastAsia" w:ascii="仿宋_GB2312" w:hAnsi="仿宋_GB2312" w:eastAsia="仿宋_GB2312" w:cs="仿宋_GB2312"/>
                <w:color w:val="333333"/>
                <w:sz w:val="24"/>
                <w:szCs w:val="24"/>
              </w:rPr>
              <w:t>负责市场综合监督管理。</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（二）</w:t>
            </w:r>
            <w:r>
              <w:rPr>
                <w:rFonts w:hint="eastAsia" w:ascii="仿宋_GB2312" w:hAnsi="仿宋_GB2312" w:eastAsia="仿宋_GB2312" w:cs="仿宋_GB2312"/>
                <w:color w:val="333333"/>
                <w:sz w:val="24"/>
                <w:szCs w:val="24"/>
              </w:rPr>
              <w:tab/>
            </w:r>
            <w:r>
              <w:rPr>
                <w:rFonts w:hint="eastAsia" w:ascii="仿宋_GB2312" w:hAnsi="仿宋_GB2312" w:eastAsia="仿宋_GB2312" w:cs="仿宋_GB2312"/>
                <w:color w:val="333333"/>
                <w:sz w:val="24"/>
                <w:szCs w:val="24"/>
              </w:rPr>
              <w:t>负责市场主体统一登记注册工作。</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（三）</w:t>
            </w:r>
            <w:r>
              <w:rPr>
                <w:rFonts w:hint="eastAsia" w:ascii="仿宋_GB2312" w:hAnsi="仿宋_GB2312" w:eastAsia="仿宋_GB2312" w:cs="仿宋_GB2312"/>
                <w:color w:val="333333"/>
                <w:sz w:val="24"/>
                <w:szCs w:val="24"/>
              </w:rPr>
              <w:tab/>
            </w:r>
            <w:r>
              <w:rPr>
                <w:rFonts w:hint="eastAsia" w:ascii="仿宋_GB2312" w:hAnsi="仿宋_GB2312" w:eastAsia="仿宋_GB2312" w:cs="仿宋_GB2312"/>
                <w:color w:val="333333"/>
                <w:sz w:val="24"/>
                <w:szCs w:val="24"/>
              </w:rPr>
              <w:t>负责组织指导市场监管综合执法工作。</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（四）</w:t>
            </w:r>
            <w:r>
              <w:rPr>
                <w:rFonts w:hint="eastAsia" w:ascii="仿宋_GB2312" w:hAnsi="仿宋_GB2312" w:eastAsia="仿宋_GB2312" w:cs="仿宋_GB2312"/>
                <w:color w:val="333333"/>
                <w:sz w:val="24"/>
                <w:szCs w:val="24"/>
              </w:rPr>
              <w:tab/>
            </w:r>
            <w:r>
              <w:rPr>
                <w:rFonts w:hint="eastAsia" w:ascii="仿宋_GB2312" w:hAnsi="仿宋_GB2312" w:eastAsia="仿宋_GB2312" w:cs="仿宋_GB2312"/>
                <w:color w:val="333333"/>
                <w:sz w:val="24"/>
                <w:szCs w:val="24"/>
              </w:rPr>
              <w:t>依委托开展反垄断统一执法调查工作。</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（五）</w:t>
            </w:r>
            <w:r>
              <w:rPr>
                <w:rFonts w:hint="eastAsia" w:ascii="仿宋_GB2312" w:hAnsi="仿宋_GB2312" w:eastAsia="仿宋_GB2312" w:cs="仿宋_GB2312"/>
                <w:color w:val="333333"/>
                <w:sz w:val="24"/>
                <w:szCs w:val="24"/>
              </w:rPr>
              <w:tab/>
            </w:r>
            <w:r>
              <w:rPr>
                <w:rFonts w:hint="eastAsia" w:ascii="仿宋_GB2312" w:hAnsi="仿宋_GB2312" w:eastAsia="仿宋_GB2312" w:cs="仿宋_GB2312"/>
                <w:color w:val="333333"/>
                <w:sz w:val="24"/>
                <w:szCs w:val="24"/>
              </w:rPr>
              <w:t>负责监督管理市场秩序。</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（六）</w:t>
            </w:r>
            <w:r>
              <w:rPr>
                <w:rFonts w:hint="eastAsia" w:ascii="仿宋_GB2312" w:hAnsi="仿宋_GB2312" w:eastAsia="仿宋_GB2312" w:cs="仿宋_GB2312"/>
                <w:color w:val="333333"/>
                <w:sz w:val="24"/>
                <w:szCs w:val="24"/>
              </w:rPr>
              <w:tab/>
            </w:r>
            <w:r>
              <w:rPr>
                <w:rFonts w:hint="eastAsia" w:ascii="仿宋_GB2312" w:hAnsi="仿宋_GB2312" w:eastAsia="仿宋_GB2312" w:cs="仿宋_GB2312"/>
                <w:color w:val="333333"/>
                <w:sz w:val="24"/>
                <w:szCs w:val="24"/>
              </w:rPr>
              <w:t>负责宏观质量管理。</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（七）</w:t>
            </w:r>
            <w:r>
              <w:rPr>
                <w:rFonts w:hint="eastAsia" w:ascii="仿宋_GB2312" w:hAnsi="仿宋_GB2312" w:eastAsia="仿宋_GB2312" w:cs="仿宋_GB2312"/>
                <w:color w:val="333333"/>
                <w:sz w:val="24"/>
                <w:szCs w:val="24"/>
              </w:rPr>
              <w:tab/>
            </w:r>
            <w:r>
              <w:rPr>
                <w:rFonts w:hint="eastAsia" w:ascii="仿宋_GB2312" w:hAnsi="仿宋_GB2312" w:eastAsia="仿宋_GB2312" w:cs="仿宋_GB2312"/>
                <w:color w:val="333333"/>
                <w:sz w:val="24"/>
                <w:szCs w:val="24"/>
              </w:rPr>
              <w:t>负责产品质量安全监督管理。</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（八）负责特种设备安全监督管理。</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（九）负责食品安全监督管理综合协调。</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（十）负责食品安全监督管理。</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（十一）负责统一管理计量工作。</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（十二）负责统一管理标准化工作。</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（十三）负责统一管理检验检测工作。</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（十五）负责市场监督管理、知识产权领域科技和信息化建设、新闻宣传、对外交流与合作。按规定承担技术性贸易措施有关工作。</w:t>
            </w:r>
          </w:p>
          <w:p>
            <w:pPr>
              <w:spacing w:line="320" w:lineRule="exact"/>
              <w:jc w:val="left"/>
              <w:textAlignment w:val="center"/>
              <w:rPr>
                <w:rFonts w:hint="eastAsia" w:ascii="仿宋_GB2312" w:hAnsi="仿宋_GB2312" w:eastAsia="仿宋_GB2312" w:cs="仿宋_GB2312"/>
                <w:color w:val="333333"/>
                <w:sz w:val="24"/>
                <w:szCs w:val="24"/>
                <w:lang w:eastAsia="zh-CN"/>
              </w:rPr>
            </w:pPr>
            <w:r>
              <w:rPr>
                <w:rFonts w:hint="eastAsia" w:ascii="仿宋_GB2312" w:hAnsi="仿宋_GB2312" w:eastAsia="仿宋_GB2312" w:cs="仿宋_GB2312"/>
                <w:color w:val="333333"/>
                <w:sz w:val="24"/>
                <w:szCs w:val="24"/>
              </w:rPr>
              <w:t>（十六）负责实施知识产权战略，推进知识产权强市建设。</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（十七）负责保护知识产权。</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（十八）负责知识产权创造运用。</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（十九）负责组织开展有关商品和服务领域消费维权工作。</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（二十）负责药品（含中药、民族药，下同）、医疗器械和化妆品安全监督管理。</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（二十一）监督实施药品、医疗器械、化妆品标准和分类管理制度，配合有关部门实施国家基本药物制度。</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（二十二）负责权限范围内药品、医疗器械和化妆品质量管理。</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（二十三）负责权限范围内药品、医疗器械和化妆品上市后风险管理。</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（二十四）负责组织实施药品、医疗器械和化妆品监督检查。</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（二十五）负责指导市县市场监督管理部门承担的药品、医疗器械、化妆品有关监督管理工作。</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（二十六）按规定要求，承担对口事业服务机构业务工作的指导、协调和监督职责。</w:t>
            </w:r>
          </w:p>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333333"/>
                <w:sz w:val="24"/>
                <w:szCs w:val="24"/>
              </w:rPr>
              <w:t>（二十七）完成市委、市政府交办的其他任务。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109"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年度主要</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工作内容</w:t>
            </w:r>
          </w:p>
        </w:tc>
        <w:tc>
          <w:tcPr>
            <w:tcW w:w="8339" w:type="dxa"/>
            <w:gridSpan w:val="15"/>
            <w:vAlign w:val="center"/>
          </w:tcPr>
          <w:p>
            <w:pPr>
              <w:autoSpaceDN w:val="0"/>
              <w:spacing w:line="320" w:lineRule="exact"/>
              <w:jc w:val="left"/>
              <w:textAlignment w:val="center"/>
              <w:rPr>
                <w:rFonts w:hint="eastAsia" w:ascii="仿宋_GB2312" w:hAnsi="仿宋_GB2312" w:eastAsia="仿宋_GB2312" w:cs="仿宋_GB2312"/>
                <w:color w:val="000000"/>
                <w:sz w:val="24"/>
                <w:szCs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260"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年度部门（单位）总体运行情况及取得的成绩</w:t>
            </w:r>
          </w:p>
        </w:tc>
        <w:tc>
          <w:tcPr>
            <w:tcW w:w="8339" w:type="dxa"/>
            <w:gridSpan w:val="15"/>
            <w:vAlign w:val="center"/>
          </w:tcPr>
          <w:p>
            <w:pPr>
              <w:autoSpaceDN w:val="0"/>
              <w:spacing w:line="320" w:lineRule="exact"/>
              <w:jc w:val="left"/>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993" w:type="dxa"/>
            <w:gridSpan w:val="17"/>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二、部门（单位）收支情况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993" w:type="dxa"/>
            <w:gridSpan w:val="17"/>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年度收入情况（万元）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机构名称</w:t>
            </w:r>
          </w:p>
        </w:tc>
        <w:tc>
          <w:tcPr>
            <w:tcW w:w="1080" w:type="dxa"/>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收入合计</w:t>
            </w:r>
          </w:p>
        </w:tc>
        <w:tc>
          <w:tcPr>
            <w:tcW w:w="7213" w:type="dxa"/>
            <w:gridSpan w:val="13"/>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014" w:hRule="atLeast"/>
          <w:jc w:val="center"/>
        </w:trPr>
        <w:tc>
          <w:tcPr>
            <w:tcW w:w="1700" w:type="dxa"/>
            <w:gridSpan w:val="3"/>
            <w:vMerge w:val="continue"/>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上年结转</w:t>
            </w: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公共财</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政拨款</w:t>
            </w:r>
          </w:p>
        </w:tc>
        <w:tc>
          <w:tcPr>
            <w:tcW w:w="1705"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政府基金拨款</w:t>
            </w:r>
          </w:p>
        </w:tc>
        <w:tc>
          <w:tcPr>
            <w:tcW w:w="180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纳入专户管理的非税收入拨款</w:t>
            </w:r>
          </w:p>
        </w:tc>
        <w:tc>
          <w:tcPr>
            <w:tcW w:w="1273"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收入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72" w:hRule="atLeast"/>
          <w:jc w:val="center"/>
        </w:trPr>
        <w:tc>
          <w:tcPr>
            <w:tcW w:w="1700"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局机关及二级机构汇总</w:t>
            </w:r>
          </w:p>
        </w:tc>
        <w:tc>
          <w:tcPr>
            <w:tcW w:w="1080" w:type="dxa"/>
            <w:tcBorders>
              <w:right w:val="single" w:color="auto" w:sz="4" w:space="0"/>
            </w:tcBorders>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p>
        </w:tc>
        <w:tc>
          <w:tcPr>
            <w:tcW w:w="1355" w:type="dxa"/>
            <w:gridSpan w:val="2"/>
            <w:tcBorders>
              <w:left w:val="single" w:color="auto" w:sz="4" w:space="0"/>
            </w:tcBorders>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p>
        </w:tc>
        <w:tc>
          <w:tcPr>
            <w:tcW w:w="1080" w:type="dxa"/>
            <w:gridSpan w:val="2"/>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p>
        </w:tc>
        <w:tc>
          <w:tcPr>
            <w:tcW w:w="1705" w:type="dxa"/>
            <w:gridSpan w:val="3"/>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80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273" w:type="dxa"/>
            <w:gridSpan w:val="4"/>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Align w:val="center"/>
          </w:tcPr>
          <w:p>
            <w:pPr>
              <w:spacing w:line="320" w:lineRule="exac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1、局机关</w:t>
            </w:r>
          </w:p>
        </w:tc>
        <w:tc>
          <w:tcPr>
            <w:tcW w:w="1080" w:type="dxa"/>
            <w:tcBorders>
              <w:right w:val="single" w:color="auto" w:sz="4" w:space="0"/>
            </w:tcBorders>
            <w:vAlign w:val="center"/>
          </w:tcPr>
          <w:p>
            <w:pPr>
              <w:autoSpaceDN w:val="0"/>
              <w:spacing w:line="320" w:lineRule="exact"/>
              <w:jc w:val="left"/>
              <w:textAlignment w:val="center"/>
              <w:rPr>
                <w:rFonts w:hint="default" w:ascii="仿宋_GB2312" w:hAnsi="仿宋_GB2312" w:eastAsia="仿宋_GB2312" w:cs="仿宋_GB2312"/>
                <w:color w:val="000000"/>
                <w:kern w:val="2"/>
                <w:sz w:val="24"/>
                <w:szCs w:val="24"/>
                <w:lang w:val="en-US" w:eastAsia="zh-CN" w:bidi="ar-SA"/>
              </w:rPr>
            </w:pPr>
          </w:p>
        </w:tc>
        <w:tc>
          <w:tcPr>
            <w:tcW w:w="1355" w:type="dxa"/>
            <w:gridSpan w:val="2"/>
            <w:tcBorders>
              <w:left w:val="single" w:color="auto" w:sz="4" w:space="0"/>
            </w:tcBorders>
            <w:vAlign w:val="center"/>
          </w:tcPr>
          <w:p>
            <w:pPr>
              <w:autoSpaceDN w:val="0"/>
              <w:spacing w:line="320" w:lineRule="exact"/>
              <w:jc w:val="left"/>
              <w:textAlignment w:val="center"/>
              <w:rPr>
                <w:rFonts w:hint="default" w:ascii="仿宋_GB2312" w:hAnsi="仿宋_GB2312" w:eastAsia="仿宋_GB2312" w:cs="仿宋_GB2312"/>
                <w:color w:val="000000"/>
                <w:kern w:val="2"/>
                <w:sz w:val="24"/>
                <w:szCs w:val="24"/>
                <w:lang w:val="en-US" w:eastAsia="zh-CN" w:bidi="ar-SA"/>
              </w:rPr>
            </w:pPr>
          </w:p>
        </w:tc>
        <w:tc>
          <w:tcPr>
            <w:tcW w:w="1080" w:type="dxa"/>
            <w:gridSpan w:val="2"/>
            <w:vAlign w:val="center"/>
          </w:tcPr>
          <w:p>
            <w:pPr>
              <w:autoSpaceDN w:val="0"/>
              <w:spacing w:line="320" w:lineRule="exact"/>
              <w:jc w:val="left"/>
              <w:textAlignment w:val="center"/>
              <w:rPr>
                <w:rFonts w:hint="default" w:ascii="仿宋_GB2312" w:hAnsi="仿宋_GB2312" w:eastAsia="仿宋_GB2312" w:cs="仿宋_GB2312"/>
                <w:color w:val="000000"/>
                <w:kern w:val="2"/>
                <w:sz w:val="24"/>
                <w:szCs w:val="24"/>
                <w:lang w:val="en-US" w:eastAsia="zh-CN" w:bidi="ar-SA"/>
              </w:rPr>
            </w:pPr>
          </w:p>
        </w:tc>
        <w:tc>
          <w:tcPr>
            <w:tcW w:w="1705" w:type="dxa"/>
            <w:gridSpan w:val="3"/>
            <w:vAlign w:val="center"/>
          </w:tcPr>
          <w:p>
            <w:pPr>
              <w:autoSpaceDN w:val="0"/>
              <w:spacing w:line="320" w:lineRule="exact"/>
              <w:jc w:val="left"/>
              <w:textAlignment w:val="center"/>
              <w:rPr>
                <w:rFonts w:hint="eastAsia" w:ascii="仿宋_GB2312" w:hAnsi="仿宋_GB2312" w:eastAsia="仿宋_GB2312" w:cs="仿宋_GB2312"/>
                <w:color w:val="000000"/>
                <w:kern w:val="2"/>
                <w:sz w:val="24"/>
                <w:szCs w:val="24"/>
                <w:lang w:val="en-US" w:eastAsia="zh-CN" w:bidi="ar-SA"/>
              </w:rPr>
            </w:pPr>
          </w:p>
        </w:tc>
        <w:tc>
          <w:tcPr>
            <w:tcW w:w="1800" w:type="dxa"/>
            <w:gridSpan w:val="2"/>
            <w:vAlign w:val="center"/>
          </w:tcPr>
          <w:p>
            <w:pPr>
              <w:autoSpaceDN w:val="0"/>
              <w:spacing w:line="320" w:lineRule="exact"/>
              <w:jc w:val="center"/>
              <w:textAlignment w:val="center"/>
              <w:rPr>
                <w:rFonts w:ascii="仿宋_GB2312" w:hAnsi="仿宋_GB2312" w:eastAsia="仿宋_GB2312" w:cs="仿宋_GB2312"/>
                <w:color w:val="000000"/>
                <w:kern w:val="2"/>
                <w:sz w:val="24"/>
                <w:szCs w:val="24"/>
                <w:lang w:val="en-US" w:eastAsia="zh-CN" w:bidi="ar-SA"/>
              </w:rPr>
            </w:pPr>
          </w:p>
        </w:tc>
        <w:tc>
          <w:tcPr>
            <w:tcW w:w="1273" w:type="dxa"/>
            <w:gridSpan w:val="4"/>
            <w:vAlign w:val="center"/>
          </w:tcPr>
          <w:p>
            <w:pPr>
              <w:autoSpaceDN w:val="0"/>
              <w:spacing w:line="320" w:lineRule="exact"/>
              <w:jc w:val="left"/>
              <w:textAlignment w:val="center"/>
              <w:rPr>
                <w:rFonts w:hint="default" w:ascii="仿宋_GB2312" w:hAnsi="仿宋_GB2312" w:eastAsia="仿宋_GB2312" w:cs="仿宋_GB2312"/>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Align w:val="center"/>
          </w:tcPr>
          <w:p>
            <w:pPr>
              <w:spacing w:line="320" w:lineRule="exact"/>
              <w:jc w:val="left"/>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sz w:val="24"/>
                <w:lang w:val="en-US" w:eastAsia="zh-CN"/>
              </w:rPr>
              <w:t>2</w:t>
            </w:r>
            <w:r>
              <w:rPr>
                <w:rFonts w:hint="eastAsia" w:ascii="仿宋_GB2312" w:hAnsi="仿宋_GB2312" w:eastAsia="仿宋_GB2312" w:cs="仿宋_GB2312"/>
                <w:sz w:val="24"/>
              </w:rPr>
              <w:t>、</w:t>
            </w:r>
            <w:r>
              <w:rPr>
                <w:rFonts w:hint="eastAsia" w:ascii="仿宋_GB2312" w:hAnsi="仿宋_GB2312" w:eastAsia="仿宋_GB2312" w:cs="仿宋_GB2312"/>
                <w:sz w:val="24"/>
                <w:lang w:eastAsia="zh-CN"/>
              </w:rPr>
              <w:t>经开区分局</w:t>
            </w:r>
          </w:p>
        </w:tc>
        <w:tc>
          <w:tcPr>
            <w:tcW w:w="108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c>
          <w:tcPr>
            <w:tcW w:w="1355"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c>
          <w:tcPr>
            <w:tcW w:w="1080" w:type="dxa"/>
            <w:gridSpan w:val="2"/>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c>
          <w:tcPr>
            <w:tcW w:w="1705" w:type="dxa"/>
            <w:gridSpan w:val="3"/>
            <w:vAlign w:val="center"/>
          </w:tcPr>
          <w:p>
            <w:pPr>
              <w:autoSpaceDN w:val="0"/>
              <w:spacing w:line="320" w:lineRule="exact"/>
              <w:jc w:val="center"/>
              <w:textAlignment w:val="center"/>
              <w:rPr>
                <w:rFonts w:ascii="仿宋_GB2312" w:hAnsi="仿宋_GB2312" w:eastAsia="仿宋_GB2312" w:cs="仿宋_GB2312"/>
                <w:color w:val="000000"/>
                <w:kern w:val="2"/>
                <w:sz w:val="24"/>
                <w:szCs w:val="24"/>
                <w:lang w:val="en-US" w:eastAsia="zh-CN" w:bidi="ar-SA"/>
              </w:rPr>
            </w:pPr>
          </w:p>
        </w:tc>
        <w:tc>
          <w:tcPr>
            <w:tcW w:w="1800" w:type="dxa"/>
            <w:gridSpan w:val="2"/>
            <w:vAlign w:val="center"/>
          </w:tcPr>
          <w:p>
            <w:pPr>
              <w:autoSpaceDN w:val="0"/>
              <w:spacing w:line="320" w:lineRule="exact"/>
              <w:jc w:val="center"/>
              <w:textAlignment w:val="center"/>
              <w:rPr>
                <w:rFonts w:ascii="仿宋_GB2312" w:hAnsi="仿宋_GB2312" w:eastAsia="仿宋_GB2312" w:cs="仿宋_GB2312"/>
                <w:color w:val="000000"/>
                <w:kern w:val="2"/>
                <w:sz w:val="24"/>
                <w:szCs w:val="24"/>
                <w:lang w:val="en-US" w:eastAsia="zh-CN" w:bidi="ar-SA"/>
              </w:rPr>
            </w:pPr>
          </w:p>
        </w:tc>
        <w:tc>
          <w:tcPr>
            <w:tcW w:w="1273" w:type="dxa"/>
            <w:gridSpan w:val="4"/>
            <w:vAlign w:val="center"/>
          </w:tcPr>
          <w:p>
            <w:pPr>
              <w:autoSpaceDN w:val="0"/>
              <w:spacing w:line="320" w:lineRule="exact"/>
              <w:jc w:val="both"/>
              <w:textAlignment w:val="center"/>
              <w:rPr>
                <w:rFonts w:hint="default" w:ascii="仿宋_GB2312" w:hAnsi="仿宋_GB2312" w:eastAsia="仿宋_GB2312" w:cs="仿宋_GB2312"/>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Align w:val="center"/>
          </w:tcPr>
          <w:p>
            <w:pPr>
              <w:spacing w:line="320" w:lineRule="exact"/>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3、南湖分局</w:t>
            </w:r>
          </w:p>
        </w:tc>
        <w:tc>
          <w:tcPr>
            <w:tcW w:w="1080" w:type="dxa"/>
            <w:tcBorders>
              <w:right w:val="single" w:color="auto" w:sz="4" w:space="0"/>
            </w:tcBorders>
            <w:vAlign w:val="center"/>
          </w:tcPr>
          <w:p>
            <w:pPr>
              <w:autoSpaceDN w:val="0"/>
              <w:spacing w:line="320" w:lineRule="exact"/>
              <w:jc w:val="left"/>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1161.14</w:t>
            </w:r>
          </w:p>
        </w:tc>
        <w:tc>
          <w:tcPr>
            <w:tcW w:w="1355" w:type="dxa"/>
            <w:gridSpan w:val="2"/>
            <w:tcBorders>
              <w:left w:val="single" w:color="auto" w:sz="4" w:space="0"/>
            </w:tcBorders>
            <w:vAlign w:val="center"/>
          </w:tcPr>
          <w:p>
            <w:pPr>
              <w:autoSpaceDN w:val="0"/>
              <w:spacing w:line="320" w:lineRule="exact"/>
              <w:jc w:val="left"/>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150.20</w:t>
            </w:r>
          </w:p>
        </w:tc>
        <w:tc>
          <w:tcPr>
            <w:tcW w:w="1080" w:type="dxa"/>
            <w:gridSpan w:val="2"/>
            <w:vAlign w:val="center"/>
          </w:tcPr>
          <w:p>
            <w:pPr>
              <w:autoSpaceDN w:val="0"/>
              <w:spacing w:line="320" w:lineRule="exact"/>
              <w:jc w:val="left"/>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843.15</w:t>
            </w:r>
          </w:p>
        </w:tc>
        <w:tc>
          <w:tcPr>
            <w:tcW w:w="1705" w:type="dxa"/>
            <w:gridSpan w:val="3"/>
            <w:vAlign w:val="center"/>
          </w:tcPr>
          <w:p>
            <w:pPr>
              <w:autoSpaceDN w:val="0"/>
              <w:spacing w:line="320" w:lineRule="exact"/>
              <w:jc w:val="left"/>
              <w:textAlignment w:val="center"/>
              <w:rPr>
                <w:rFonts w:ascii="仿宋_GB2312" w:hAnsi="仿宋_GB2312" w:eastAsia="仿宋_GB2312" w:cs="仿宋_GB2312"/>
                <w:color w:val="000000"/>
                <w:kern w:val="2"/>
                <w:sz w:val="24"/>
                <w:szCs w:val="24"/>
                <w:lang w:val="en-US" w:eastAsia="zh-CN" w:bidi="ar-SA"/>
              </w:rPr>
            </w:pPr>
          </w:p>
        </w:tc>
        <w:tc>
          <w:tcPr>
            <w:tcW w:w="1800" w:type="dxa"/>
            <w:gridSpan w:val="2"/>
            <w:vAlign w:val="center"/>
          </w:tcPr>
          <w:p>
            <w:pPr>
              <w:autoSpaceDN w:val="0"/>
              <w:spacing w:line="320" w:lineRule="exact"/>
              <w:jc w:val="center"/>
              <w:textAlignment w:val="center"/>
              <w:rPr>
                <w:rFonts w:ascii="仿宋_GB2312" w:hAnsi="仿宋_GB2312" w:eastAsia="仿宋_GB2312" w:cs="仿宋_GB2312"/>
                <w:color w:val="000000"/>
                <w:kern w:val="2"/>
                <w:sz w:val="24"/>
                <w:szCs w:val="24"/>
                <w:lang w:val="en-US" w:eastAsia="zh-CN" w:bidi="ar-SA"/>
              </w:rPr>
            </w:pPr>
          </w:p>
        </w:tc>
        <w:tc>
          <w:tcPr>
            <w:tcW w:w="1273" w:type="dxa"/>
            <w:gridSpan w:val="4"/>
            <w:vAlign w:val="center"/>
          </w:tcPr>
          <w:p>
            <w:pPr>
              <w:autoSpaceDN w:val="0"/>
              <w:spacing w:line="320" w:lineRule="exact"/>
              <w:jc w:val="left"/>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317.99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Align w:val="center"/>
          </w:tcPr>
          <w:p>
            <w:pPr>
              <w:spacing w:line="320" w:lineRule="exact"/>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4、城陵矶新港区分局</w:t>
            </w:r>
          </w:p>
        </w:tc>
        <w:tc>
          <w:tcPr>
            <w:tcW w:w="1080" w:type="dxa"/>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355" w:type="dxa"/>
            <w:gridSpan w:val="2"/>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0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705" w:type="dxa"/>
            <w:gridSpan w:val="3"/>
            <w:vAlign w:val="center"/>
          </w:tcPr>
          <w:p>
            <w:pPr>
              <w:autoSpaceDN w:val="0"/>
              <w:spacing w:line="320" w:lineRule="exact"/>
              <w:jc w:val="center"/>
              <w:textAlignment w:val="center"/>
              <w:rPr>
                <w:rFonts w:ascii="仿宋_GB2312" w:hAnsi="仿宋_GB2312" w:eastAsia="仿宋_GB2312" w:cs="仿宋_GB2312"/>
                <w:color w:val="000000"/>
                <w:kern w:val="2"/>
                <w:sz w:val="24"/>
                <w:szCs w:val="24"/>
                <w:lang w:val="en-US" w:eastAsia="zh-CN" w:bidi="ar-SA"/>
              </w:rPr>
            </w:pPr>
          </w:p>
        </w:tc>
        <w:tc>
          <w:tcPr>
            <w:tcW w:w="1800" w:type="dxa"/>
            <w:gridSpan w:val="2"/>
            <w:vAlign w:val="center"/>
          </w:tcPr>
          <w:p>
            <w:pPr>
              <w:autoSpaceDN w:val="0"/>
              <w:spacing w:line="320" w:lineRule="exact"/>
              <w:jc w:val="center"/>
              <w:textAlignment w:val="center"/>
              <w:rPr>
                <w:rFonts w:ascii="仿宋_GB2312" w:hAnsi="仿宋_GB2312" w:eastAsia="仿宋_GB2312" w:cs="仿宋_GB2312"/>
                <w:color w:val="000000"/>
                <w:kern w:val="2"/>
                <w:sz w:val="24"/>
                <w:szCs w:val="24"/>
                <w:lang w:val="en-US" w:eastAsia="zh-CN" w:bidi="ar-SA"/>
              </w:rPr>
            </w:pPr>
          </w:p>
        </w:tc>
        <w:tc>
          <w:tcPr>
            <w:tcW w:w="1273" w:type="dxa"/>
            <w:gridSpan w:val="4"/>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Align w:val="center"/>
          </w:tcPr>
          <w:p>
            <w:pPr>
              <w:spacing w:line="320" w:lineRule="exact"/>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5、综合行政执法支队</w:t>
            </w:r>
          </w:p>
        </w:tc>
        <w:tc>
          <w:tcPr>
            <w:tcW w:w="1080" w:type="dxa"/>
            <w:tcBorders>
              <w:right w:val="single" w:color="auto" w:sz="4" w:space="0"/>
            </w:tcBorders>
            <w:vAlign w:val="center"/>
          </w:tcPr>
          <w:p>
            <w:pPr>
              <w:autoSpaceDN w:val="0"/>
              <w:spacing w:line="320" w:lineRule="exact"/>
              <w:jc w:val="left"/>
              <w:textAlignment w:val="center"/>
              <w:rPr>
                <w:rFonts w:hint="eastAsia" w:ascii="仿宋_GB2312" w:hAnsi="仿宋_GB2312" w:eastAsia="仿宋_GB2312" w:cs="仿宋_GB2312"/>
                <w:color w:val="000000"/>
                <w:kern w:val="2"/>
                <w:sz w:val="24"/>
                <w:szCs w:val="24"/>
                <w:lang w:val="en-US" w:eastAsia="zh-CN" w:bidi="ar-SA"/>
              </w:rPr>
            </w:pPr>
          </w:p>
        </w:tc>
        <w:tc>
          <w:tcPr>
            <w:tcW w:w="1355" w:type="dxa"/>
            <w:gridSpan w:val="2"/>
            <w:tcBorders>
              <w:left w:val="single" w:color="auto" w:sz="4" w:space="0"/>
            </w:tcBorders>
            <w:vAlign w:val="center"/>
          </w:tcPr>
          <w:p>
            <w:pPr>
              <w:autoSpaceDN w:val="0"/>
              <w:spacing w:line="320" w:lineRule="exact"/>
              <w:jc w:val="left"/>
              <w:textAlignment w:val="center"/>
              <w:rPr>
                <w:rFonts w:hint="eastAsia" w:ascii="仿宋_GB2312" w:hAnsi="仿宋_GB2312" w:eastAsia="仿宋_GB2312" w:cs="仿宋_GB2312"/>
                <w:color w:val="000000"/>
                <w:kern w:val="2"/>
                <w:sz w:val="24"/>
                <w:szCs w:val="24"/>
                <w:lang w:val="en-US" w:eastAsia="zh-CN" w:bidi="ar-SA"/>
              </w:rPr>
            </w:pPr>
          </w:p>
        </w:tc>
        <w:tc>
          <w:tcPr>
            <w:tcW w:w="1080" w:type="dxa"/>
            <w:gridSpan w:val="2"/>
            <w:vAlign w:val="center"/>
          </w:tcPr>
          <w:p>
            <w:pPr>
              <w:autoSpaceDN w:val="0"/>
              <w:spacing w:line="320" w:lineRule="exact"/>
              <w:jc w:val="left"/>
              <w:textAlignment w:val="center"/>
              <w:rPr>
                <w:rFonts w:hint="eastAsia" w:ascii="仿宋_GB2312" w:hAnsi="仿宋_GB2312" w:eastAsia="仿宋_GB2312" w:cs="仿宋_GB2312"/>
                <w:color w:val="000000"/>
                <w:kern w:val="2"/>
                <w:sz w:val="24"/>
                <w:szCs w:val="24"/>
                <w:lang w:val="en-US" w:eastAsia="zh-CN" w:bidi="ar-SA"/>
              </w:rPr>
            </w:pPr>
          </w:p>
        </w:tc>
        <w:tc>
          <w:tcPr>
            <w:tcW w:w="1705" w:type="dxa"/>
            <w:gridSpan w:val="3"/>
            <w:vAlign w:val="center"/>
          </w:tcPr>
          <w:p>
            <w:pPr>
              <w:autoSpaceDN w:val="0"/>
              <w:spacing w:line="320" w:lineRule="exact"/>
              <w:jc w:val="center"/>
              <w:textAlignment w:val="center"/>
              <w:rPr>
                <w:rFonts w:ascii="仿宋_GB2312" w:hAnsi="仿宋_GB2312" w:eastAsia="仿宋_GB2312" w:cs="仿宋_GB2312"/>
                <w:color w:val="000000"/>
                <w:kern w:val="2"/>
                <w:sz w:val="24"/>
                <w:szCs w:val="24"/>
                <w:lang w:val="en-US" w:eastAsia="zh-CN" w:bidi="ar-SA"/>
              </w:rPr>
            </w:pPr>
          </w:p>
        </w:tc>
        <w:tc>
          <w:tcPr>
            <w:tcW w:w="1800" w:type="dxa"/>
            <w:gridSpan w:val="2"/>
            <w:vAlign w:val="center"/>
          </w:tcPr>
          <w:p>
            <w:pPr>
              <w:autoSpaceDN w:val="0"/>
              <w:spacing w:line="320" w:lineRule="exact"/>
              <w:jc w:val="center"/>
              <w:textAlignment w:val="center"/>
              <w:rPr>
                <w:rFonts w:ascii="仿宋_GB2312" w:hAnsi="仿宋_GB2312" w:eastAsia="仿宋_GB2312" w:cs="仿宋_GB2312"/>
                <w:color w:val="000000"/>
                <w:kern w:val="2"/>
                <w:sz w:val="24"/>
                <w:szCs w:val="24"/>
                <w:lang w:val="en-US" w:eastAsia="zh-CN" w:bidi="ar-SA"/>
              </w:rPr>
            </w:pPr>
          </w:p>
        </w:tc>
        <w:tc>
          <w:tcPr>
            <w:tcW w:w="1273" w:type="dxa"/>
            <w:gridSpan w:val="4"/>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Align w:val="center"/>
          </w:tcPr>
          <w:p>
            <w:pPr>
              <w:spacing w:line="320" w:lineRule="exact"/>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6、检验检测中心</w:t>
            </w:r>
          </w:p>
        </w:tc>
        <w:tc>
          <w:tcPr>
            <w:tcW w:w="1080" w:type="dxa"/>
            <w:tcBorders>
              <w:right w:val="single" w:color="auto" w:sz="4" w:space="0"/>
            </w:tcBorders>
            <w:vAlign w:val="center"/>
          </w:tcPr>
          <w:p>
            <w:pPr>
              <w:autoSpaceDN w:val="0"/>
              <w:spacing w:line="320" w:lineRule="exact"/>
              <w:jc w:val="left"/>
              <w:textAlignment w:val="center"/>
              <w:rPr>
                <w:rFonts w:hint="default" w:ascii="仿宋_GB2312" w:hAnsi="仿宋_GB2312" w:eastAsia="仿宋_GB2312" w:cs="仿宋_GB2312"/>
                <w:color w:val="000000"/>
                <w:kern w:val="2"/>
                <w:sz w:val="24"/>
                <w:szCs w:val="24"/>
                <w:lang w:val="en-US" w:eastAsia="zh-CN" w:bidi="ar-SA"/>
              </w:rPr>
            </w:pPr>
          </w:p>
        </w:tc>
        <w:tc>
          <w:tcPr>
            <w:tcW w:w="1355" w:type="dxa"/>
            <w:gridSpan w:val="2"/>
            <w:tcBorders>
              <w:left w:val="single" w:color="auto" w:sz="4" w:space="0"/>
            </w:tcBorders>
            <w:vAlign w:val="center"/>
          </w:tcPr>
          <w:p>
            <w:pPr>
              <w:autoSpaceDN w:val="0"/>
              <w:spacing w:line="320" w:lineRule="exact"/>
              <w:jc w:val="left"/>
              <w:textAlignment w:val="center"/>
              <w:rPr>
                <w:rFonts w:hint="default" w:ascii="仿宋_GB2312" w:hAnsi="仿宋_GB2312" w:eastAsia="仿宋_GB2312" w:cs="仿宋_GB2312"/>
                <w:color w:val="000000"/>
                <w:kern w:val="2"/>
                <w:sz w:val="24"/>
                <w:szCs w:val="24"/>
                <w:lang w:val="en-US" w:eastAsia="zh-CN" w:bidi="ar-SA"/>
              </w:rPr>
            </w:pPr>
          </w:p>
        </w:tc>
        <w:tc>
          <w:tcPr>
            <w:tcW w:w="1080" w:type="dxa"/>
            <w:gridSpan w:val="2"/>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c>
          <w:tcPr>
            <w:tcW w:w="1705" w:type="dxa"/>
            <w:gridSpan w:val="3"/>
            <w:vAlign w:val="center"/>
          </w:tcPr>
          <w:p>
            <w:pPr>
              <w:autoSpaceDN w:val="0"/>
              <w:spacing w:line="320" w:lineRule="exact"/>
              <w:jc w:val="left"/>
              <w:textAlignment w:val="center"/>
              <w:rPr>
                <w:rFonts w:hint="default" w:ascii="仿宋_GB2312" w:hAnsi="仿宋_GB2312" w:eastAsia="仿宋_GB2312" w:cs="仿宋_GB2312"/>
                <w:color w:val="000000"/>
                <w:kern w:val="2"/>
                <w:sz w:val="24"/>
                <w:szCs w:val="24"/>
                <w:lang w:val="en-US" w:eastAsia="zh-CN" w:bidi="ar-SA"/>
              </w:rPr>
            </w:pPr>
          </w:p>
        </w:tc>
        <w:tc>
          <w:tcPr>
            <w:tcW w:w="1800" w:type="dxa"/>
            <w:gridSpan w:val="2"/>
            <w:vAlign w:val="center"/>
          </w:tcPr>
          <w:p>
            <w:pPr>
              <w:autoSpaceDN w:val="0"/>
              <w:spacing w:line="320" w:lineRule="exact"/>
              <w:jc w:val="center"/>
              <w:textAlignment w:val="center"/>
              <w:rPr>
                <w:rFonts w:ascii="仿宋_GB2312" w:hAnsi="仿宋_GB2312" w:eastAsia="仿宋_GB2312" w:cs="仿宋_GB2312"/>
                <w:color w:val="000000"/>
                <w:kern w:val="2"/>
                <w:sz w:val="24"/>
                <w:szCs w:val="24"/>
                <w:lang w:val="en-US" w:eastAsia="zh-CN" w:bidi="ar-SA"/>
              </w:rPr>
            </w:pPr>
          </w:p>
        </w:tc>
        <w:tc>
          <w:tcPr>
            <w:tcW w:w="1273" w:type="dxa"/>
            <w:gridSpan w:val="4"/>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9993" w:type="dxa"/>
            <w:gridSpan w:val="17"/>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部门（单位）年度支出和结余情况（万元）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restart"/>
            <w:vAlign w:val="center"/>
          </w:tcPr>
          <w:p>
            <w:pPr>
              <w:snapToGrid w:val="0"/>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机构名称</w:t>
            </w:r>
          </w:p>
        </w:tc>
        <w:tc>
          <w:tcPr>
            <w:tcW w:w="1080" w:type="dxa"/>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支出合计</w:t>
            </w:r>
          </w:p>
        </w:tc>
        <w:tc>
          <w:tcPr>
            <w:tcW w:w="5200" w:type="dxa"/>
            <w:gridSpan w:val="8"/>
            <w:tcBorders>
              <w:left w:val="single" w:color="auto" w:sz="4" w:space="0"/>
              <w:bottom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2013" w:type="dxa"/>
            <w:gridSpan w:val="5"/>
            <w:tcBorders>
              <w:left w:val="single" w:color="auto" w:sz="4" w:space="0"/>
              <w:bottom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vAlign w:val="center"/>
          </w:tcPr>
          <w:p>
            <w:pPr>
              <w:spacing w:line="320" w:lineRule="exact"/>
              <w:jc w:val="center"/>
              <w:rPr>
                <w:rFonts w:ascii="仿宋_GB2312" w:hAnsi="仿宋_GB2312" w:eastAsia="仿宋_GB2312" w:cs="仿宋_GB2312"/>
                <w:sz w:val="24"/>
              </w:rPr>
            </w:pPr>
          </w:p>
        </w:tc>
        <w:tc>
          <w:tcPr>
            <w:tcW w:w="1080" w:type="dxa"/>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vMerge w:val="restart"/>
            <w:tcBorders>
              <w:top w:val="single" w:color="auto" w:sz="4" w:space="0"/>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基本支出</w:t>
            </w:r>
          </w:p>
        </w:tc>
        <w:tc>
          <w:tcPr>
            <w:tcW w:w="2660" w:type="dxa"/>
            <w:gridSpan w:val="4"/>
            <w:tcBorders>
              <w:top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1185" w:type="dxa"/>
            <w:gridSpan w:val="2"/>
            <w:vMerge w:val="restart"/>
            <w:tcBorders>
              <w:top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项目支出</w:t>
            </w:r>
          </w:p>
        </w:tc>
        <w:tc>
          <w:tcPr>
            <w:tcW w:w="1068" w:type="dxa"/>
            <w:gridSpan w:val="3"/>
            <w:vMerge w:val="restart"/>
            <w:tcBorders>
              <w:top w:val="single" w:color="auto" w:sz="4" w:space="0"/>
              <w:left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当年结余</w:t>
            </w:r>
          </w:p>
        </w:tc>
        <w:tc>
          <w:tcPr>
            <w:tcW w:w="945" w:type="dxa"/>
            <w:gridSpan w:val="2"/>
            <w:vMerge w:val="restart"/>
            <w:tcBorders>
              <w:top w:val="single" w:color="auto" w:sz="4" w:space="0"/>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累计结余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vAlign w:val="center"/>
          </w:tcPr>
          <w:p>
            <w:pPr>
              <w:spacing w:line="320" w:lineRule="exact"/>
              <w:jc w:val="center"/>
              <w:rPr>
                <w:rFonts w:ascii="仿宋_GB2312" w:hAnsi="仿宋_GB2312" w:eastAsia="仿宋_GB2312" w:cs="仿宋_GB2312"/>
                <w:sz w:val="24"/>
              </w:rPr>
            </w:pPr>
          </w:p>
        </w:tc>
        <w:tc>
          <w:tcPr>
            <w:tcW w:w="1080" w:type="dxa"/>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vMerge w:val="continue"/>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人员支出</w:t>
            </w:r>
          </w:p>
        </w:tc>
        <w:tc>
          <w:tcPr>
            <w:tcW w:w="15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公用支出</w:t>
            </w:r>
          </w:p>
        </w:tc>
        <w:tc>
          <w:tcPr>
            <w:tcW w:w="1185" w:type="dxa"/>
            <w:gridSpan w:val="2"/>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68" w:type="dxa"/>
            <w:gridSpan w:val="3"/>
            <w:vMerge w:val="continue"/>
            <w:tcBorders>
              <w:left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945" w:type="dxa"/>
            <w:gridSpan w:val="2"/>
            <w:vMerge w:val="continue"/>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77" w:hRule="atLeast"/>
          <w:jc w:val="center"/>
        </w:trPr>
        <w:tc>
          <w:tcPr>
            <w:tcW w:w="1700" w:type="dxa"/>
            <w:gridSpan w:val="3"/>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color w:val="000000"/>
                <w:sz w:val="24"/>
              </w:rPr>
              <w:t>局机关及二级机构汇总</w:t>
            </w:r>
          </w:p>
        </w:tc>
        <w:tc>
          <w:tcPr>
            <w:tcW w:w="1080" w:type="dxa"/>
            <w:tcBorders>
              <w:right w:val="single" w:color="auto" w:sz="4" w:space="0"/>
            </w:tcBorders>
            <w:vAlign w:val="center"/>
          </w:tcPr>
          <w:p>
            <w:pPr>
              <w:keepNext w:val="0"/>
              <w:keepLines w:val="0"/>
              <w:widowControl/>
              <w:suppressLineNumbers w:val="0"/>
              <w:jc w:val="right"/>
              <w:textAlignment w:val="center"/>
              <w:rPr>
                <w:rFonts w:ascii="仿宋_GB2312" w:hAnsi="仿宋_GB2312" w:eastAsia="仿宋_GB2312" w:cs="仿宋_GB2312"/>
                <w:color w:val="000000"/>
                <w:sz w:val="24"/>
              </w:rPr>
            </w:pPr>
          </w:p>
        </w:tc>
        <w:tc>
          <w:tcPr>
            <w:tcW w:w="1355" w:type="dxa"/>
            <w:gridSpan w:val="2"/>
            <w:tcBorders>
              <w:left w:val="single" w:color="auto" w:sz="4" w:space="0"/>
            </w:tcBorders>
            <w:vAlign w:val="center"/>
          </w:tcPr>
          <w:p>
            <w:pPr>
              <w:keepNext w:val="0"/>
              <w:keepLines w:val="0"/>
              <w:widowControl/>
              <w:suppressLineNumbers w:val="0"/>
              <w:jc w:val="right"/>
              <w:textAlignment w:val="center"/>
              <w:rPr>
                <w:rFonts w:ascii="仿宋_GB2312" w:hAnsi="仿宋_GB2312" w:eastAsia="仿宋_GB2312" w:cs="仿宋_GB2312"/>
                <w:color w:val="000000"/>
                <w:sz w:val="24"/>
              </w:rPr>
            </w:pPr>
          </w:p>
        </w:tc>
        <w:tc>
          <w:tcPr>
            <w:tcW w:w="1080" w:type="dxa"/>
            <w:gridSpan w:val="2"/>
            <w:vAlign w:val="center"/>
          </w:tcPr>
          <w:p>
            <w:pPr>
              <w:keepNext w:val="0"/>
              <w:keepLines w:val="0"/>
              <w:widowControl/>
              <w:suppressLineNumbers w:val="0"/>
              <w:jc w:val="right"/>
              <w:textAlignment w:val="center"/>
              <w:rPr>
                <w:rFonts w:ascii="仿宋_GB2312" w:hAnsi="仿宋_GB2312" w:eastAsia="仿宋_GB2312" w:cs="仿宋_GB2312"/>
                <w:color w:val="000000"/>
                <w:sz w:val="24"/>
              </w:rPr>
            </w:pPr>
          </w:p>
        </w:tc>
        <w:tc>
          <w:tcPr>
            <w:tcW w:w="1580" w:type="dxa"/>
            <w:gridSpan w:val="2"/>
            <w:vAlign w:val="center"/>
          </w:tcPr>
          <w:p>
            <w:pPr>
              <w:keepNext w:val="0"/>
              <w:keepLines w:val="0"/>
              <w:widowControl/>
              <w:suppressLineNumbers w:val="0"/>
              <w:jc w:val="right"/>
              <w:textAlignment w:val="center"/>
              <w:rPr>
                <w:rFonts w:ascii="仿宋_GB2312" w:hAnsi="仿宋_GB2312" w:eastAsia="仿宋_GB2312" w:cs="仿宋_GB2312"/>
                <w:color w:val="000000"/>
                <w:sz w:val="24"/>
              </w:rPr>
            </w:pPr>
          </w:p>
        </w:tc>
        <w:tc>
          <w:tcPr>
            <w:tcW w:w="1185" w:type="dxa"/>
            <w:gridSpan w:val="2"/>
            <w:vAlign w:val="center"/>
          </w:tcPr>
          <w:p>
            <w:pPr>
              <w:keepNext w:val="0"/>
              <w:keepLines w:val="0"/>
              <w:widowControl/>
              <w:suppressLineNumbers w:val="0"/>
              <w:jc w:val="right"/>
              <w:textAlignment w:val="center"/>
              <w:rPr>
                <w:rFonts w:ascii="仿宋_GB2312" w:hAnsi="仿宋_GB2312" w:eastAsia="仿宋_GB2312" w:cs="仿宋_GB2312"/>
                <w:color w:val="000000"/>
                <w:sz w:val="24"/>
              </w:rPr>
            </w:pPr>
          </w:p>
        </w:tc>
        <w:tc>
          <w:tcPr>
            <w:tcW w:w="1068" w:type="dxa"/>
            <w:gridSpan w:val="3"/>
            <w:tcBorders>
              <w:right w:val="single" w:color="auto" w:sz="4" w:space="0"/>
            </w:tcBorders>
            <w:vAlign w:val="center"/>
          </w:tcPr>
          <w:p>
            <w:pPr>
              <w:keepNext w:val="0"/>
              <w:keepLines w:val="0"/>
              <w:widowControl/>
              <w:suppressLineNumbers w:val="0"/>
              <w:jc w:val="right"/>
              <w:textAlignment w:val="center"/>
              <w:rPr>
                <w:rFonts w:ascii="仿宋_GB2312" w:hAnsi="仿宋_GB2312" w:eastAsia="仿宋_GB2312" w:cs="仿宋_GB2312"/>
                <w:color w:val="000000"/>
                <w:sz w:val="24"/>
              </w:rPr>
            </w:pPr>
          </w:p>
        </w:tc>
        <w:tc>
          <w:tcPr>
            <w:tcW w:w="945" w:type="dxa"/>
            <w:gridSpan w:val="2"/>
            <w:tcBorders>
              <w:left w:val="single" w:color="auto" w:sz="4" w:space="0"/>
            </w:tcBorders>
            <w:vAlign w:val="center"/>
          </w:tcPr>
          <w:p>
            <w:pPr>
              <w:keepNext w:val="0"/>
              <w:keepLines w:val="0"/>
              <w:widowControl/>
              <w:suppressLineNumbers w:val="0"/>
              <w:jc w:val="right"/>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ascii="仿宋_GB2312" w:hAnsi="仿宋_GB2312" w:eastAsia="仿宋_GB2312" w:cs="仿宋_GB2312"/>
                <w:color w:val="000000"/>
                <w:sz w:val="24"/>
              </w:rPr>
            </w:pPr>
            <w:r>
              <w:rPr>
                <w:rFonts w:hint="eastAsia" w:ascii="仿宋_GB2312" w:hAnsi="仿宋_GB2312" w:eastAsia="仿宋_GB2312" w:cs="仿宋_GB2312"/>
                <w:sz w:val="24"/>
              </w:rPr>
              <w:t>1、局机关</w:t>
            </w:r>
          </w:p>
        </w:tc>
        <w:tc>
          <w:tcPr>
            <w:tcW w:w="1080" w:type="dxa"/>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355" w:type="dxa"/>
            <w:gridSpan w:val="2"/>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0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5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185"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068" w:type="dxa"/>
            <w:gridSpan w:val="3"/>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945" w:type="dxa"/>
            <w:gridSpan w:val="2"/>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sz w:val="24"/>
                <w:lang w:val="en-US" w:eastAsia="zh-CN"/>
              </w:rPr>
              <w:t>2</w:t>
            </w:r>
            <w:r>
              <w:rPr>
                <w:rFonts w:hint="eastAsia" w:ascii="仿宋_GB2312" w:hAnsi="仿宋_GB2312" w:eastAsia="仿宋_GB2312" w:cs="仿宋_GB2312"/>
                <w:sz w:val="24"/>
              </w:rPr>
              <w:t>、</w:t>
            </w:r>
            <w:r>
              <w:rPr>
                <w:rFonts w:hint="eastAsia" w:ascii="仿宋_GB2312" w:hAnsi="仿宋_GB2312" w:eastAsia="仿宋_GB2312" w:cs="仿宋_GB2312"/>
                <w:sz w:val="24"/>
                <w:lang w:eastAsia="zh-CN"/>
              </w:rPr>
              <w:t>经开区分局</w:t>
            </w:r>
          </w:p>
        </w:tc>
        <w:tc>
          <w:tcPr>
            <w:tcW w:w="108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c>
          <w:tcPr>
            <w:tcW w:w="1355"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c>
          <w:tcPr>
            <w:tcW w:w="1080" w:type="dxa"/>
            <w:gridSpan w:val="2"/>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c>
          <w:tcPr>
            <w:tcW w:w="1580" w:type="dxa"/>
            <w:gridSpan w:val="2"/>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c>
          <w:tcPr>
            <w:tcW w:w="1185" w:type="dxa"/>
            <w:gridSpan w:val="2"/>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c>
          <w:tcPr>
            <w:tcW w:w="1068" w:type="dxa"/>
            <w:gridSpan w:val="3"/>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c>
          <w:tcPr>
            <w:tcW w:w="945"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3、南湖分局</w:t>
            </w:r>
          </w:p>
        </w:tc>
        <w:tc>
          <w:tcPr>
            <w:tcW w:w="108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1156.32</w:t>
            </w:r>
          </w:p>
        </w:tc>
        <w:tc>
          <w:tcPr>
            <w:tcW w:w="1355"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640.23</w:t>
            </w:r>
          </w:p>
        </w:tc>
        <w:tc>
          <w:tcPr>
            <w:tcW w:w="1080" w:type="dxa"/>
            <w:gridSpan w:val="2"/>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535.77</w:t>
            </w:r>
          </w:p>
        </w:tc>
        <w:tc>
          <w:tcPr>
            <w:tcW w:w="1580" w:type="dxa"/>
            <w:gridSpan w:val="2"/>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104.46</w:t>
            </w:r>
          </w:p>
        </w:tc>
        <w:tc>
          <w:tcPr>
            <w:tcW w:w="1185" w:type="dxa"/>
            <w:gridSpan w:val="2"/>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516.09</w:t>
            </w:r>
          </w:p>
        </w:tc>
        <w:tc>
          <w:tcPr>
            <w:tcW w:w="1068" w:type="dxa"/>
            <w:gridSpan w:val="3"/>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4.81</w:t>
            </w:r>
          </w:p>
        </w:tc>
        <w:tc>
          <w:tcPr>
            <w:tcW w:w="945"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155.02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24" w:hRule="atLeast"/>
          <w:jc w:val="center"/>
        </w:trPr>
        <w:tc>
          <w:tcPr>
            <w:tcW w:w="1700" w:type="dxa"/>
            <w:gridSpan w:val="3"/>
            <w:vAlign w:val="center"/>
          </w:tcPr>
          <w:p>
            <w:pPr>
              <w:spacing w:line="320" w:lineRule="exact"/>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4、城陵矶新港区分局</w:t>
            </w:r>
          </w:p>
        </w:tc>
        <w:tc>
          <w:tcPr>
            <w:tcW w:w="1080" w:type="dxa"/>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355" w:type="dxa"/>
            <w:gridSpan w:val="2"/>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0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5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185"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068" w:type="dxa"/>
            <w:gridSpan w:val="3"/>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885" w:type="dxa"/>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24" w:hRule="atLeast"/>
          <w:jc w:val="center"/>
        </w:trPr>
        <w:tc>
          <w:tcPr>
            <w:tcW w:w="1700" w:type="dxa"/>
            <w:gridSpan w:val="3"/>
            <w:vAlign w:val="center"/>
          </w:tcPr>
          <w:p>
            <w:pPr>
              <w:spacing w:line="320" w:lineRule="exact"/>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5、综合行政执法支队</w:t>
            </w:r>
          </w:p>
        </w:tc>
        <w:tc>
          <w:tcPr>
            <w:tcW w:w="1080" w:type="dxa"/>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355" w:type="dxa"/>
            <w:gridSpan w:val="2"/>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0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5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185"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068" w:type="dxa"/>
            <w:gridSpan w:val="3"/>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885" w:type="dxa"/>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24" w:hRule="atLeast"/>
          <w:jc w:val="center"/>
        </w:trPr>
        <w:tc>
          <w:tcPr>
            <w:tcW w:w="1700" w:type="dxa"/>
            <w:gridSpan w:val="3"/>
            <w:vAlign w:val="center"/>
          </w:tcPr>
          <w:p>
            <w:pPr>
              <w:spacing w:line="320" w:lineRule="exact"/>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6、检验检测中心</w:t>
            </w:r>
          </w:p>
        </w:tc>
        <w:tc>
          <w:tcPr>
            <w:tcW w:w="108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c>
          <w:tcPr>
            <w:tcW w:w="1355"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c>
          <w:tcPr>
            <w:tcW w:w="1080" w:type="dxa"/>
            <w:gridSpan w:val="2"/>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c>
          <w:tcPr>
            <w:tcW w:w="1580" w:type="dxa"/>
            <w:gridSpan w:val="2"/>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c>
          <w:tcPr>
            <w:tcW w:w="1185" w:type="dxa"/>
            <w:gridSpan w:val="2"/>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c>
          <w:tcPr>
            <w:tcW w:w="1068" w:type="dxa"/>
            <w:gridSpan w:val="3"/>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c>
          <w:tcPr>
            <w:tcW w:w="885" w:type="dxa"/>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24" w:hRule="atLeast"/>
          <w:jc w:val="center"/>
        </w:trPr>
        <w:tc>
          <w:tcPr>
            <w:tcW w:w="1700" w:type="dxa"/>
            <w:gridSpan w:val="3"/>
            <w:vMerge w:val="restart"/>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机构名称</w:t>
            </w:r>
          </w:p>
        </w:tc>
        <w:tc>
          <w:tcPr>
            <w:tcW w:w="1080" w:type="dxa"/>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三公经费</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7153" w:type="dxa"/>
            <w:gridSpan w:val="1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24" w:hRule="atLeast"/>
          <w:jc w:val="center"/>
        </w:trPr>
        <w:tc>
          <w:tcPr>
            <w:tcW w:w="1700" w:type="dxa"/>
            <w:gridSpan w:val="3"/>
            <w:vMerge w:val="continue"/>
            <w:vAlign w:val="center"/>
          </w:tcPr>
          <w:p>
            <w:pPr>
              <w:spacing w:line="320" w:lineRule="exact"/>
              <w:jc w:val="center"/>
              <w:rPr>
                <w:rFonts w:ascii="仿宋_GB2312" w:hAnsi="仿宋_GB2312" w:eastAsia="仿宋_GB2312" w:cs="仿宋_GB2312"/>
                <w:sz w:val="24"/>
              </w:rPr>
            </w:pPr>
          </w:p>
        </w:tc>
        <w:tc>
          <w:tcPr>
            <w:tcW w:w="1080" w:type="dxa"/>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公务接待费</w:t>
            </w: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公务用车运维费</w:t>
            </w:r>
          </w:p>
        </w:tc>
        <w:tc>
          <w:tcPr>
            <w:tcW w:w="15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公务用车购置费</w:t>
            </w:r>
          </w:p>
        </w:tc>
        <w:tc>
          <w:tcPr>
            <w:tcW w:w="3138"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因公出国费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858" w:hRule="atLeast"/>
          <w:jc w:val="center"/>
        </w:trPr>
        <w:tc>
          <w:tcPr>
            <w:tcW w:w="1700" w:type="dxa"/>
            <w:gridSpan w:val="3"/>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color w:val="000000"/>
                <w:sz w:val="24"/>
              </w:rPr>
              <w:t>局机关及二级机构汇总</w:t>
            </w:r>
          </w:p>
        </w:tc>
        <w:tc>
          <w:tcPr>
            <w:tcW w:w="1080" w:type="dxa"/>
            <w:tcBorders>
              <w:right w:val="single" w:color="auto" w:sz="4" w:space="0"/>
            </w:tcBorders>
            <w:vAlign w:val="center"/>
          </w:tcPr>
          <w:p>
            <w:pPr>
              <w:keepNext w:val="0"/>
              <w:keepLines w:val="0"/>
              <w:widowControl/>
              <w:suppressLineNumbers w:val="0"/>
              <w:jc w:val="right"/>
              <w:textAlignment w:val="center"/>
              <w:rPr>
                <w:rFonts w:hint="default" w:ascii="仿宋_GB2312" w:hAnsi="仿宋_GB2312" w:eastAsia="仿宋_GB2312" w:cs="仿宋_GB2312"/>
                <w:color w:val="000000"/>
                <w:sz w:val="24"/>
                <w:lang w:val="en-US"/>
              </w:rPr>
            </w:pPr>
          </w:p>
        </w:tc>
        <w:tc>
          <w:tcPr>
            <w:tcW w:w="1355" w:type="dxa"/>
            <w:gridSpan w:val="2"/>
            <w:tcBorders>
              <w:left w:val="single" w:color="auto" w:sz="4" w:space="0"/>
            </w:tcBorders>
            <w:vAlign w:val="center"/>
          </w:tcPr>
          <w:p>
            <w:pPr>
              <w:keepNext w:val="0"/>
              <w:keepLines w:val="0"/>
              <w:widowControl/>
              <w:suppressLineNumbers w:val="0"/>
              <w:jc w:val="right"/>
              <w:textAlignment w:val="center"/>
              <w:rPr>
                <w:rFonts w:ascii="仿宋_GB2312" w:hAnsi="仿宋_GB2312" w:eastAsia="仿宋_GB2312" w:cs="仿宋_GB2312"/>
                <w:color w:val="000000"/>
                <w:sz w:val="24"/>
              </w:rPr>
            </w:pPr>
          </w:p>
        </w:tc>
        <w:tc>
          <w:tcPr>
            <w:tcW w:w="1080" w:type="dxa"/>
            <w:gridSpan w:val="2"/>
            <w:vAlign w:val="center"/>
          </w:tcPr>
          <w:p>
            <w:pPr>
              <w:keepNext w:val="0"/>
              <w:keepLines w:val="0"/>
              <w:widowControl/>
              <w:suppressLineNumbers w:val="0"/>
              <w:jc w:val="right"/>
              <w:textAlignment w:val="center"/>
              <w:rPr>
                <w:rFonts w:ascii="仿宋_GB2312" w:hAnsi="仿宋_GB2312" w:eastAsia="仿宋_GB2312" w:cs="仿宋_GB2312"/>
                <w:color w:val="000000"/>
                <w:sz w:val="24"/>
              </w:rPr>
            </w:pPr>
          </w:p>
        </w:tc>
        <w:tc>
          <w:tcPr>
            <w:tcW w:w="1580" w:type="dxa"/>
            <w:gridSpan w:val="2"/>
            <w:vAlign w:val="center"/>
          </w:tcPr>
          <w:p>
            <w:pPr>
              <w:keepNext w:val="0"/>
              <w:keepLines w:val="0"/>
              <w:widowControl/>
              <w:suppressLineNumbers w:val="0"/>
              <w:jc w:val="right"/>
              <w:textAlignment w:val="center"/>
              <w:rPr>
                <w:rFonts w:ascii="仿宋_GB2312" w:hAnsi="仿宋_GB2312" w:eastAsia="仿宋_GB2312" w:cs="仿宋_GB2312"/>
                <w:color w:val="000000"/>
                <w:sz w:val="24"/>
              </w:rPr>
            </w:pPr>
          </w:p>
        </w:tc>
        <w:tc>
          <w:tcPr>
            <w:tcW w:w="3138" w:type="dxa"/>
            <w:gridSpan w:val="6"/>
            <w:vAlign w:val="center"/>
          </w:tcPr>
          <w:p>
            <w:pPr>
              <w:keepNext w:val="0"/>
              <w:keepLines w:val="0"/>
              <w:widowControl/>
              <w:suppressLineNumbers w:val="0"/>
              <w:jc w:val="right"/>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24" w:hRule="atLeast"/>
          <w:jc w:val="center"/>
        </w:trPr>
        <w:tc>
          <w:tcPr>
            <w:tcW w:w="1700" w:type="dxa"/>
            <w:gridSpan w:val="3"/>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1、局机关</w:t>
            </w:r>
          </w:p>
        </w:tc>
        <w:tc>
          <w:tcPr>
            <w:tcW w:w="108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c>
          <w:tcPr>
            <w:tcW w:w="1355"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c>
          <w:tcPr>
            <w:tcW w:w="10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5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3138" w:type="dxa"/>
            <w:gridSpan w:val="6"/>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24" w:hRule="atLeast"/>
          <w:jc w:val="center"/>
        </w:trPr>
        <w:tc>
          <w:tcPr>
            <w:tcW w:w="1700" w:type="dxa"/>
            <w:gridSpan w:val="3"/>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lang w:val="en-US" w:eastAsia="zh-CN"/>
              </w:rPr>
              <w:t>2</w:t>
            </w:r>
            <w:r>
              <w:rPr>
                <w:rFonts w:hint="eastAsia" w:ascii="仿宋_GB2312" w:hAnsi="仿宋_GB2312" w:eastAsia="仿宋_GB2312" w:cs="仿宋_GB2312"/>
                <w:sz w:val="24"/>
              </w:rPr>
              <w:t>、</w:t>
            </w:r>
            <w:r>
              <w:rPr>
                <w:rFonts w:hint="eastAsia" w:ascii="仿宋_GB2312" w:hAnsi="仿宋_GB2312" w:eastAsia="仿宋_GB2312" w:cs="仿宋_GB2312"/>
                <w:sz w:val="24"/>
                <w:lang w:eastAsia="zh-CN"/>
              </w:rPr>
              <w:t>经开区分局</w:t>
            </w:r>
          </w:p>
        </w:tc>
        <w:tc>
          <w:tcPr>
            <w:tcW w:w="108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c>
          <w:tcPr>
            <w:tcW w:w="1355"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c>
          <w:tcPr>
            <w:tcW w:w="1080" w:type="dxa"/>
            <w:gridSpan w:val="2"/>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c>
          <w:tcPr>
            <w:tcW w:w="15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3138" w:type="dxa"/>
            <w:gridSpan w:val="6"/>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24" w:hRule="atLeast"/>
          <w:jc w:val="center"/>
        </w:trPr>
        <w:tc>
          <w:tcPr>
            <w:tcW w:w="1700" w:type="dxa"/>
            <w:gridSpan w:val="3"/>
            <w:vAlign w:val="center"/>
          </w:tcPr>
          <w:p>
            <w:pPr>
              <w:spacing w:line="320" w:lineRule="exact"/>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3、南湖分局</w:t>
            </w:r>
          </w:p>
        </w:tc>
        <w:tc>
          <w:tcPr>
            <w:tcW w:w="108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10.71</w:t>
            </w:r>
          </w:p>
        </w:tc>
        <w:tc>
          <w:tcPr>
            <w:tcW w:w="1355"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2.13</w:t>
            </w:r>
          </w:p>
        </w:tc>
        <w:tc>
          <w:tcPr>
            <w:tcW w:w="1080" w:type="dxa"/>
            <w:gridSpan w:val="2"/>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8.58</w:t>
            </w:r>
          </w:p>
        </w:tc>
        <w:tc>
          <w:tcPr>
            <w:tcW w:w="1580" w:type="dxa"/>
            <w:gridSpan w:val="2"/>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3138" w:type="dxa"/>
            <w:gridSpan w:val="6"/>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bookmarkStart w:id="0" w:name="_GoBack"/>
            <w:bookmarkEnd w:id="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24" w:hRule="atLeast"/>
          <w:jc w:val="center"/>
        </w:trPr>
        <w:tc>
          <w:tcPr>
            <w:tcW w:w="1700" w:type="dxa"/>
            <w:gridSpan w:val="3"/>
            <w:vAlign w:val="center"/>
          </w:tcPr>
          <w:p>
            <w:pPr>
              <w:spacing w:line="320" w:lineRule="exact"/>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4、城陵矶新港区分局</w:t>
            </w:r>
          </w:p>
        </w:tc>
        <w:tc>
          <w:tcPr>
            <w:tcW w:w="1080" w:type="dxa"/>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355" w:type="dxa"/>
            <w:gridSpan w:val="2"/>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0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5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3138" w:type="dxa"/>
            <w:gridSpan w:val="6"/>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24" w:hRule="atLeast"/>
          <w:jc w:val="center"/>
        </w:trPr>
        <w:tc>
          <w:tcPr>
            <w:tcW w:w="1700" w:type="dxa"/>
            <w:gridSpan w:val="3"/>
            <w:vAlign w:val="center"/>
          </w:tcPr>
          <w:p>
            <w:pPr>
              <w:spacing w:line="320" w:lineRule="exact"/>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5、综合行政执法支队</w:t>
            </w:r>
          </w:p>
        </w:tc>
        <w:tc>
          <w:tcPr>
            <w:tcW w:w="1080" w:type="dxa"/>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355" w:type="dxa"/>
            <w:gridSpan w:val="2"/>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0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5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3138" w:type="dxa"/>
            <w:gridSpan w:val="6"/>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821" w:hRule="atLeast"/>
          <w:jc w:val="center"/>
        </w:trPr>
        <w:tc>
          <w:tcPr>
            <w:tcW w:w="1700" w:type="dxa"/>
            <w:gridSpan w:val="3"/>
            <w:vAlign w:val="center"/>
          </w:tcPr>
          <w:p>
            <w:pPr>
              <w:spacing w:line="320" w:lineRule="exact"/>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6、检验检测中心</w:t>
            </w:r>
          </w:p>
        </w:tc>
        <w:tc>
          <w:tcPr>
            <w:tcW w:w="108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c>
          <w:tcPr>
            <w:tcW w:w="1355"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c>
          <w:tcPr>
            <w:tcW w:w="1080" w:type="dxa"/>
            <w:gridSpan w:val="2"/>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c>
          <w:tcPr>
            <w:tcW w:w="15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3138" w:type="dxa"/>
            <w:gridSpan w:val="6"/>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24" w:hRule="atLeast"/>
          <w:jc w:val="center"/>
        </w:trPr>
        <w:tc>
          <w:tcPr>
            <w:tcW w:w="1700" w:type="dxa"/>
            <w:gridSpan w:val="3"/>
            <w:vMerge w:val="restart"/>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机构名称</w:t>
            </w:r>
          </w:p>
        </w:tc>
        <w:tc>
          <w:tcPr>
            <w:tcW w:w="1080" w:type="dxa"/>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固定资产</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6079" w:type="dxa"/>
            <w:gridSpan w:val="10"/>
            <w:tcBorders>
              <w:left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1074" w:type="dxa"/>
            <w:gridSpan w:val="2"/>
            <w:vMerge w:val="restart"/>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24" w:hRule="atLeast"/>
          <w:jc w:val="center"/>
        </w:trPr>
        <w:tc>
          <w:tcPr>
            <w:tcW w:w="1700" w:type="dxa"/>
            <w:gridSpan w:val="3"/>
            <w:vMerge w:val="continue"/>
            <w:vAlign w:val="center"/>
          </w:tcPr>
          <w:p>
            <w:pPr>
              <w:spacing w:line="320" w:lineRule="exact"/>
              <w:jc w:val="center"/>
              <w:rPr>
                <w:rFonts w:ascii="仿宋_GB2312" w:hAnsi="仿宋_GB2312" w:eastAsia="仿宋_GB2312" w:cs="仿宋_GB2312"/>
                <w:sz w:val="24"/>
              </w:rPr>
            </w:pPr>
          </w:p>
        </w:tc>
        <w:tc>
          <w:tcPr>
            <w:tcW w:w="1080" w:type="dxa"/>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435" w:type="dxa"/>
            <w:gridSpan w:val="4"/>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在用固定资产</w:t>
            </w:r>
          </w:p>
        </w:tc>
        <w:tc>
          <w:tcPr>
            <w:tcW w:w="3644" w:type="dxa"/>
            <w:gridSpan w:val="6"/>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出租固定资产</w:t>
            </w:r>
          </w:p>
        </w:tc>
        <w:tc>
          <w:tcPr>
            <w:tcW w:w="1074" w:type="dxa"/>
            <w:gridSpan w:val="2"/>
            <w:vMerge w:val="continue"/>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855" w:hRule="atLeast"/>
          <w:jc w:val="center"/>
        </w:trPr>
        <w:tc>
          <w:tcPr>
            <w:tcW w:w="1700" w:type="dxa"/>
            <w:gridSpan w:val="3"/>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color w:val="000000"/>
                <w:sz w:val="24"/>
              </w:rPr>
              <w:t>局机关及二级机构汇总</w:t>
            </w:r>
          </w:p>
        </w:tc>
        <w:tc>
          <w:tcPr>
            <w:tcW w:w="108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p>
        </w:tc>
        <w:tc>
          <w:tcPr>
            <w:tcW w:w="2435" w:type="dxa"/>
            <w:gridSpan w:val="4"/>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p>
        </w:tc>
        <w:tc>
          <w:tcPr>
            <w:tcW w:w="3644"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7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24" w:hRule="atLeast"/>
          <w:jc w:val="center"/>
        </w:trPr>
        <w:tc>
          <w:tcPr>
            <w:tcW w:w="1700" w:type="dxa"/>
            <w:gridSpan w:val="3"/>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1、局机关</w:t>
            </w:r>
          </w:p>
        </w:tc>
        <w:tc>
          <w:tcPr>
            <w:tcW w:w="1080" w:type="dxa"/>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2435" w:type="dxa"/>
            <w:gridSpan w:val="4"/>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3644" w:type="dxa"/>
            <w:gridSpan w:val="6"/>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1074" w:type="dxa"/>
            <w:gridSpan w:val="2"/>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24" w:hRule="atLeast"/>
          <w:jc w:val="center"/>
        </w:trPr>
        <w:tc>
          <w:tcPr>
            <w:tcW w:w="1700" w:type="dxa"/>
            <w:gridSpan w:val="3"/>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lang w:val="en-US" w:eastAsia="zh-CN"/>
              </w:rPr>
              <w:t>2</w:t>
            </w:r>
            <w:r>
              <w:rPr>
                <w:rFonts w:hint="eastAsia" w:ascii="仿宋_GB2312" w:hAnsi="仿宋_GB2312" w:eastAsia="仿宋_GB2312" w:cs="仿宋_GB2312"/>
                <w:sz w:val="24"/>
              </w:rPr>
              <w:t>、</w:t>
            </w:r>
            <w:r>
              <w:rPr>
                <w:rFonts w:hint="eastAsia" w:ascii="仿宋_GB2312" w:hAnsi="仿宋_GB2312" w:eastAsia="仿宋_GB2312" w:cs="仿宋_GB2312"/>
                <w:sz w:val="24"/>
                <w:lang w:eastAsia="zh-CN"/>
              </w:rPr>
              <w:t>经开区分局</w:t>
            </w:r>
          </w:p>
        </w:tc>
        <w:tc>
          <w:tcPr>
            <w:tcW w:w="108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c>
          <w:tcPr>
            <w:tcW w:w="2435" w:type="dxa"/>
            <w:gridSpan w:val="4"/>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c>
          <w:tcPr>
            <w:tcW w:w="3644" w:type="dxa"/>
            <w:gridSpan w:val="6"/>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1074" w:type="dxa"/>
            <w:gridSpan w:val="2"/>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24" w:hRule="atLeast"/>
          <w:jc w:val="center"/>
        </w:trPr>
        <w:tc>
          <w:tcPr>
            <w:tcW w:w="1700" w:type="dxa"/>
            <w:gridSpan w:val="3"/>
            <w:vAlign w:val="center"/>
          </w:tcPr>
          <w:p>
            <w:pPr>
              <w:spacing w:line="320" w:lineRule="exact"/>
              <w:jc w:val="left"/>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3、南湖分局</w:t>
            </w:r>
          </w:p>
        </w:tc>
        <w:tc>
          <w:tcPr>
            <w:tcW w:w="108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25.47</w:t>
            </w:r>
          </w:p>
        </w:tc>
        <w:tc>
          <w:tcPr>
            <w:tcW w:w="2435" w:type="dxa"/>
            <w:gridSpan w:val="4"/>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25.47</w:t>
            </w:r>
          </w:p>
        </w:tc>
        <w:tc>
          <w:tcPr>
            <w:tcW w:w="3644" w:type="dxa"/>
            <w:gridSpan w:val="6"/>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1074" w:type="dxa"/>
            <w:gridSpan w:val="2"/>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24" w:hRule="atLeast"/>
          <w:jc w:val="center"/>
        </w:trPr>
        <w:tc>
          <w:tcPr>
            <w:tcW w:w="1700" w:type="dxa"/>
            <w:gridSpan w:val="3"/>
            <w:vAlign w:val="center"/>
          </w:tcPr>
          <w:p>
            <w:pPr>
              <w:spacing w:line="320" w:lineRule="exact"/>
              <w:jc w:val="left"/>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4、城陵矶新港区分局</w:t>
            </w:r>
          </w:p>
        </w:tc>
        <w:tc>
          <w:tcPr>
            <w:tcW w:w="1080" w:type="dxa"/>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2435" w:type="dxa"/>
            <w:gridSpan w:val="4"/>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3644" w:type="dxa"/>
            <w:gridSpan w:val="6"/>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0</w:t>
            </w:r>
          </w:p>
        </w:tc>
        <w:tc>
          <w:tcPr>
            <w:tcW w:w="1074" w:type="dxa"/>
            <w:gridSpan w:val="2"/>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24" w:hRule="atLeast"/>
          <w:jc w:val="center"/>
        </w:trPr>
        <w:tc>
          <w:tcPr>
            <w:tcW w:w="1700" w:type="dxa"/>
            <w:gridSpan w:val="3"/>
            <w:vAlign w:val="center"/>
          </w:tcPr>
          <w:p>
            <w:pPr>
              <w:spacing w:line="320" w:lineRule="exact"/>
              <w:jc w:val="left"/>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5、综合行政执法支队</w:t>
            </w:r>
          </w:p>
        </w:tc>
        <w:tc>
          <w:tcPr>
            <w:tcW w:w="1080" w:type="dxa"/>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2435" w:type="dxa"/>
            <w:gridSpan w:val="4"/>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3644" w:type="dxa"/>
            <w:gridSpan w:val="6"/>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0</w:t>
            </w:r>
          </w:p>
        </w:tc>
        <w:tc>
          <w:tcPr>
            <w:tcW w:w="1074"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24" w:hRule="atLeast"/>
          <w:jc w:val="center"/>
        </w:trPr>
        <w:tc>
          <w:tcPr>
            <w:tcW w:w="1700" w:type="dxa"/>
            <w:gridSpan w:val="3"/>
            <w:vAlign w:val="center"/>
          </w:tcPr>
          <w:p>
            <w:pPr>
              <w:spacing w:line="320" w:lineRule="exact"/>
              <w:jc w:val="left"/>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6、检验检测中心</w:t>
            </w:r>
          </w:p>
        </w:tc>
        <w:tc>
          <w:tcPr>
            <w:tcW w:w="108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c>
          <w:tcPr>
            <w:tcW w:w="2435" w:type="dxa"/>
            <w:gridSpan w:val="4"/>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c>
          <w:tcPr>
            <w:tcW w:w="3644"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7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567" w:hRule="atLeast"/>
          <w:jc w:val="center"/>
        </w:trPr>
        <w:tc>
          <w:tcPr>
            <w:tcW w:w="9933" w:type="dxa"/>
            <w:gridSpan w:val="1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三、部门（单位）整体支出绩效自评情况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567" w:hRule="atLeast"/>
          <w:jc w:val="center"/>
        </w:trPr>
        <w:tc>
          <w:tcPr>
            <w:tcW w:w="1441" w:type="dxa"/>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整体支出绩效定性目标及实施计划完成情况</w:t>
            </w:r>
          </w:p>
        </w:tc>
        <w:tc>
          <w:tcPr>
            <w:tcW w:w="3774" w:type="dxa"/>
            <w:gridSpan w:val="7"/>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预期目标</w:t>
            </w:r>
          </w:p>
        </w:tc>
        <w:tc>
          <w:tcPr>
            <w:tcW w:w="4718" w:type="dxa"/>
            <w:gridSpan w:val="8"/>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实际完成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2425"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3774" w:type="dxa"/>
            <w:gridSpan w:val="7"/>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4718" w:type="dxa"/>
            <w:gridSpan w:val="8"/>
            <w:vAlign w:val="center"/>
          </w:tcPr>
          <w:p>
            <w:pPr>
              <w:numPr>
                <w:ilvl w:val="0"/>
                <w:numId w:val="0"/>
              </w:numPr>
              <w:autoSpaceDN w:val="0"/>
              <w:spacing w:line="320" w:lineRule="exact"/>
              <w:ind w:leftChars="0"/>
              <w:jc w:val="both"/>
              <w:textAlignment w:val="center"/>
              <w:rPr>
                <w:rFonts w:hint="eastAsia" w:ascii="仿宋_GB2312" w:hAnsi="仿宋_GB2312" w:eastAsia="仿宋_GB2312" w:cs="仿宋_GB2312"/>
                <w:color w:val="auto"/>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567" w:hRule="atLeast"/>
          <w:jc w:val="center"/>
        </w:trPr>
        <w:tc>
          <w:tcPr>
            <w:tcW w:w="1441" w:type="dxa"/>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整体支出</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绩效定量目标及实施计划完成情况</w:t>
            </w:r>
          </w:p>
        </w:tc>
        <w:tc>
          <w:tcPr>
            <w:tcW w:w="2966"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评价内容</w:t>
            </w:r>
          </w:p>
        </w:tc>
        <w:tc>
          <w:tcPr>
            <w:tcW w:w="2388"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绩效目标</w:t>
            </w:r>
          </w:p>
        </w:tc>
        <w:tc>
          <w:tcPr>
            <w:tcW w:w="3138"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产出目标</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（部门工作实绩，包含上级部门和市委市政府布置的重点工作、实事任务等，根据部门实际进行调整细化）</w:t>
            </w:r>
          </w:p>
        </w:tc>
        <w:tc>
          <w:tcPr>
            <w:tcW w:w="1417" w:type="dxa"/>
            <w:gridSpan w:val="2"/>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质量指标</w:t>
            </w:r>
          </w:p>
        </w:tc>
        <w:tc>
          <w:tcPr>
            <w:tcW w:w="2388" w:type="dxa"/>
            <w:gridSpan w:val="3"/>
            <w:vAlign w:val="center"/>
          </w:tcPr>
          <w:p>
            <w:pPr>
              <w:spacing w:line="360" w:lineRule="exact"/>
              <w:jc w:val="center"/>
              <w:rPr>
                <w:rFonts w:hint="default" w:ascii="Times New Roman" w:hAnsi="Times New Roman" w:eastAsia="仿宋_GB2312" w:cs="Times New Roman"/>
                <w:kern w:val="2"/>
                <w:sz w:val="24"/>
                <w:szCs w:val="24"/>
                <w:lang w:val="en-US" w:eastAsia="zh-CN" w:bidi="ar-SA"/>
              </w:rPr>
            </w:pPr>
            <w:r>
              <w:rPr>
                <w:rFonts w:hint="eastAsia" w:eastAsia="仿宋_GB2312"/>
                <w:sz w:val="24"/>
                <w:lang w:eastAsia="zh-CN"/>
              </w:rPr>
              <w:t>指标</w:t>
            </w:r>
            <w:r>
              <w:rPr>
                <w:rFonts w:hint="eastAsia" w:eastAsia="仿宋_GB2312"/>
                <w:sz w:val="24"/>
                <w:lang w:val="en-US" w:eastAsia="zh-CN"/>
              </w:rPr>
              <w:t>1：</w:t>
            </w:r>
          </w:p>
        </w:tc>
        <w:tc>
          <w:tcPr>
            <w:tcW w:w="3138" w:type="dxa"/>
            <w:gridSpan w:val="6"/>
            <w:vAlign w:val="center"/>
          </w:tcPr>
          <w:p>
            <w:pPr>
              <w:autoSpaceDN w:val="0"/>
              <w:spacing w:line="320" w:lineRule="exact"/>
              <w:jc w:val="center"/>
              <w:textAlignment w:val="center"/>
              <w:rPr>
                <w:rFonts w:hint="default" w:ascii="仿宋_GB2312" w:hAnsi="仿宋_GB2312" w:eastAsia="仿宋_GB2312" w:cs="仿宋_GB2312"/>
                <w:b w:val="0"/>
                <w:bCs/>
                <w:color w:val="00000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spacing w:line="320" w:lineRule="exact"/>
              <w:rPr>
                <w:rFonts w:ascii="仿宋_GB2312" w:hAnsi="仿宋_GB2312" w:eastAsia="仿宋_GB2312" w:cs="仿宋_GB2312"/>
                <w:sz w:val="24"/>
              </w:rPr>
            </w:pPr>
          </w:p>
        </w:tc>
        <w:tc>
          <w:tcPr>
            <w:tcW w:w="2388" w:type="dxa"/>
            <w:gridSpan w:val="3"/>
            <w:vAlign w:val="center"/>
          </w:tcPr>
          <w:p>
            <w:pPr>
              <w:spacing w:line="360" w:lineRule="exact"/>
              <w:jc w:val="center"/>
              <w:rPr>
                <w:rFonts w:hint="default" w:ascii="Times New Roman" w:hAnsi="Times New Roman" w:eastAsia="仿宋_GB2312" w:cs="Times New Roman"/>
                <w:kern w:val="2"/>
                <w:sz w:val="24"/>
                <w:szCs w:val="24"/>
                <w:lang w:val="en-US" w:eastAsia="zh-CN" w:bidi="ar-SA"/>
              </w:rPr>
            </w:pPr>
            <w:r>
              <w:rPr>
                <w:rFonts w:hint="eastAsia" w:ascii="仿宋_GB2312" w:hAnsi="仿宋_GB2312" w:eastAsia="仿宋_GB2312" w:cs="仿宋_GB2312"/>
                <w:i w:val="0"/>
                <w:caps w:val="0"/>
                <w:color w:val="333333"/>
                <w:spacing w:val="0"/>
                <w:sz w:val="24"/>
                <w:szCs w:val="24"/>
                <w:highlight w:val="none"/>
                <w:lang w:val="en-US" w:eastAsia="zh-CN"/>
              </w:rPr>
              <w:t>指标2：</w:t>
            </w:r>
          </w:p>
        </w:tc>
        <w:tc>
          <w:tcPr>
            <w:tcW w:w="3138" w:type="dxa"/>
            <w:gridSpan w:val="6"/>
            <w:vAlign w:val="center"/>
          </w:tcPr>
          <w:p>
            <w:pPr>
              <w:autoSpaceDN w:val="0"/>
              <w:spacing w:line="320" w:lineRule="exact"/>
              <w:jc w:val="center"/>
              <w:textAlignment w:val="center"/>
              <w:rPr>
                <w:rFonts w:hint="eastAsia" w:ascii="仿宋_GB2312" w:hAnsi="仿宋_GB2312" w:eastAsia="仿宋_GB2312" w:cs="仿宋_GB2312"/>
                <w:b w:val="0"/>
                <w:bCs/>
                <w:color w:val="000000"/>
                <w:sz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spacing w:line="320" w:lineRule="exact"/>
              <w:rPr>
                <w:rFonts w:ascii="仿宋_GB2312" w:hAnsi="仿宋_GB2312" w:eastAsia="仿宋_GB2312" w:cs="仿宋_GB2312"/>
                <w:sz w:val="24"/>
              </w:rPr>
            </w:pPr>
          </w:p>
        </w:tc>
        <w:tc>
          <w:tcPr>
            <w:tcW w:w="2388" w:type="dxa"/>
            <w:gridSpan w:val="3"/>
            <w:vAlign w:val="center"/>
          </w:tcPr>
          <w:p>
            <w:pPr>
              <w:spacing w:line="360" w:lineRule="exact"/>
              <w:jc w:val="center"/>
              <w:rPr>
                <w:rFonts w:hint="default" w:ascii="Times New Roman" w:hAnsi="Times New Roman" w:eastAsia="仿宋_GB2312" w:cs="Times New Roman"/>
                <w:kern w:val="2"/>
                <w:sz w:val="24"/>
                <w:szCs w:val="24"/>
                <w:lang w:val="en-US" w:eastAsia="zh-CN" w:bidi="ar-SA"/>
              </w:rPr>
            </w:pPr>
            <w:r>
              <w:rPr>
                <w:rFonts w:hint="eastAsia" w:eastAsia="仿宋_GB2312"/>
                <w:sz w:val="24"/>
                <w:lang w:eastAsia="zh-CN"/>
              </w:rPr>
              <w:t>指标</w:t>
            </w:r>
            <w:r>
              <w:rPr>
                <w:rFonts w:hint="eastAsia" w:eastAsia="仿宋_GB2312"/>
                <w:sz w:val="24"/>
                <w:lang w:val="en-US" w:eastAsia="zh-CN"/>
              </w:rPr>
              <w:t>3：次</w:t>
            </w:r>
          </w:p>
        </w:tc>
        <w:tc>
          <w:tcPr>
            <w:tcW w:w="3138" w:type="dxa"/>
            <w:gridSpan w:val="6"/>
            <w:vAlign w:val="center"/>
          </w:tcPr>
          <w:p>
            <w:pPr>
              <w:autoSpaceDN w:val="0"/>
              <w:spacing w:line="320" w:lineRule="exact"/>
              <w:jc w:val="center"/>
              <w:textAlignment w:val="center"/>
              <w:rPr>
                <w:rFonts w:hint="eastAsia" w:ascii="仿宋_GB2312" w:hAnsi="仿宋_GB2312" w:eastAsia="仿宋_GB2312" w:cs="仿宋_GB2312"/>
                <w:b w:val="0"/>
                <w:bCs/>
                <w:color w:val="000000"/>
                <w:sz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数量指标</w:t>
            </w:r>
          </w:p>
        </w:tc>
        <w:tc>
          <w:tcPr>
            <w:tcW w:w="2388" w:type="dxa"/>
            <w:gridSpan w:val="3"/>
            <w:vAlign w:val="center"/>
          </w:tcPr>
          <w:p>
            <w:pPr>
              <w:spacing w:line="360" w:lineRule="exact"/>
              <w:jc w:val="center"/>
              <w:rPr>
                <w:rFonts w:ascii="仿宋_GB2312" w:hAnsi="仿宋_GB2312" w:eastAsia="仿宋_GB2312" w:cs="仿宋_GB2312"/>
                <w:color w:val="000000"/>
                <w:sz w:val="24"/>
              </w:rPr>
            </w:pPr>
            <w:r>
              <w:rPr>
                <w:rFonts w:hint="eastAsia" w:eastAsia="仿宋_GB2312"/>
                <w:sz w:val="24"/>
                <w:lang w:eastAsia="zh-CN"/>
              </w:rPr>
              <w:t>指标</w:t>
            </w:r>
            <w:r>
              <w:rPr>
                <w:rFonts w:hint="eastAsia" w:eastAsia="仿宋_GB2312"/>
                <w:sz w:val="24"/>
                <w:lang w:val="en-US" w:eastAsia="zh-CN"/>
              </w:rPr>
              <w:t>1：</w:t>
            </w:r>
          </w:p>
        </w:tc>
        <w:tc>
          <w:tcPr>
            <w:tcW w:w="3138" w:type="dxa"/>
            <w:gridSpan w:val="6"/>
            <w:vAlign w:val="center"/>
          </w:tcPr>
          <w:p>
            <w:pPr>
              <w:autoSpaceDN w:val="0"/>
              <w:spacing w:line="320" w:lineRule="exact"/>
              <w:jc w:val="center"/>
              <w:textAlignment w:val="center"/>
              <w:rPr>
                <w:rFonts w:hint="default" w:ascii="仿宋_GB2312" w:hAnsi="仿宋_GB2312" w:eastAsia="仿宋_GB2312" w:cs="仿宋_GB2312"/>
                <w:b w:val="0"/>
                <w:bCs/>
                <w:color w:val="00000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461"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ascii="仿宋_GB2312" w:hAnsi="仿宋_GB2312" w:eastAsia="仿宋_GB2312" w:cs="仿宋_GB2312"/>
                <w:sz w:val="24"/>
              </w:rPr>
            </w:pPr>
          </w:p>
        </w:tc>
        <w:tc>
          <w:tcPr>
            <w:tcW w:w="2388" w:type="dxa"/>
            <w:gridSpan w:val="3"/>
            <w:vAlign w:val="center"/>
          </w:tcPr>
          <w:p>
            <w:pPr>
              <w:spacing w:line="360" w:lineRule="exact"/>
              <w:jc w:val="center"/>
              <w:rPr>
                <w:rFonts w:hint="default" w:ascii="仿宋_GB2312" w:hAnsi="仿宋_GB2312" w:eastAsia="仿宋_GB2312" w:cs="仿宋_GB2312"/>
                <w:color w:val="000000"/>
                <w:sz w:val="24"/>
                <w:lang w:val="en-US"/>
              </w:rPr>
            </w:pPr>
            <w:r>
              <w:rPr>
                <w:rFonts w:hint="eastAsia" w:eastAsia="仿宋_GB2312"/>
                <w:sz w:val="24"/>
                <w:lang w:eastAsia="zh-CN"/>
              </w:rPr>
              <w:t>指标</w:t>
            </w:r>
            <w:r>
              <w:rPr>
                <w:rFonts w:hint="eastAsia" w:eastAsia="仿宋_GB2312"/>
                <w:sz w:val="24"/>
                <w:lang w:val="en-US" w:eastAsia="zh-CN"/>
              </w:rPr>
              <w:t>2：</w:t>
            </w:r>
          </w:p>
        </w:tc>
        <w:tc>
          <w:tcPr>
            <w:tcW w:w="3138" w:type="dxa"/>
            <w:gridSpan w:val="6"/>
            <w:vAlign w:val="center"/>
          </w:tcPr>
          <w:p>
            <w:pPr>
              <w:autoSpaceDN w:val="0"/>
              <w:spacing w:line="320" w:lineRule="exact"/>
              <w:jc w:val="center"/>
              <w:textAlignment w:val="center"/>
              <w:rPr>
                <w:rFonts w:hint="default" w:ascii="仿宋_GB2312" w:hAnsi="仿宋_GB2312" w:eastAsia="仿宋_GB2312" w:cs="仿宋_GB2312"/>
                <w:b w:val="0"/>
                <w:bCs/>
                <w:color w:val="00000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461"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ascii="仿宋_GB2312" w:hAnsi="仿宋_GB2312" w:eastAsia="仿宋_GB2312" w:cs="仿宋_GB2312"/>
                <w:sz w:val="24"/>
              </w:rPr>
            </w:pPr>
          </w:p>
        </w:tc>
        <w:tc>
          <w:tcPr>
            <w:tcW w:w="2388" w:type="dxa"/>
            <w:gridSpan w:val="3"/>
            <w:vAlign w:val="center"/>
          </w:tcPr>
          <w:p>
            <w:pPr>
              <w:spacing w:line="360" w:lineRule="exact"/>
              <w:jc w:val="center"/>
              <w:rPr>
                <w:rFonts w:hint="default" w:ascii="仿宋_GB2312" w:hAnsi="仿宋_GB2312" w:eastAsia="仿宋_GB2312" w:cs="仿宋_GB2312"/>
                <w:color w:val="000000"/>
                <w:sz w:val="24"/>
                <w:lang w:val="en-US"/>
              </w:rPr>
            </w:pPr>
            <w:r>
              <w:rPr>
                <w:rFonts w:hint="eastAsia" w:eastAsia="仿宋_GB2312"/>
                <w:sz w:val="24"/>
                <w:lang w:eastAsia="zh-CN"/>
              </w:rPr>
              <w:t>指标</w:t>
            </w:r>
            <w:r>
              <w:rPr>
                <w:rFonts w:hint="eastAsia" w:eastAsia="仿宋_GB2312"/>
                <w:sz w:val="24"/>
                <w:lang w:val="en-US" w:eastAsia="zh-CN"/>
              </w:rPr>
              <w:t>3：</w:t>
            </w:r>
          </w:p>
        </w:tc>
        <w:tc>
          <w:tcPr>
            <w:tcW w:w="3138" w:type="dxa"/>
            <w:gridSpan w:val="6"/>
            <w:vAlign w:val="center"/>
          </w:tcPr>
          <w:p>
            <w:pPr>
              <w:autoSpaceDN w:val="0"/>
              <w:spacing w:line="320" w:lineRule="exact"/>
              <w:jc w:val="center"/>
              <w:textAlignment w:val="center"/>
              <w:rPr>
                <w:rFonts w:hint="default" w:ascii="仿宋_GB2312" w:hAnsi="仿宋_GB2312" w:eastAsia="仿宋_GB2312" w:cs="仿宋_GB2312"/>
                <w:b w:val="0"/>
                <w:bCs/>
                <w:color w:val="00000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461"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ascii="仿宋_GB2312" w:hAnsi="仿宋_GB2312" w:eastAsia="仿宋_GB2312" w:cs="仿宋_GB2312"/>
                <w:sz w:val="24"/>
              </w:rPr>
            </w:pPr>
          </w:p>
        </w:tc>
        <w:tc>
          <w:tcPr>
            <w:tcW w:w="2388" w:type="dxa"/>
            <w:gridSpan w:val="3"/>
            <w:vAlign w:val="center"/>
          </w:tcPr>
          <w:p>
            <w:pPr>
              <w:spacing w:line="360" w:lineRule="exact"/>
              <w:jc w:val="center"/>
              <w:rPr>
                <w:rFonts w:hint="default" w:ascii="仿宋_GB2312" w:hAnsi="仿宋_GB2312" w:eastAsia="仿宋_GB2312" w:cs="仿宋_GB2312"/>
                <w:color w:val="000000"/>
                <w:sz w:val="24"/>
                <w:lang w:val="en-US"/>
              </w:rPr>
            </w:pPr>
            <w:r>
              <w:rPr>
                <w:rFonts w:hint="eastAsia" w:eastAsia="仿宋_GB2312"/>
                <w:sz w:val="24"/>
                <w:lang w:eastAsia="zh-CN"/>
              </w:rPr>
              <w:t>指标</w:t>
            </w:r>
            <w:r>
              <w:rPr>
                <w:rFonts w:hint="eastAsia" w:eastAsia="仿宋_GB2312"/>
                <w:sz w:val="24"/>
                <w:lang w:val="en-US" w:eastAsia="zh-CN"/>
              </w:rPr>
              <w:t>4：</w:t>
            </w:r>
          </w:p>
        </w:tc>
        <w:tc>
          <w:tcPr>
            <w:tcW w:w="3138" w:type="dxa"/>
            <w:gridSpan w:val="6"/>
            <w:vAlign w:val="center"/>
          </w:tcPr>
          <w:p>
            <w:pPr>
              <w:autoSpaceDN w:val="0"/>
              <w:spacing w:line="320" w:lineRule="exact"/>
              <w:jc w:val="center"/>
              <w:textAlignment w:val="center"/>
              <w:rPr>
                <w:rFonts w:hint="default" w:ascii="仿宋_GB2312" w:hAnsi="仿宋_GB2312" w:eastAsia="仿宋_GB2312" w:cs="仿宋_GB2312"/>
                <w:b w:val="0"/>
                <w:bCs/>
                <w:color w:val="00000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461"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ascii="仿宋_GB2312" w:hAnsi="仿宋_GB2312" w:eastAsia="仿宋_GB2312" w:cs="仿宋_GB2312"/>
                <w:sz w:val="24"/>
              </w:rPr>
            </w:pPr>
          </w:p>
        </w:tc>
        <w:tc>
          <w:tcPr>
            <w:tcW w:w="2388" w:type="dxa"/>
            <w:gridSpan w:val="3"/>
            <w:vAlign w:val="center"/>
          </w:tcPr>
          <w:p>
            <w:pPr>
              <w:spacing w:line="360" w:lineRule="exact"/>
              <w:jc w:val="center"/>
              <w:rPr>
                <w:rFonts w:hint="default" w:ascii="仿宋_GB2312" w:hAnsi="仿宋_GB2312" w:eastAsia="仿宋_GB2312" w:cs="仿宋_GB2312"/>
                <w:color w:val="000000"/>
                <w:sz w:val="24"/>
                <w:lang w:val="en-US"/>
              </w:rPr>
            </w:pPr>
            <w:r>
              <w:rPr>
                <w:rFonts w:hint="eastAsia" w:eastAsia="仿宋_GB2312"/>
                <w:sz w:val="24"/>
                <w:lang w:eastAsia="zh-CN"/>
              </w:rPr>
              <w:t>指标</w:t>
            </w:r>
            <w:r>
              <w:rPr>
                <w:rFonts w:hint="eastAsia" w:eastAsia="仿宋_GB2312"/>
                <w:sz w:val="24"/>
                <w:lang w:val="en-US" w:eastAsia="zh-CN"/>
              </w:rPr>
              <w:t>5：</w:t>
            </w:r>
          </w:p>
        </w:tc>
        <w:tc>
          <w:tcPr>
            <w:tcW w:w="3138" w:type="dxa"/>
            <w:gridSpan w:val="6"/>
            <w:vAlign w:val="center"/>
          </w:tcPr>
          <w:p>
            <w:pPr>
              <w:autoSpaceDN w:val="0"/>
              <w:spacing w:line="320" w:lineRule="exact"/>
              <w:jc w:val="center"/>
              <w:textAlignment w:val="center"/>
              <w:rPr>
                <w:rFonts w:hint="default" w:ascii="仿宋_GB2312" w:hAnsi="仿宋_GB2312" w:eastAsia="仿宋_GB2312" w:cs="仿宋_GB2312"/>
                <w:b w:val="0"/>
                <w:bCs/>
                <w:color w:val="00000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461"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ascii="仿宋_GB2312" w:hAnsi="仿宋_GB2312" w:eastAsia="仿宋_GB2312" w:cs="仿宋_GB2312"/>
                <w:sz w:val="24"/>
              </w:rPr>
            </w:pPr>
          </w:p>
        </w:tc>
        <w:tc>
          <w:tcPr>
            <w:tcW w:w="2388" w:type="dxa"/>
            <w:gridSpan w:val="3"/>
            <w:vAlign w:val="center"/>
          </w:tcPr>
          <w:p>
            <w:pPr>
              <w:spacing w:line="360" w:lineRule="exact"/>
              <w:jc w:val="center"/>
              <w:rPr>
                <w:rFonts w:hint="default" w:ascii="Times New Roman" w:hAnsi="Times New Roman" w:eastAsia="仿宋_GB2312" w:cs="Times New Roman"/>
                <w:kern w:val="2"/>
                <w:sz w:val="24"/>
                <w:szCs w:val="24"/>
                <w:lang w:val="en-US" w:eastAsia="zh-CN" w:bidi="ar-SA"/>
              </w:rPr>
            </w:pPr>
            <w:r>
              <w:rPr>
                <w:rFonts w:hint="eastAsia" w:eastAsia="仿宋_GB2312"/>
                <w:sz w:val="24"/>
                <w:lang w:val="en-US" w:eastAsia="zh-CN"/>
              </w:rPr>
              <w:t>指标6：</w:t>
            </w:r>
          </w:p>
        </w:tc>
        <w:tc>
          <w:tcPr>
            <w:tcW w:w="3138" w:type="dxa"/>
            <w:gridSpan w:val="6"/>
            <w:vAlign w:val="center"/>
          </w:tcPr>
          <w:p>
            <w:pPr>
              <w:jc w:val="center"/>
              <w:rPr>
                <w:rFonts w:hint="default" w:ascii="Times New Roman" w:hAnsi="Times New Roman" w:eastAsia="仿宋_GB2312" w:cs="Times New Roman"/>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461"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ascii="仿宋_GB2312" w:hAnsi="仿宋_GB2312" w:eastAsia="仿宋_GB2312" w:cs="仿宋_GB2312"/>
                <w:sz w:val="24"/>
              </w:rPr>
            </w:pPr>
          </w:p>
        </w:tc>
        <w:tc>
          <w:tcPr>
            <w:tcW w:w="2388" w:type="dxa"/>
            <w:gridSpan w:val="3"/>
            <w:vAlign w:val="center"/>
          </w:tcPr>
          <w:p>
            <w:pPr>
              <w:spacing w:line="360" w:lineRule="exact"/>
              <w:jc w:val="center"/>
              <w:rPr>
                <w:rFonts w:hint="default" w:ascii="Times New Roman" w:hAnsi="Times New Roman" w:eastAsia="仿宋_GB2312" w:cs="Times New Roman"/>
                <w:kern w:val="2"/>
                <w:sz w:val="24"/>
                <w:szCs w:val="24"/>
                <w:lang w:val="en-US" w:eastAsia="zh-CN" w:bidi="ar-SA"/>
              </w:rPr>
            </w:pPr>
            <w:r>
              <w:rPr>
                <w:rFonts w:hint="eastAsia" w:eastAsia="仿宋_GB2312"/>
                <w:sz w:val="24"/>
                <w:lang w:eastAsia="zh-CN"/>
              </w:rPr>
              <w:t>指标</w:t>
            </w:r>
            <w:r>
              <w:rPr>
                <w:rFonts w:hint="eastAsia" w:eastAsia="仿宋_GB2312"/>
                <w:sz w:val="24"/>
                <w:lang w:val="en-US" w:eastAsia="zh-CN"/>
              </w:rPr>
              <w:t>7：</w:t>
            </w:r>
          </w:p>
        </w:tc>
        <w:tc>
          <w:tcPr>
            <w:tcW w:w="3138" w:type="dxa"/>
            <w:gridSpan w:val="6"/>
            <w:vAlign w:val="center"/>
          </w:tcPr>
          <w:p>
            <w:pPr>
              <w:jc w:val="center"/>
              <w:rPr>
                <w:rFonts w:hint="default" w:ascii="Times New Roman" w:hAnsi="Times New Roman" w:eastAsia="仿宋_GB2312" w:cs="Times New Roman"/>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461"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ascii="仿宋_GB2312" w:hAnsi="仿宋_GB2312" w:eastAsia="仿宋_GB2312" w:cs="仿宋_GB2312"/>
                <w:sz w:val="24"/>
              </w:rPr>
            </w:pPr>
          </w:p>
        </w:tc>
        <w:tc>
          <w:tcPr>
            <w:tcW w:w="2388" w:type="dxa"/>
            <w:gridSpan w:val="3"/>
            <w:vAlign w:val="center"/>
          </w:tcPr>
          <w:p>
            <w:pPr>
              <w:spacing w:line="360" w:lineRule="exact"/>
              <w:jc w:val="center"/>
              <w:rPr>
                <w:rFonts w:hint="default" w:ascii="Times New Roman" w:hAnsi="Times New Roman" w:eastAsia="仿宋_GB2312" w:cs="Times New Roman"/>
                <w:kern w:val="2"/>
                <w:sz w:val="24"/>
                <w:szCs w:val="24"/>
                <w:lang w:val="en-US" w:eastAsia="zh-CN" w:bidi="ar-SA"/>
              </w:rPr>
            </w:pPr>
            <w:r>
              <w:rPr>
                <w:rFonts w:hint="eastAsia" w:eastAsia="仿宋_GB2312"/>
                <w:sz w:val="24"/>
                <w:lang w:eastAsia="zh-CN"/>
              </w:rPr>
              <w:t>指标</w:t>
            </w:r>
            <w:r>
              <w:rPr>
                <w:rFonts w:hint="eastAsia" w:eastAsia="仿宋_GB2312"/>
                <w:sz w:val="24"/>
                <w:lang w:val="en-US" w:eastAsia="zh-CN"/>
              </w:rPr>
              <w:t>8：</w:t>
            </w:r>
          </w:p>
        </w:tc>
        <w:tc>
          <w:tcPr>
            <w:tcW w:w="3138" w:type="dxa"/>
            <w:gridSpan w:val="6"/>
            <w:vAlign w:val="center"/>
          </w:tcPr>
          <w:p>
            <w:pPr>
              <w:jc w:val="center"/>
              <w:rPr>
                <w:rFonts w:hint="eastAsia" w:ascii="Times New Roman" w:hAnsi="Times New Roman" w:eastAsia="仿宋_GB2312" w:cs="Times New Roman"/>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454" w:hRule="atLeast"/>
          <w:jc w:val="center"/>
        </w:trPr>
        <w:tc>
          <w:tcPr>
            <w:tcW w:w="1441" w:type="dxa"/>
            <w:vMerge w:val="restart"/>
            <w:vAlign w:val="center"/>
          </w:tcPr>
          <w:p>
            <w:pPr>
              <w:spacing w:line="320" w:lineRule="exact"/>
              <w:rPr>
                <w:rFonts w:ascii="仿宋_GB2312" w:hAnsi="仿宋_GB2312" w:eastAsia="仿宋_GB2312" w:cs="仿宋_GB2312"/>
                <w:sz w:val="24"/>
              </w:rPr>
            </w:pPr>
          </w:p>
        </w:tc>
        <w:tc>
          <w:tcPr>
            <w:tcW w:w="1549" w:type="dxa"/>
            <w:gridSpan w:val="4"/>
            <w:vMerge w:val="restart"/>
            <w:vAlign w:val="center"/>
          </w:tcPr>
          <w:p>
            <w:pPr>
              <w:autoSpaceDN w:val="0"/>
              <w:spacing w:line="320" w:lineRule="exact"/>
              <w:rPr>
                <w:rFonts w:ascii="仿宋_GB2312" w:hAnsi="仿宋_GB2312" w:eastAsia="仿宋_GB2312" w:cs="仿宋_GB2312"/>
                <w:sz w:val="24"/>
              </w:rPr>
            </w:pPr>
          </w:p>
        </w:tc>
        <w:tc>
          <w:tcPr>
            <w:tcW w:w="1417" w:type="dxa"/>
            <w:gridSpan w:val="2"/>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时效指标</w:t>
            </w:r>
          </w:p>
        </w:tc>
        <w:tc>
          <w:tcPr>
            <w:tcW w:w="2388" w:type="dxa"/>
            <w:gridSpan w:val="3"/>
            <w:vAlign w:val="center"/>
          </w:tcPr>
          <w:p>
            <w:pPr>
              <w:spacing w:line="360" w:lineRule="exact"/>
              <w:jc w:val="center"/>
              <w:rPr>
                <w:rFonts w:ascii="仿宋_GB2312" w:hAnsi="仿宋_GB2312" w:eastAsia="仿宋_GB2312" w:cs="仿宋_GB2312"/>
                <w:color w:val="000000"/>
                <w:sz w:val="24"/>
              </w:rPr>
            </w:pPr>
            <w:r>
              <w:rPr>
                <w:rFonts w:hint="eastAsia" w:eastAsia="仿宋_GB2312"/>
                <w:sz w:val="24"/>
                <w:lang w:eastAsia="zh-CN"/>
              </w:rPr>
              <w:t>指标</w:t>
            </w:r>
            <w:r>
              <w:rPr>
                <w:rFonts w:hint="eastAsia" w:eastAsia="仿宋_GB2312"/>
                <w:sz w:val="24"/>
                <w:lang w:val="en-US" w:eastAsia="zh-CN"/>
              </w:rPr>
              <w:t>1：</w:t>
            </w:r>
          </w:p>
        </w:tc>
        <w:tc>
          <w:tcPr>
            <w:tcW w:w="3138" w:type="dxa"/>
            <w:gridSpan w:val="6"/>
            <w:vAlign w:val="center"/>
          </w:tcPr>
          <w:p>
            <w:pPr>
              <w:jc w:val="center"/>
              <w:rPr>
                <w:rFonts w:hint="eastAsia" w:ascii="仿宋_GB2312" w:hAnsi="仿宋_GB2312" w:eastAsia="仿宋_GB2312" w:cs="仿宋_GB2312"/>
                <w:b w:val="0"/>
                <w:bCs/>
                <w:color w:val="000000"/>
                <w:sz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388" w:type="dxa"/>
            <w:gridSpan w:val="3"/>
            <w:vAlign w:val="center"/>
          </w:tcPr>
          <w:p>
            <w:pPr>
              <w:spacing w:line="360" w:lineRule="exact"/>
              <w:jc w:val="center"/>
              <w:rPr>
                <w:rFonts w:ascii="仿宋_GB2312" w:hAnsi="仿宋_GB2312" w:eastAsia="仿宋_GB2312" w:cs="仿宋_GB2312"/>
                <w:color w:val="000000"/>
                <w:sz w:val="24"/>
              </w:rPr>
            </w:pPr>
            <w:r>
              <w:rPr>
                <w:rFonts w:hint="eastAsia" w:eastAsia="仿宋_GB2312"/>
                <w:sz w:val="24"/>
                <w:lang w:eastAsia="zh-CN"/>
              </w:rPr>
              <w:t>指标</w:t>
            </w:r>
            <w:r>
              <w:rPr>
                <w:rFonts w:hint="eastAsia" w:eastAsia="仿宋_GB2312"/>
                <w:sz w:val="24"/>
                <w:lang w:val="en-US" w:eastAsia="zh-CN"/>
              </w:rPr>
              <w:t>2：</w:t>
            </w:r>
          </w:p>
        </w:tc>
        <w:tc>
          <w:tcPr>
            <w:tcW w:w="3138" w:type="dxa"/>
            <w:gridSpan w:val="6"/>
            <w:vAlign w:val="center"/>
          </w:tcPr>
          <w:p>
            <w:pPr>
              <w:jc w:val="center"/>
              <w:rPr>
                <w:rFonts w:hint="eastAsia" w:ascii="仿宋_GB2312" w:hAnsi="仿宋_GB2312" w:eastAsia="仿宋_GB2312" w:cs="仿宋_GB2312"/>
                <w:b w:val="0"/>
                <w:bCs/>
                <w:color w:val="000000"/>
                <w:sz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ascii="仿宋_GB2312" w:hAnsi="仿宋_GB2312" w:eastAsia="仿宋_GB2312" w:cs="仿宋_GB2312"/>
                <w:sz w:val="24"/>
              </w:rPr>
            </w:pPr>
          </w:p>
        </w:tc>
        <w:tc>
          <w:tcPr>
            <w:tcW w:w="2388" w:type="dxa"/>
            <w:gridSpan w:val="3"/>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3138" w:type="dxa"/>
            <w:gridSpan w:val="6"/>
            <w:vAlign w:val="center"/>
          </w:tcPr>
          <w:p>
            <w:pPr>
              <w:autoSpaceDN w:val="0"/>
              <w:spacing w:line="320" w:lineRule="exact"/>
              <w:jc w:val="center"/>
              <w:textAlignment w:val="center"/>
              <w:rPr>
                <w:rFonts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成本指标</w:t>
            </w:r>
          </w:p>
        </w:tc>
        <w:tc>
          <w:tcPr>
            <w:tcW w:w="2388" w:type="dxa"/>
            <w:gridSpan w:val="3"/>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指标1：</w:t>
            </w:r>
          </w:p>
        </w:tc>
        <w:tc>
          <w:tcPr>
            <w:tcW w:w="3138" w:type="dxa"/>
            <w:gridSpan w:val="6"/>
            <w:vAlign w:val="center"/>
          </w:tcPr>
          <w:p>
            <w:pPr>
              <w:autoSpaceDN w:val="0"/>
              <w:spacing w:line="320" w:lineRule="exact"/>
              <w:jc w:val="center"/>
              <w:textAlignment w:val="center"/>
              <w:rPr>
                <w:rFonts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388" w:type="dxa"/>
            <w:gridSpan w:val="3"/>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指标2：</w:t>
            </w:r>
          </w:p>
        </w:tc>
        <w:tc>
          <w:tcPr>
            <w:tcW w:w="3138" w:type="dxa"/>
            <w:gridSpan w:val="6"/>
            <w:vAlign w:val="center"/>
          </w:tcPr>
          <w:p>
            <w:pPr>
              <w:autoSpaceDN w:val="0"/>
              <w:spacing w:line="320" w:lineRule="exact"/>
              <w:jc w:val="center"/>
              <w:textAlignment w:val="center"/>
              <w:rPr>
                <w:rFonts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ascii="仿宋_GB2312" w:hAnsi="仿宋_GB2312" w:eastAsia="仿宋_GB2312" w:cs="仿宋_GB2312"/>
                <w:sz w:val="24"/>
              </w:rPr>
            </w:pPr>
          </w:p>
        </w:tc>
        <w:tc>
          <w:tcPr>
            <w:tcW w:w="2388" w:type="dxa"/>
            <w:gridSpan w:val="3"/>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3138" w:type="dxa"/>
            <w:gridSpan w:val="6"/>
            <w:vAlign w:val="center"/>
          </w:tcPr>
          <w:p>
            <w:pPr>
              <w:autoSpaceDN w:val="0"/>
              <w:spacing w:line="320" w:lineRule="exact"/>
              <w:jc w:val="center"/>
              <w:textAlignment w:val="center"/>
              <w:rPr>
                <w:rFonts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效益目标</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（预期实现的效益）</w:t>
            </w:r>
          </w:p>
        </w:tc>
        <w:tc>
          <w:tcPr>
            <w:tcW w:w="1417"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社会效益</w:t>
            </w:r>
          </w:p>
        </w:tc>
        <w:tc>
          <w:tcPr>
            <w:tcW w:w="2388" w:type="dxa"/>
            <w:gridSpan w:val="3"/>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指标1：</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指标2：</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3138" w:type="dxa"/>
            <w:gridSpan w:val="6"/>
            <w:vAlign w:val="center"/>
          </w:tcPr>
          <w:p>
            <w:pPr>
              <w:autoSpaceDN w:val="0"/>
              <w:spacing w:line="320" w:lineRule="exact"/>
              <w:jc w:val="center"/>
              <w:textAlignment w:val="center"/>
              <w:rPr>
                <w:rFonts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经济效益</w:t>
            </w:r>
          </w:p>
        </w:tc>
        <w:tc>
          <w:tcPr>
            <w:tcW w:w="2388" w:type="dxa"/>
            <w:gridSpan w:val="3"/>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指标1：</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指标2：</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3138" w:type="dxa"/>
            <w:gridSpan w:val="6"/>
            <w:vAlign w:val="center"/>
          </w:tcPr>
          <w:p>
            <w:pPr>
              <w:autoSpaceDN w:val="0"/>
              <w:spacing w:line="320" w:lineRule="exact"/>
              <w:jc w:val="center"/>
              <w:textAlignment w:val="center"/>
              <w:rPr>
                <w:rFonts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生态效益</w:t>
            </w:r>
          </w:p>
        </w:tc>
        <w:tc>
          <w:tcPr>
            <w:tcW w:w="2388" w:type="dxa"/>
            <w:gridSpan w:val="3"/>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指标1：</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指标2：</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3138" w:type="dxa"/>
            <w:gridSpan w:val="6"/>
            <w:vAlign w:val="center"/>
          </w:tcPr>
          <w:p>
            <w:pPr>
              <w:autoSpaceDN w:val="0"/>
              <w:spacing w:line="320" w:lineRule="exact"/>
              <w:jc w:val="center"/>
              <w:textAlignment w:val="center"/>
              <w:rPr>
                <w:rFonts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社会公众或服务对象满意度</w:t>
            </w:r>
          </w:p>
        </w:tc>
        <w:tc>
          <w:tcPr>
            <w:tcW w:w="2388" w:type="dxa"/>
            <w:gridSpan w:val="3"/>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指标1：</w:t>
            </w:r>
          </w:p>
        </w:tc>
        <w:tc>
          <w:tcPr>
            <w:tcW w:w="3138" w:type="dxa"/>
            <w:gridSpan w:val="6"/>
            <w:vAlign w:val="center"/>
          </w:tcPr>
          <w:p>
            <w:pPr>
              <w:autoSpaceDN w:val="0"/>
              <w:spacing w:line="320" w:lineRule="exact"/>
              <w:jc w:val="center"/>
              <w:textAlignment w:val="center"/>
              <w:rPr>
                <w:rFonts w:hint="default" w:ascii="仿宋_GB2312" w:hAnsi="仿宋_GB2312" w:eastAsia="仿宋_GB2312" w:cs="仿宋_GB2312"/>
                <w:b/>
                <w:color w:val="00000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567" w:hRule="atLeast"/>
          <w:jc w:val="center"/>
        </w:trPr>
        <w:tc>
          <w:tcPr>
            <w:tcW w:w="2990"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绩效自评综合得分</w:t>
            </w:r>
          </w:p>
        </w:tc>
        <w:tc>
          <w:tcPr>
            <w:tcW w:w="6943" w:type="dxa"/>
            <w:gridSpan w:val="11"/>
            <w:vAlign w:val="center"/>
          </w:tcPr>
          <w:p>
            <w:pPr>
              <w:autoSpaceDN w:val="0"/>
              <w:spacing w:line="320" w:lineRule="exact"/>
              <w:jc w:val="both"/>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97分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567" w:hRule="atLeast"/>
          <w:jc w:val="center"/>
        </w:trPr>
        <w:tc>
          <w:tcPr>
            <w:tcW w:w="2990"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评价等次</w:t>
            </w:r>
          </w:p>
        </w:tc>
        <w:tc>
          <w:tcPr>
            <w:tcW w:w="6943" w:type="dxa"/>
            <w:gridSpan w:val="11"/>
            <w:vAlign w:val="center"/>
          </w:tcPr>
          <w:p>
            <w:pPr>
              <w:autoSpaceDN w:val="0"/>
              <w:spacing w:line="320" w:lineRule="exact"/>
              <w:jc w:val="both"/>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优秀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80" w:hRule="atLeast"/>
          <w:jc w:val="center"/>
        </w:trPr>
        <w:tc>
          <w:tcPr>
            <w:tcW w:w="9933" w:type="dxa"/>
            <w:gridSpan w:val="1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四、评价人员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567"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姓名</w:t>
            </w:r>
          </w:p>
        </w:tc>
        <w:tc>
          <w:tcPr>
            <w:tcW w:w="3561"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职务/职称</w:t>
            </w:r>
          </w:p>
        </w:tc>
        <w:tc>
          <w:tcPr>
            <w:tcW w:w="1479"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单位</w:t>
            </w:r>
          </w:p>
        </w:tc>
        <w:tc>
          <w:tcPr>
            <w:tcW w:w="3239" w:type="dxa"/>
            <w:gridSpan w:val="7"/>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签字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80" w:hRule="atLeast"/>
          <w:jc w:val="center"/>
        </w:trPr>
        <w:tc>
          <w:tcPr>
            <w:tcW w:w="1654" w:type="dxa"/>
            <w:gridSpan w:val="2"/>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p>
        </w:tc>
        <w:tc>
          <w:tcPr>
            <w:tcW w:w="3561" w:type="dxa"/>
            <w:gridSpan w:val="6"/>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p>
        </w:tc>
        <w:tc>
          <w:tcPr>
            <w:tcW w:w="1479" w:type="dxa"/>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市场监管局</w:t>
            </w:r>
          </w:p>
        </w:tc>
        <w:tc>
          <w:tcPr>
            <w:tcW w:w="3239" w:type="dxa"/>
            <w:gridSpan w:val="7"/>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80" w:hRule="atLeast"/>
          <w:jc w:val="center"/>
        </w:trPr>
        <w:tc>
          <w:tcPr>
            <w:tcW w:w="1654" w:type="dxa"/>
            <w:gridSpan w:val="2"/>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p>
        </w:tc>
        <w:tc>
          <w:tcPr>
            <w:tcW w:w="3561" w:type="dxa"/>
            <w:gridSpan w:val="6"/>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p>
        </w:tc>
        <w:tc>
          <w:tcPr>
            <w:tcW w:w="1479"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市场监管局</w:t>
            </w:r>
          </w:p>
        </w:tc>
        <w:tc>
          <w:tcPr>
            <w:tcW w:w="3239" w:type="dxa"/>
            <w:gridSpan w:val="7"/>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80" w:hRule="atLeast"/>
          <w:jc w:val="center"/>
        </w:trPr>
        <w:tc>
          <w:tcPr>
            <w:tcW w:w="1654" w:type="dxa"/>
            <w:gridSpan w:val="2"/>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p>
        </w:tc>
        <w:tc>
          <w:tcPr>
            <w:tcW w:w="3561" w:type="dxa"/>
            <w:gridSpan w:val="6"/>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p>
        </w:tc>
        <w:tc>
          <w:tcPr>
            <w:tcW w:w="1479"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市场监管局</w:t>
            </w:r>
          </w:p>
        </w:tc>
        <w:tc>
          <w:tcPr>
            <w:tcW w:w="3239" w:type="dxa"/>
            <w:gridSpan w:val="7"/>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80" w:hRule="atLeast"/>
          <w:jc w:val="center"/>
        </w:trPr>
        <w:tc>
          <w:tcPr>
            <w:tcW w:w="1654" w:type="dxa"/>
            <w:gridSpan w:val="2"/>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p>
        </w:tc>
        <w:tc>
          <w:tcPr>
            <w:tcW w:w="3561" w:type="dxa"/>
            <w:gridSpan w:val="6"/>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p>
        </w:tc>
        <w:tc>
          <w:tcPr>
            <w:tcW w:w="1479"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市场监管局</w:t>
            </w:r>
          </w:p>
        </w:tc>
        <w:tc>
          <w:tcPr>
            <w:tcW w:w="3239" w:type="dxa"/>
            <w:gridSpan w:val="7"/>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2722" w:hRule="atLeast"/>
          <w:jc w:val="center"/>
        </w:trPr>
        <w:tc>
          <w:tcPr>
            <w:tcW w:w="9933" w:type="dxa"/>
            <w:gridSpan w:val="16"/>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评价组组长（签字）：</w:t>
            </w: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年月日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2722" w:hRule="atLeast"/>
          <w:jc w:val="center"/>
        </w:trPr>
        <w:tc>
          <w:tcPr>
            <w:tcW w:w="9933" w:type="dxa"/>
            <w:gridSpan w:val="16"/>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部门（单位）意见：</w:t>
            </w: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部门（单位）负责人（签章）：</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年月日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794" w:hRule="atLeast"/>
          <w:jc w:val="center"/>
        </w:trPr>
        <w:tc>
          <w:tcPr>
            <w:tcW w:w="9993" w:type="dxa"/>
            <w:gridSpan w:val="17"/>
            <w:vAlign w:val="center"/>
          </w:tcPr>
          <w:p>
            <w:pPr>
              <w:spacing w:line="320" w:lineRule="exact"/>
              <w:rPr>
                <w:rFonts w:eastAsia="仿宋_GB2312"/>
                <w:sz w:val="24"/>
              </w:rPr>
            </w:pPr>
            <w:r>
              <w:rPr>
                <w:rFonts w:hint="eastAsia" w:eastAsia="仿宋_GB2312"/>
                <w:sz w:val="24"/>
              </w:rPr>
              <w:t>财政部门归口业务科室意见：</w:t>
            </w:r>
          </w:p>
          <w:p>
            <w:pPr>
              <w:spacing w:line="320" w:lineRule="exact"/>
              <w:rPr>
                <w:rFonts w:eastAsia="仿宋_GB2312"/>
                <w:sz w:val="24"/>
              </w:rPr>
            </w:pPr>
          </w:p>
          <w:p>
            <w:pPr>
              <w:spacing w:line="320" w:lineRule="exact"/>
              <w:rPr>
                <w:rFonts w:eastAsia="仿宋_GB2312"/>
                <w:sz w:val="24"/>
              </w:rPr>
            </w:pPr>
          </w:p>
          <w:p>
            <w:pPr>
              <w:spacing w:line="320" w:lineRule="exact"/>
              <w:rPr>
                <w:rFonts w:eastAsia="仿宋_GB2312"/>
                <w:sz w:val="24"/>
              </w:rPr>
            </w:pPr>
          </w:p>
          <w:p>
            <w:pPr>
              <w:spacing w:line="320" w:lineRule="exact"/>
              <w:rPr>
                <w:rFonts w:eastAsia="仿宋_GB2312"/>
                <w:sz w:val="24"/>
              </w:rPr>
            </w:pPr>
          </w:p>
          <w:p>
            <w:pPr>
              <w:spacing w:line="320" w:lineRule="exact"/>
              <w:rPr>
                <w:rFonts w:eastAsia="仿宋_GB2312"/>
                <w:sz w:val="24"/>
              </w:rPr>
            </w:pPr>
            <w:r>
              <w:rPr>
                <w:rFonts w:hint="eastAsia" w:eastAsia="仿宋_GB2312"/>
                <w:sz w:val="24"/>
              </w:rPr>
              <w:t>财政部门归口业务科室负责人（签章）：</w:t>
            </w:r>
          </w:p>
          <w:p>
            <w:pPr>
              <w:autoSpaceDN w:val="0"/>
              <w:spacing w:line="320" w:lineRule="exact"/>
              <w:jc w:val="left"/>
              <w:textAlignment w:val="center"/>
              <w:rPr>
                <w:rFonts w:ascii="仿宋_GB2312" w:hAnsi="仿宋_GB2312" w:eastAsia="仿宋_GB2312" w:cs="仿宋_GB2312"/>
                <w:color w:val="000000"/>
                <w:sz w:val="24"/>
              </w:rPr>
            </w:pPr>
            <w:r>
              <w:rPr>
                <w:rFonts w:hint="eastAsia" w:eastAsia="仿宋_GB2312"/>
                <w:sz w:val="24"/>
              </w:rPr>
              <w:t>年月日</w:t>
            </w:r>
          </w:p>
        </w:tc>
      </w:tr>
    </w:tbl>
    <w:p>
      <w:pPr>
        <w:rPr>
          <w:rFonts w:hint="default" w:eastAsia="仿宋_GB2312" w:cs="仿宋_GB2312"/>
          <w:bCs/>
          <w:sz w:val="28"/>
          <w:szCs w:val="28"/>
          <w:lang w:val="en-US" w:eastAsia="zh-CN"/>
        </w:rPr>
      </w:pPr>
      <w:r>
        <w:rPr>
          <w:rFonts w:hint="eastAsia" w:eastAsia="仿宋_GB2312" w:cs="仿宋_GB2312"/>
          <w:bCs/>
          <w:sz w:val="28"/>
          <w:szCs w:val="28"/>
        </w:rPr>
        <w:t>填报人（签名）：</w:t>
      </w:r>
      <w:r>
        <w:rPr>
          <w:rFonts w:hint="eastAsia" w:eastAsia="仿宋_GB2312" w:cs="仿宋_GB2312"/>
          <w:bCs/>
          <w:sz w:val="28"/>
          <w:szCs w:val="28"/>
          <w:lang w:eastAsia="zh-CN"/>
        </w:rPr>
        <w:t>徐瑶</w:t>
      </w:r>
      <w:r>
        <w:rPr>
          <w:rFonts w:hint="eastAsia" w:eastAsia="仿宋_GB2312" w:cs="仿宋_GB2312"/>
          <w:bCs/>
          <w:sz w:val="28"/>
          <w:szCs w:val="28"/>
          <w:lang w:val="en-US" w:eastAsia="zh-CN"/>
        </w:rPr>
        <w:t xml:space="preserve">               </w:t>
      </w:r>
      <w:r>
        <w:rPr>
          <w:rFonts w:hint="eastAsia" w:eastAsia="仿宋_GB2312" w:cs="仿宋_GB2312"/>
          <w:bCs/>
          <w:sz w:val="28"/>
          <w:szCs w:val="28"/>
        </w:rPr>
        <w:t>联系电话：</w:t>
      </w:r>
      <w:r>
        <w:rPr>
          <w:rFonts w:hint="eastAsia" w:eastAsia="仿宋_GB2312" w:cs="仿宋_GB2312"/>
          <w:bCs/>
          <w:sz w:val="28"/>
          <w:szCs w:val="28"/>
          <w:lang w:val="en-US" w:eastAsia="zh-CN"/>
        </w:rPr>
        <w:t>0730-8224907</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8" w:hRule="atLeast"/>
          <w:jc w:val="center"/>
        </w:trPr>
        <w:tc>
          <w:tcPr>
            <w:tcW w:w="9558" w:type="dxa"/>
          </w:tcPr>
          <w:p>
            <w:pPr>
              <w:jc w:val="center"/>
              <w:rPr>
                <w:rFonts w:ascii="黑体" w:hAnsi="黑体" w:eastAsia="黑体" w:cs="黑体"/>
                <w:bCs/>
                <w:sz w:val="28"/>
                <w:szCs w:val="28"/>
              </w:rPr>
            </w:pPr>
            <w:r>
              <w:rPr>
                <w:rFonts w:hint="eastAsia" w:ascii="黑体" w:hAnsi="黑体" w:eastAsia="黑体" w:cs="黑体"/>
                <w:bCs/>
                <w:sz w:val="28"/>
                <w:szCs w:val="28"/>
              </w:rPr>
              <w:t>五、评价报告综述（文字部分）</w:t>
            </w:r>
          </w:p>
          <w:p>
            <w:pPr>
              <w:spacing w:line="440" w:lineRule="exact"/>
              <w:ind w:firstLine="640" w:firstLineChars="200"/>
              <w:rPr>
                <w:rFonts w:eastAsia="仿宋_GB2312"/>
                <w:sz w:val="32"/>
                <w:szCs w:val="32"/>
              </w:rPr>
            </w:pPr>
          </w:p>
          <w:p>
            <w:pPr>
              <w:spacing w:line="560" w:lineRule="exact"/>
              <w:ind w:firstLine="560" w:firstLineChars="200"/>
              <w:rPr>
                <w:rFonts w:ascii="黑体" w:hAnsi="黑体" w:eastAsia="黑体" w:cs="黑体"/>
                <w:bCs/>
                <w:sz w:val="28"/>
                <w:szCs w:val="28"/>
              </w:rPr>
            </w:pPr>
            <w:r>
              <w:rPr>
                <w:rFonts w:hint="eastAsia" w:ascii="黑体" w:hAnsi="黑体" w:eastAsia="黑体" w:cs="黑体"/>
                <w:bCs/>
                <w:sz w:val="28"/>
                <w:szCs w:val="28"/>
              </w:rPr>
              <w:t>一、部门（单位）概况</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（一）部门（单位）基本情况</w:t>
            </w:r>
          </w:p>
          <w:p>
            <w:pPr>
              <w:pStyle w:val="6"/>
              <w:shd w:val="clear" w:color="auto" w:fill="FFFFFF"/>
              <w:spacing w:before="0" w:beforeAutospacing="0" w:after="0" w:afterAutospacing="0"/>
              <w:ind w:firstLine="422" w:firstLineChars="150"/>
              <w:rPr>
                <w:rFonts w:ascii="Arial" w:hAnsi="Arial" w:cs="Arial"/>
                <w:b/>
                <w:bCs w:val="0"/>
                <w:sz w:val="28"/>
              </w:rPr>
            </w:pPr>
            <w:r>
              <w:rPr>
                <w:rFonts w:hint="eastAsia" w:ascii="仿宋_GB2312" w:hAnsi="仿宋_GB2312" w:eastAsia="仿宋_GB2312" w:cs="仿宋_GB2312"/>
                <w:b/>
                <w:bCs w:val="0"/>
                <w:sz w:val="28"/>
                <w:szCs w:val="28"/>
                <w:lang w:val="en-US" w:eastAsia="zh-CN"/>
              </w:rPr>
              <w:t>1、机构设置</w:t>
            </w:r>
          </w:p>
          <w:p>
            <w:pPr>
              <w:pStyle w:val="6"/>
              <w:shd w:val="clear" w:color="auto" w:fill="FFFFFF"/>
              <w:spacing w:before="0" w:beforeAutospacing="0" w:after="0" w:afterAutospacing="0"/>
              <w:ind w:firstLine="570"/>
              <w:rPr>
                <w:rFonts w:hint="eastAsia" w:ascii="仿宋_GB2312" w:hAnsi="仿宋_GB2312" w:eastAsia="仿宋_GB2312" w:cs="仿宋_GB2312"/>
                <w:color w:val="333333"/>
                <w:sz w:val="28"/>
                <w:szCs w:val="28"/>
              </w:rPr>
            </w:pPr>
            <w:r>
              <w:rPr>
                <w:rFonts w:hint="eastAsia" w:ascii="仿宋_GB2312" w:hAnsi="仿宋_GB2312" w:eastAsia="仿宋_GB2312" w:cs="仿宋_GB2312"/>
                <w:color w:val="333333"/>
                <w:sz w:val="28"/>
                <w:szCs w:val="28"/>
              </w:rPr>
              <w:t>根据</w:t>
            </w:r>
            <w:r>
              <w:rPr>
                <w:rFonts w:hint="eastAsia" w:ascii="仿宋_GB2312" w:hAnsi="仿宋_GB2312" w:eastAsia="仿宋_GB2312" w:cs="仿宋_GB2312"/>
                <w:color w:val="333333"/>
                <w:sz w:val="28"/>
                <w:szCs w:val="28"/>
                <w:lang w:eastAsia="zh-CN"/>
              </w:rPr>
              <w:t>市委</w:t>
            </w:r>
            <w:r>
              <w:rPr>
                <w:rFonts w:hint="eastAsia" w:ascii="仿宋_GB2312" w:hAnsi="仿宋_GB2312" w:eastAsia="仿宋_GB2312" w:cs="仿宋_GB2312"/>
                <w:color w:val="333333"/>
                <w:sz w:val="28"/>
                <w:szCs w:val="28"/>
              </w:rPr>
              <w:t>编</w:t>
            </w:r>
            <w:r>
              <w:rPr>
                <w:rFonts w:hint="eastAsia" w:ascii="仿宋_GB2312" w:hAnsi="仿宋_GB2312" w:eastAsia="仿宋_GB2312" w:cs="仿宋_GB2312"/>
                <w:color w:val="333333"/>
                <w:sz w:val="28"/>
                <w:szCs w:val="28"/>
                <w:lang w:eastAsia="zh-CN"/>
              </w:rPr>
              <w:t>办</w:t>
            </w:r>
            <w:r>
              <w:rPr>
                <w:rFonts w:hint="eastAsia" w:ascii="仿宋_GB2312" w:hAnsi="仿宋_GB2312" w:eastAsia="仿宋_GB2312" w:cs="仿宋_GB2312"/>
                <w:color w:val="333333"/>
                <w:sz w:val="28"/>
                <w:szCs w:val="28"/>
              </w:rPr>
              <w:t>核定，我局</w:t>
            </w:r>
            <w:r>
              <w:rPr>
                <w:rFonts w:hint="eastAsia" w:ascii="仿宋_GB2312" w:hAnsi="仿宋_GB2312" w:eastAsia="仿宋_GB2312" w:cs="仿宋_GB2312"/>
                <w:color w:val="333333"/>
                <w:sz w:val="28"/>
                <w:szCs w:val="28"/>
                <w:lang w:eastAsia="zh-CN"/>
              </w:rPr>
              <w:t>设置机构</w:t>
            </w:r>
            <w:r>
              <w:rPr>
                <w:rFonts w:hint="eastAsia" w:ascii="仿宋_GB2312" w:hAnsi="仿宋_GB2312" w:eastAsia="仿宋_GB2312" w:cs="仿宋_GB2312"/>
                <w:color w:val="333333"/>
                <w:sz w:val="28"/>
                <w:szCs w:val="28"/>
                <w:lang w:val="en-US" w:eastAsia="zh-CN"/>
              </w:rPr>
              <w:t>43个，其中</w:t>
            </w:r>
            <w:r>
              <w:rPr>
                <w:rFonts w:hint="eastAsia" w:ascii="仿宋_GB2312" w:hAnsi="仿宋_GB2312" w:eastAsia="仿宋_GB2312" w:cs="仿宋_GB2312"/>
                <w:color w:val="333333"/>
                <w:sz w:val="28"/>
                <w:szCs w:val="28"/>
              </w:rPr>
              <w:t>内设机构</w:t>
            </w:r>
            <w:r>
              <w:rPr>
                <w:rFonts w:hint="eastAsia" w:ascii="仿宋_GB2312" w:hAnsi="仿宋_GB2312" w:eastAsia="仿宋_GB2312" w:cs="仿宋_GB2312"/>
                <w:color w:val="333333"/>
                <w:sz w:val="28"/>
                <w:szCs w:val="28"/>
                <w:lang w:val="en-US" w:eastAsia="zh-CN"/>
              </w:rPr>
              <w:t>33</w:t>
            </w:r>
            <w:r>
              <w:rPr>
                <w:rFonts w:hint="eastAsia" w:ascii="仿宋_GB2312" w:hAnsi="仿宋_GB2312" w:eastAsia="仿宋_GB2312" w:cs="仿宋_GB2312"/>
                <w:color w:val="333333"/>
                <w:sz w:val="28"/>
                <w:szCs w:val="28"/>
              </w:rPr>
              <w:t>个，</w:t>
            </w:r>
            <w:r>
              <w:rPr>
                <w:rFonts w:hint="eastAsia" w:ascii="仿宋_GB2312" w:hAnsi="仿宋_GB2312" w:eastAsia="仿宋_GB2312" w:cs="仿宋_GB2312"/>
                <w:color w:val="333333"/>
                <w:sz w:val="28"/>
                <w:szCs w:val="28"/>
                <w:lang w:eastAsia="zh-CN"/>
              </w:rPr>
              <w:t>副处级综合行政执法支队</w:t>
            </w:r>
            <w:r>
              <w:rPr>
                <w:rFonts w:hint="eastAsia" w:ascii="仿宋_GB2312" w:hAnsi="仿宋_GB2312" w:eastAsia="仿宋_GB2312" w:cs="仿宋_GB2312"/>
                <w:color w:val="333333"/>
                <w:sz w:val="28"/>
                <w:szCs w:val="28"/>
                <w:lang w:val="en-US" w:eastAsia="zh-CN"/>
              </w:rPr>
              <w:t>1个，</w:t>
            </w:r>
            <w:r>
              <w:rPr>
                <w:rFonts w:hint="eastAsia" w:ascii="仿宋_GB2312" w:hAnsi="仿宋_GB2312" w:eastAsia="仿宋_GB2312" w:cs="仿宋_GB2312"/>
                <w:color w:val="333333"/>
                <w:sz w:val="28"/>
                <w:szCs w:val="28"/>
              </w:rPr>
              <w:t>直属事业</w:t>
            </w:r>
            <w:r>
              <w:rPr>
                <w:rFonts w:hint="eastAsia" w:ascii="仿宋_GB2312" w:hAnsi="仿宋_GB2312" w:eastAsia="仿宋_GB2312" w:cs="仿宋_GB2312"/>
                <w:color w:val="333333"/>
                <w:sz w:val="28"/>
                <w:szCs w:val="28"/>
                <w:lang w:eastAsia="zh-CN"/>
              </w:rPr>
              <w:t>单位</w:t>
            </w:r>
            <w:r>
              <w:rPr>
                <w:rFonts w:hint="eastAsia" w:ascii="仿宋_GB2312" w:hAnsi="仿宋_GB2312" w:eastAsia="仿宋_GB2312" w:cs="仿宋_GB2312"/>
                <w:color w:val="333333"/>
                <w:sz w:val="28"/>
                <w:szCs w:val="28"/>
                <w:lang w:val="en-US" w:eastAsia="zh-CN"/>
              </w:rPr>
              <w:t>4</w:t>
            </w:r>
            <w:r>
              <w:rPr>
                <w:rFonts w:hint="eastAsia" w:ascii="仿宋_GB2312" w:hAnsi="仿宋_GB2312" w:eastAsia="仿宋_GB2312" w:cs="仿宋_GB2312"/>
                <w:color w:val="333333"/>
                <w:sz w:val="28"/>
                <w:szCs w:val="28"/>
              </w:rPr>
              <w:t>个，</w:t>
            </w:r>
            <w:r>
              <w:rPr>
                <w:rFonts w:hint="eastAsia" w:ascii="仿宋_GB2312" w:hAnsi="仿宋_GB2312" w:eastAsia="仿宋_GB2312" w:cs="仿宋_GB2312"/>
                <w:color w:val="333333"/>
                <w:sz w:val="28"/>
                <w:szCs w:val="28"/>
                <w:lang w:eastAsia="zh-CN"/>
              </w:rPr>
              <w:t>直属分局</w:t>
            </w:r>
            <w:r>
              <w:rPr>
                <w:rFonts w:hint="eastAsia" w:ascii="仿宋_GB2312" w:hAnsi="仿宋_GB2312" w:eastAsia="仿宋_GB2312" w:cs="仿宋_GB2312"/>
                <w:color w:val="333333"/>
                <w:sz w:val="28"/>
                <w:szCs w:val="28"/>
                <w:lang w:val="en-US" w:eastAsia="zh-CN"/>
              </w:rPr>
              <w:t>3</w:t>
            </w:r>
            <w:r>
              <w:rPr>
                <w:rFonts w:hint="eastAsia" w:ascii="仿宋_GB2312" w:hAnsi="仿宋_GB2312" w:eastAsia="仿宋_GB2312" w:cs="仿宋_GB2312"/>
                <w:color w:val="333333"/>
                <w:sz w:val="28"/>
                <w:szCs w:val="28"/>
              </w:rPr>
              <w:t>个。</w:t>
            </w:r>
          </w:p>
          <w:p>
            <w:pPr>
              <w:pStyle w:val="6"/>
              <w:shd w:val="clear" w:color="auto" w:fill="FFFFFF"/>
              <w:spacing w:before="0" w:beforeAutospacing="0" w:after="0" w:afterAutospacing="0"/>
              <w:ind w:firstLine="570"/>
              <w:rPr>
                <w:rFonts w:hint="eastAsia" w:ascii="仿宋_GB2312" w:eastAsia="仿宋_GB2312"/>
                <w:sz w:val="28"/>
                <w:szCs w:val="28"/>
                <w:lang w:eastAsia="zh-CN"/>
              </w:rPr>
            </w:pPr>
            <w:r>
              <w:rPr>
                <w:rFonts w:hint="eastAsia" w:ascii="仿宋_GB2312" w:hAnsi="仿宋_GB2312" w:eastAsia="仿宋_GB2312" w:cs="仿宋_GB2312"/>
                <w:sz w:val="28"/>
                <w:szCs w:val="28"/>
              </w:rPr>
              <w:t>内设科室分别是办公室、</w:t>
            </w:r>
            <w:r>
              <w:rPr>
                <w:rFonts w:hint="eastAsia" w:ascii="仿宋_GB2312" w:eastAsia="仿宋_GB2312"/>
                <w:sz w:val="28"/>
                <w:szCs w:val="28"/>
              </w:rPr>
              <w:tab/>
            </w:r>
            <w:r>
              <w:rPr>
                <w:rFonts w:hint="eastAsia" w:ascii="仿宋_GB2312" w:eastAsia="仿宋_GB2312"/>
                <w:sz w:val="28"/>
                <w:szCs w:val="28"/>
              </w:rPr>
              <w:t>综合规划和科技信息化科</w:t>
            </w:r>
            <w:r>
              <w:rPr>
                <w:rFonts w:hint="eastAsia" w:ascii="仿宋_GB2312" w:hAnsi="仿宋_GB2312" w:eastAsia="仿宋_GB2312" w:cs="仿宋_GB2312"/>
                <w:sz w:val="28"/>
                <w:szCs w:val="28"/>
              </w:rPr>
              <w:t>、</w:t>
            </w:r>
            <w:r>
              <w:rPr>
                <w:rFonts w:hint="eastAsia" w:ascii="仿宋_GB2312" w:eastAsia="仿宋_GB2312"/>
                <w:sz w:val="28"/>
                <w:szCs w:val="28"/>
              </w:rPr>
              <w:t>政策法规科</w:t>
            </w:r>
            <w:r>
              <w:rPr>
                <w:rFonts w:hint="eastAsia" w:ascii="仿宋_GB2312" w:eastAsia="仿宋_GB2312"/>
                <w:sz w:val="28"/>
                <w:szCs w:val="28"/>
                <w:lang w:eastAsia="zh-CN"/>
              </w:rPr>
              <w:t>、</w:t>
            </w:r>
            <w:r>
              <w:rPr>
                <w:rFonts w:hint="eastAsia" w:ascii="仿宋_GB2312" w:eastAsia="仿宋_GB2312"/>
                <w:sz w:val="28"/>
                <w:szCs w:val="28"/>
              </w:rPr>
              <w:t>信用监督管理科</w:t>
            </w:r>
            <w:r>
              <w:rPr>
                <w:rFonts w:hint="eastAsia" w:ascii="仿宋_GB2312" w:eastAsia="仿宋_GB2312"/>
                <w:sz w:val="28"/>
                <w:szCs w:val="28"/>
                <w:lang w:eastAsia="zh-CN"/>
              </w:rPr>
              <w:t>、</w:t>
            </w:r>
            <w:r>
              <w:rPr>
                <w:rFonts w:hint="eastAsia" w:ascii="仿宋_GB2312" w:eastAsia="仿宋_GB2312"/>
                <w:sz w:val="28"/>
                <w:szCs w:val="28"/>
              </w:rPr>
              <w:t>网络交易监督管理科</w:t>
            </w:r>
            <w:r>
              <w:rPr>
                <w:rFonts w:hint="eastAsia" w:ascii="仿宋_GB2312" w:eastAsia="仿宋_GB2312"/>
                <w:sz w:val="28"/>
                <w:szCs w:val="28"/>
                <w:lang w:eastAsia="zh-CN"/>
              </w:rPr>
              <w:t>、</w:t>
            </w:r>
            <w:r>
              <w:rPr>
                <w:rFonts w:hint="eastAsia" w:ascii="仿宋_GB2312" w:eastAsia="仿宋_GB2312"/>
                <w:sz w:val="28"/>
                <w:szCs w:val="28"/>
              </w:rPr>
              <w:t>广告监督管理科</w:t>
            </w:r>
            <w:r>
              <w:rPr>
                <w:rFonts w:hint="eastAsia" w:ascii="仿宋_GB2312" w:hAnsi="仿宋_GB2312" w:eastAsia="仿宋_GB2312" w:cs="仿宋_GB2312"/>
                <w:sz w:val="28"/>
                <w:szCs w:val="28"/>
              </w:rPr>
              <w:t>、</w:t>
            </w:r>
            <w:r>
              <w:rPr>
                <w:rFonts w:hint="eastAsia" w:ascii="仿宋_GB2312" w:eastAsia="仿宋_GB2312"/>
                <w:sz w:val="28"/>
                <w:szCs w:val="28"/>
              </w:rPr>
              <w:t>登记注册科</w:t>
            </w:r>
            <w:r>
              <w:rPr>
                <w:rFonts w:hint="eastAsia" w:ascii="仿宋_GB2312" w:hAnsi="仿宋_GB2312" w:eastAsia="仿宋_GB2312" w:cs="仿宋_GB2312"/>
                <w:sz w:val="28"/>
                <w:szCs w:val="28"/>
              </w:rPr>
              <w:t>、</w:t>
            </w:r>
            <w:r>
              <w:rPr>
                <w:rFonts w:hint="eastAsia" w:ascii="仿宋_GB2312" w:eastAsia="仿宋_GB2312"/>
                <w:sz w:val="28"/>
                <w:szCs w:val="28"/>
              </w:rPr>
              <w:t>市场规范管理科</w:t>
            </w:r>
            <w:r>
              <w:rPr>
                <w:rFonts w:hint="eastAsia" w:ascii="仿宋_GB2312" w:hAnsi="仿宋_GB2312" w:eastAsia="仿宋_GB2312" w:cs="仿宋_GB2312"/>
                <w:sz w:val="28"/>
                <w:szCs w:val="28"/>
              </w:rPr>
              <w:t>、</w:t>
            </w:r>
            <w:r>
              <w:rPr>
                <w:rFonts w:hint="eastAsia" w:ascii="仿宋_GB2312" w:eastAsia="仿宋_GB2312"/>
                <w:sz w:val="28"/>
                <w:szCs w:val="28"/>
              </w:rPr>
              <w:t>反不正当竞争和反垄断科</w:t>
            </w:r>
            <w:r>
              <w:rPr>
                <w:rFonts w:hint="eastAsia" w:ascii="仿宋_GB2312" w:hAnsi="仿宋_GB2312" w:eastAsia="仿宋_GB2312" w:cs="仿宋_GB2312"/>
                <w:sz w:val="28"/>
                <w:szCs w:val="28"/>
              </w:rPr>
              <w:t>、</w:t>
            </w:r>
            <w:r>
              <w:rPr>
                <w:rFonts w:hint="eastAsia" w:ascii="仿宋_GB2312" w:eastAsia="仿宋_GB2312"/>
                <w:sz w:val="28"/>
                <w:szCs w:val="28"/>
              </w:rPr>
              <w:t>价格监督管理科</w:t>
            </w:r>
            <w:r>
              <w:rPr>
                <w:rFonts w:hint="eastAsia" w:ascii="仿宋_GB2312" w:hAnsi="仿宋_GB2312" w:eastAsia="仿宋_GB2312" w:cs="仿宋_GB2312"/>
                <w:sz w:val="28"/>
                <w:szCs w:val="28"/>
              </w:rPr>
              <w:t>、</w:t>
            </w:r>
            <w:r>
              <w:rPr>
                <w:rFonts w:hint="eastAsia" w:ascii="仿宋_GB2312" w:eastAsia="仿宋_GB2312"/>
                <w:sz w:val="28"/>
                <w:szCs w:val="28"/>
              </w:rPr>
              <w:t>投诉举报科</w:t>
            </w:r>
            <w:r>
              <w:rPr>
                <w:rFonts w:hint="eastAsia" w:ascii="仿宋_GB2312" w:hAnsi="仿宋_GB2312" w:eastAsia="仿宋_GB2312" w:cs="仿宋_GB2312"/>
                <w:sz w:val="28"/>
                <w:szCs w:val="28"/>
              </w:rPr>
              <w:t>、</w:t>
            </w:r>
            <w:r>
              <w:rPr>
                <w:rFonts w:hint="eastAsia" w:ascii="仿宋_GB2312" w:eastAsia="仿宋_GB2312"/>
                <w:sz w:val="28"/>
                <w:szCs w:val="28"/>
              </w:rPr>
              <w:t>质量发展科</w:t>
            </w:r>
            <w:r>
              <w:rPr>
                <w:rFonts w:hint="eastAsia" w:ascii="仿宋_GB2312" w:eastAsia="仿宋_GB2312"/>
                <w:sz w:val="28"/>
                <w:szCs w:val="28"/>
                <w:lang w:eastAsia="zh-CN"/>
              </w:rPr>
              <w:t>、</w:t>
            </w:r>
            <w:r>
              <w:rPr>
                <w:rFonts w:hint="eastAsia" w:ascii="仿宋_GB2312" w:eastAsia="仿宋_GB2312"/>
                <w:sz w:val="28"/>
                <w:szCs w:val="28"/>
              </w:rPr>
              <w:t>产品质量安全监督管理科</w:t>
            </w:r>
            <w:r>
              <w:rPr>
                <w:rFonts w:hint="eastAsia" w:ascii="仿宋_GB2312" w:hAnsi="仿宋_GB2312" w:eastAsia="仿宋_GB2312" w:cs="仿宋_GB2312"/>
                <w:sz w:val="28"/>
                <w:szCs w:val="28"/>
              </w:rPr>
              <w:t>、</w:t>
            </w:r>
            <w:r>
              <w:rPr>
                <w:rFonts w:hint="eastAsia" w:ascii="仿宋_GB2312" w:eastAsia="仿宋_GB2312"/>
                <w:sz w:val="28"/>
                <w:szCs w:val="28"/>
              </w:rPr>
              <w:t>食品安全协调科</w:t>
            </w:r>
            <w:r>
              <w:rPr>
                <w:rFonts w:hint="eastAsia" w:ascii="仿宋_GB2312" w:hAnsi="仿宋_GB2312" w:eastAsia="仿宋_GB2312" w:cs="仿宋_GB2312"/>
                <w:sz w:val="28"/>
                <w:szCs w:val="28"/>
              </w:rPr>
              <w:t>、</w:t>
            </w:r>
            <w:r>
              <w:rPr>
                <w:rFonts w:hint="eastAsia" w:ascii="仿宋_GB2312" w:eastAsia="仿宋_GB2312"/>
                <w:sz w:val="28"/>
                <w:szCs w:val="28"/>
              </w:rPr>
              <w:t>食品生产安全监督管理科</w:t>
            </w:r>
            <w:r>
              <w:rPr>
                <w:rFonts w:hint="eastAsia" w:ascii="仿宋_GB2312" w:eastAsia="仿宋_GB2312"/>
                <w:sz w:val="28"/>
                <w:szCs w:val="28"/>
                <w:lang w:eastAsia="zh-CN"/>
              </w:rPr>
              <w:t>、</w:t>
            </w:r>
            <w:r>
              <w:rPr>
                <w:rFonts w:hint="eastAsia" w:ascii="仿宋_GB2312" w:eastAsia="仿宋_GB2312"/>
                <w:sz w:val="28"/>
                <w:szCs w:val="28"/>
              </w:rPr>
              <w:t>食品经营安全监督管理科</w:t>
            </w:r>
            <w:r>
              <w:rPr>
                <w:rFonts w:hint="eastAsia" w:ascii="仿宋_GB2312" w:eastAsia="仿宋_GB2312"/>
                <w:sz w:val="28"/>
                <w:szCs w:val="28"/>
                <w:lang w:eastAsia="zh-CN"/>
              </w:rPr>
              <w:t>、</w:t>
            </w:r>
            <w:r>
              <w:rPr>
                <w:rFonts w:hint="eastAsia" w:ascii="仿宋_GB2312" w:eastAsia="仿宋_GB2312"/>
                <w:sz w:val="28"/>
                <w:szCs w:val="28"/>
              </w:rPr>
              <w:t>特殊食品和化妆品安全监督管理科</w:t>
            </w:r>
            <w:r>
              <w:rPr>
                <w:rFonts w:hint="eastAsia" w:ascii="仿宋_GB2312" w:eastAsia="仿宋_GB2312"/>
                <w:sz w:val="28"/>
                <w:szCs w:val="28"/>
                <w:lang w:eastAsia="zh-CN"/>
              </w:rPr>
              <w:t>、</w:t>
            </w:r>
            <w:r>
              <w:rPr>
                <w:rFonts w:hint="eastAsia" w:ascii="仿宋_GB2312" w:eastAsia="仿宋_GB2312"/>
                <w:sz w:val="28"/>
                <w:szCs w:val="28"/>
              </w:rPr>
              <w:t>餐饮食品安全监督管理科</w:t>
            </w:r>
            <w:r>
              <w:rPr>
                <w:rFonts w:hint="eastAsia" w:ascii="仿宋_GB2312" w:eastAsia="仿宋_GB2312"/>
                <w:sz w:val="28"/>
                <w:szCs w:val="28"/>
                <w:lang w:eastAsia="zh-CN"/>
              </w:rPr>
              <w:t>、</w:t>
            </w:r>
            <w:r>
              <w:rPr>
                <w:rFonts w:hint="eastAsia" w:ascii="仿宋_GB2312" w:eastAsia="仿宋_GB2312"/>
                <w:sz w:val="28"/>
                <w:szCs w:val="28"/>
              </w:rPr>
              <w:t>抽检监测管理科</w:t>
            </w:r>
            <w:r>
              <w:rPr>
                <w:rFonts w:hint="eastAsia" w:ascii="仿宋_GB2312" w:eastAsia="仿宋_GB2312"/>
                <w:sz w:val="28"/>
                <w:szCs w:val="28"/>
                <w:lang w:eastAsia="zh-CN"/>
              </w:rPr>
              <w:t>、</w:t>
            </w:r>
            <w:r>
              <w:rPr>
                <w:rFonts w:hint="eastAsia" w:ascii="仿宋_GB2312" w:eastAsia="仿宋_GB2312"/>
                <w:sz w:val="28"/>
                <w:szCs w:val="28"/>
              </w:rPr>
              <w:t>药品生产指导协调科</w:t>
            </w:r>
            <w:r>
              <w:rPr>
                <w:rFonts w:hint="eastAsia" w:ascii="仿宋_GB2312" w:eastAsia="仿宋_GB2312"/>
                <w:sz w:val="28"/>
                <w:szCs w:val="28"/>
                <w:lang w:eastAsia="zh-CN"/>
              </w:rPr>
              <w:t>、</w:t>
            </w:r>
            <w:r>
              <w:rPr>
                <w:rFonts w:hint="eastAsia" w:ascii="仿宋_GB2312" w:eastAsia="仿宋_GB2312"/>
                <w:sz w:val="28"/>
                <w:szCs w:val="28"/>
              </w:rPr>
              <w:t>药品流通监督管理科</w:t>
            </w:r>
            <w:r>
              <w:rPr>
                <w:rFonts w:hint="eastAsia" w:ascii="仿宋_GB2312" w:eastAsia="仿宋_GB2312"/>
                <w:sz w:val="28"/>
                <w:szCs w:val="28"/>
                <w:lang w:eastAsia="zh-CN"/>
              </w:rPr>
              <w:t>、</w:t>
            </w:r>
            <w:r>
              <w:rPr>
                <w:rFonts w:hint="eastAsia" w:ascii="仿宋_GB2312" w:eastAsia="仿宋_GB2312"/>
                <w:sz w:val="28"/>
                <w:szCs w:val="28"/>
              </w:rPr>
              <w:t>医疗器械监督管理科</w:t>
            </w:r>
            <w:r>
              <w:rPr>
                <w:rFonts w:hint="eastAsia" w:ascii="仿宋_GB2312" w:eastAsia="仿宋_GB2312"/>
                <w:sz w:val="28"/>
                <w:szCs w:val="28"/>
                <w:lang w:eastAsia="zh-CN"/>
              </w:rPr>
              <w:t>、</w:t>
            </w:r>
            <w:r>
              <w:rPr>
                <w:rFonts w:hint="eastAsia" w:ascii="仿宋_GB2312" w:eastAsia="仿宋_GB2312"/>
                <w:sz w:val="28"/>
                <w:szCs w:val="28"/>
              </w:rPr>
              <w:t>特种设备安全监察科</w:t>
            </w:r>
            <w:r>
              <w:rPr>
                <w:rFonts w:hint="eastAsia" w:ascii="仿宋_GB2312" w:eastAsia="仿宋_GB2312"/>
                <w:sz w:val="28"/>
                <w:szCs w:val="28"/>
                <w:lang w:eastAsia="zh-CN"/>
              </w:rPr>
              <w:t>、</w:t>
            </w:r>
            <w:r>
              <w:rPr>
                <w:rFonts w:hint="eastAsia" w:ascii="仿宋_GB2312" w:eastAsia="仿宋_GB2312"/>
                <w:sz w:val="28"/>
                <w:szCs w:val="28"/>
              </w:rPr>
              <w:t>计量科</w:t>
            </w:r>
            <w:r>
              <w:rPr>
                <w:rFonts w:hint="eastAsia" w:ascii="仿宋_GB2312" w:eastAsia="仿宋_GB2312"/>
                <w:sz w:val="28"/>
                <w:szCs w:val="28"/>
                <w:lang w:eastAsia="zh-CN"/>
              </w:rPr>
              <w:t>、</w:t>
            </w:r>
            <w:r>
              <w:rPr>
                <w:rFonts w:hint="eastAsia" w:ascii="仿宋_GB2312" w:eastAsia="仿宋_GB2312"/>
                <w:sz w:val="28"/>
                <w:szCs w:val="28"/>
              </w:rPr>
              <w:t>标准化科</w:t>
            </w:r>
            <w:r>
              <w:rPr>
                <w:rFonts w:hint="eastAsia" w:ascii="仿宋_GB2312" w:eastAsia="仿宋_GB2312"/>
                <w:sz w:val="28"/>
                <w:szCs w:val="28"/>
                <w:lang w:eastAsia="zh-CN"/>
              </w:rPr>
              <w:t>、</w:t>
            </w:r>
            <w:r>
              <w:rPr>
                <w:rFonts w:hint="eastAsia" w:ascii="仿宋_GB2312" w:eastAsia="仿宋_GB2312"/>
                <w:sz w:val="28"/>
                <w:szCs w:val="28"/>
              </w:rPr>
              <w:t>认证认可监督管理科</w:t>
            </w:r>
            <w:r>
              <w:rPr>
                <w:rFonts w:hint="eastAsia" w:ascii="仿宋_GB2312" w:eastAsia="仿宋_GB2312"/>
                <w:sz w:val="28"/>
                <w:szCs w:val="28"/>
                <w:lang w:eastAsia="zh-CN"/>
              </w:rPr>
              <w:t>、</w:t>
            </w:r>
            <w:r>
              <w:rPr>
                <w:rFonts w:hint="eastAsia" w:ascii="仿宋_GB2312" w:eastAsia="仿宋_GB2312"/>
                <w:sz w:val="28"/>
                <w:szCs w:val="28"/>
              </w:rPr>
              <w:t>知识产权运用促进科</w:t>
            </w:r>
            <w:r>
              <w:rPr>
                <w:rFonts w:hint="eastAsia" w:ascii="仿宋_GB2312" w:eastAsia="仿宋_GB2312"/>
                <w:sz w:val="28"/>
                <w:szCs w:val="28"/>
                <w:lang w:eastAsia="zh-CN"/>
              </w:rPr>
              <w:t>、</w:t>
            </w:r>
            <w:r>
              <w:rPr>
                <w:rFonts w:hint="eastAsia" w:ascii="仿宋_GB2312" w:eastAsia="仿宋_GB2312"/>
                <w:sz w:val="28"/>
                <w:szCs w:val="28"/>
              </w:rPr>
              <w:t>知识产权保护科</w:t>
            </w:r>
            <w:r>
              <w:rPr>
                <w:rFonts w:hint="eastAsia" w:ascii="仿宋_GB2312" w:eastAsia="仿宋_GB2312"/>
                <w:sz w:val="28"/>
                <w:szCs w:val="28"/>
                <w:lang w:eastAsia="zh-CN"/>
              </w:rPr>
              <w:t>、</w:t>
            </w:r>
            <w:r>
              <w:rPr>
                <w:rFonts w:hint="eastAsia" w:ascii="仿宋_GB2312" w:eastAsia="仿宋_GB2312"/>
                <w:sz w:val="28"/>
                <w:szCs w:val="28"/>
              </w:rPr>
              <w:t>消费者权益保护科</w:t>
            </w:r>
            <w:r>
              <w:rPr>
                <w:rFonts w:hint="eastAsia" w:ascii="仿宋_GB2312" w:eastAsia="仿宋_GB2312"/>
                <w:sz w:val="28"/>
                <w:szCs w:val="28"/>
                <w:lang w:eastAsia="zh-CN"/>
              </w:rPr>
              <w:t>、</w:t>
            </w:r>
            <w:r>
              <w:rPr>
                <w:rFonts w:hint="eastAsia" w:ascii="仿宋_GB2312" w:eastAsia="仿宋_GB2312"/>
                <w:sz w:val="28"/>
                <w:szCs w:val="28"/>
              </w:rPr>
              <w:t>财务和审计科</w:t>
            </w:r>
            <w:r>
              <w:rPr>
                <w:rFonts w:hint="eastAsia" w:ascii="仿宋_GB2312" w:eastAsia="仿宋_GB2312"/>
                <w:sz w:val="28"/>
                <w:szCs w:val="28"/>
                <w:lang w:eastAsia="zh-CN"/>
              </w:rPr>
              <w:t>、</w:t>
            </w:r>
            <w:r>
              <w:rPr>
                <w:rFonts w:hint="eastAsia" w:ascii="仿宋_GB2312" w:eastAsia="仿宋_GB2312"/>
                <w:sz w:val="28"/>
                <w:szCs w:val="28"/>
              </w:rPr>
              <w:t>人事科</w:t>
            </w:r>
            <w:r>
              <w:rPr>
                <w:rFonts w:hint="eastAsia" w:ascii="仿宋_GB2312" w:eastAsia="仿宋_GB2312"/>
                <w:sz w:val="28"/>
                <w:szCs w:val="28"/>
                <w:lang w:eastAsia="zh-CN"/>
              </w:rPr>
              <w:t>、</w:t>
            </w:r>
            <w:r>
              <w:rPr>
                <w:rFonts w:hint="eastAsia" w:ascii="仿宋_GB2312" w:eastAsia="仿宋_GB2312"/>
                <w:sz w:val="28"/>
                <w:szCs w:val="28"/>
              </w:rPr>
              <w:t>机关党委（纪委）</w:t>
            </w:r>
            <w:r>
              <w:rPr>
                <w:rFonts w:hint="eastAsia" w:ascii="仿宋_GB2312" w:eastAsia="仿宋_GB2312"/>
                <w:sz w:val="28"/>
                <w:szCs w:val="28"/>
                <w:lang w:eastAsia="zh-CN"/>
              </w:rPr>
              <w:t>、</w:t>
            </w:r>
            <w:r>
              <w:rPr>
                <w:rFonts w:hint="eastAsia" w:ascii="仿宋_GB2312" w:eastAsia="仿宋_GB2312"/>
                <w:sz w:val="28"/>
                <w:szCs w:val="28"/>
              </w:rPr>
              <w:t>离退休人员管理服务科</w:t>
            </w:r>
            <w:r>
              <w:rPr>
                <w:rFonts w:hint="eastAsia" w:ascii="仿宋_GB2312" w:eastAsia="仿宋_GB2312"/>
                <w:sz w:val="28"/>
                <w:szCs w:val="28"/>
                <w:lang w:eastAsia="zh-CN"/>
              </w:rPr>
              <w:t>。</w:t>
            </w:r>
          </w:p>
          <w:p>
            <w:pPr>
              <w:pStyle w:val="6"/>
              <w:shd w:val="clear" w:color="auto" w:fill="FFFFFF"/>
              <w:spacing w:before="0" w:beforeAutospacing="0" w:after="0" w:afterAutospacing="0"/>
              <w:ind w:firstLine="570"/>
              <w:rPr>
                <w:rFonts w:hint="eastAsia" w:ascii="仿宋_GB2312" w:hAnsi="仿宋_GB2312" w:eastAsia="仿宋_GB2312" w:cs="仿宋_GB2312"/>
                <w:color w:val="333333"/>
                <w:sz w:val="28"/>
                <w:szCs w:val="28"/>
                <w:lang w:eastAsia="zh-CN"/>
              </w:rPr>
            </w:pPr>
            <w:r>
              <w:rPr>
                <w:rFonts w:hint="eastAsia" w:ascii="仿宋_GB2312" w:hAnsi="仿宋_GB2312" w:eastAsia="仿宋_GB2312" w:cs="仿宋_GB2312"/>
                <w:color w:val="333333"/>
                <w:sz w:val="28"/>
                <w:szCs w:val="28"/>
                <w:lang w:eastAsia="zh-CN"/>
              </w:rPr>
              <w:t>副处级综合行政执法支队是岳阳市市场监管综合行政执法支队。</w:t>
            </w:r>
          </w:p>
          <w:p>
            <w:pPr>
              <w:pStyle w:val="6"/>
              <w:shd w:val="clear" w:color="auto" w:fill="FFFFFF"/>
              <w:spacing w:before="0" w:beforeAutospacing="0" w:after="0" w:afterAutospacing="0"/>
              <w:ind w:firstLine="570"/>
              <w:rPr>
                <w:rFonts w:hint="eastAsia" w:ascii="仿宋_GB2312" w:hAnsi="仿宋_GB2312" w:eastAsia="仿宋_GB2312" w:cs="仿宋_GB2312"/>
                <w:color w:val="333333"/>
                <w:sz w:val="28"/>
                <w:szCs w:val="28"/>
                <w:lang w:eastAsia="zh-CN"/>
              </w:rPr>
            </w:pPr>
            <w:r>
              <w:rPr>
                <w:rFonts w:hint="eastAsia" w:ascii="仿宋_GB2312" w:hAnsi="仿宋_GB2312" w:eastAsia="仿宋_GB2312" w:cs="仿宋_GB2312"/>
                <w:color w:val="333333"/>
                <w:sz w:val="28"/>
                <w:szCs w:val="28"/>
                <w:lang w:eastAsia="zh-CN"/>
              </w:rPr>
              <w:t>直属事业单位为岳阳市检验检测中心，岳阳市食品药品审评认证与不良反应监测中心，岳阳市市场监督管理局机关事务管理中心，岳阳市消费者维权服务中心。</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ind w:firstLine="573"/>
              <w:textAlignment w:val="auto"/>
              <w:rPr>
                <w:rFonts w:hint="eastAsia" w:ascii="Arial" w:hAnsi="Arial" w:cs="Arial"/>
                <w:sz w:val="28"/>
              </w:rPr>
            </w:pPr>
            <w:r>
              <w:rPr>
                <w:rFonts w:hint="eastAsia" w:ascii="仿宋_GB2312" w:hAnsi="仿宋_GB2312" w:eastAsia="仿宋_GB2312" w:cs="仿宋_GB2312"/>
                <w:color w:val="333333"/>
                <w:sz w:val="28"/>
                <w:szCs w:val="28"/>
              </w:rPr>
              <w:t>直属</w:t>
            </w:r>
            <w:r>
              <w:rPr>
                <w:rFonts w:hint="eastAsia" w:ascii="仿宋_GB2312" w:hAnsi="仿宋_GB2312" w:eastAsia="仿宋_GB2312" w:cs="仿宋_GB2312"/>
                <w:color w:val="333333"/>
                <w:sz w:val="28"/>
                <w:szCs w:val="28"/>
                <w:lang w:eastAsia="zh-CN"/>
              </w:rPr>
              <w:t>分局</w:t>
            </w:r>
            <w:r>
              <w:rPr>
                <w:rFonts w:hint="eastAsia" w:ascii="仿宋_GB2312" w:hAnsi="仿宋_GB2312" w:eastAsia="仿宋_GB2312" w:cs="仿宋_GB2312"/>
                <w:sz w:val="28"/>
                <w:szCs w:val="28"/>
              </w:rPr>
              <w:t>分别是岳阳市</w:t>
            </w:r>
            <w:r>
              <w:rPr>
                <w:rFonts w:hint="eastAsia" w:ascii="仿宋_GB2312" w:hAnsi="仿宋_GB2312" w:eastAsia="仿宋_GB2312" w:cs="仿宋_GB2312"/>
                <w:sz w:val="28"/>
                <w:szCs w:val="28"/>
                <w:lang w:eastAsia="zh-CN"/>
              </w:rPr>
              <w:t>市场监督</w:t>
            </w:r>
            <w:r>
              <w:rPr>
                <w:rFonts w:hint="eastAsia" w:ascii="仿宋_GB2312" w:hAnsi="仿宋_GB2312" w:eastAsia="仿宋_GB2312" w:cs="仿宋_GB2312"/>
                <w:sz w:val="28"/>
                <w:szCs w:val="28"/>
              </w:rPr>
              <w:t>管理局</w:t>
            </w:r>
            <w:r>
              <w:rPr>
                <w:rFonts w:hint="eastAsia" w:ascii="仿宋_GB2312" w:hAnsi="仿宋_GB2312" w:eastAsia="仿宋_GB2312" w:cs="仿宋_GB2312"/>
                <w:sz w:val="28"/>
                <w:szCs w:val="28"/>
                <w:lang w:eastAsia="zh-CN"/>
              </w:rPr>
              <w:t>经济技术开发区分局</w:t>
            </w:r>
            <w:r>
              <w:rPr>
                <w:rFonts w:hint="eastAsia" w:ascii="仿宋_GB2312" w:hAnsi="仿宋_GB2312" w:eastAsia="仿宋_GB2312" w:cs="仿宋_GB2312"/>
                <w:sz w:val="28"/>
                <w:szCs w:val="28"/>
              </w:rPr>
              <w:t>、岳阳市</w:t>
            </w:r>
            <w:r>
              <w:rPr>
                <w:rFonts w:hint="eastAsia" w:ascii="仿宋_GB2312" w:hAnsi="仿宋_GB2312" w:eastAsia="仿宋_GB2312" w:cs="仿宋_GB2312"/>
                <w:sz w:val="28"/>
                <w:szCs w:val="28"/>
                <w:lang w:eastAsia="zh-CN"/>
              </w:rPr>
              <w:t>市场监督</w:t>
            </w:r>
            <w:r>
              <w:rPr>
                <w:rFonts w:hint="eastAsia" w:ascii="仿宋_GB2312" w:hAnsi="仿宋_GB2312" w:eastAsia="仿宋_GB2312" w:cs="仿宋_GB2312"/>
                <w:sz w:val="28"/>
                <w:szCs w:val="28"/>
              </w:rPr>
              <w:t>管理局</w:t>
            </w:r>
            <w:r>
              <w:rPr>
                <w:rFonts w:hint="eastAsia" w:ascii="仿宋_GB2312" w:hAnsi="仿宋_GB2312" w:eastAsia="仿宋_GB2312" w:cs="仿宋_GB2312"/>
                <w:sz w:val="28"/>
                <w:szCs w:val="28"/>
                <w:lang w:eastAsia="zh-CN"/>
              </w:rPr>
              <w:t>南湖新区分局</w:t>
            </w:r>
            <w:r>
              <w:rPr>
                <w:rFonts w:hint="eastAsia" w:ascii="仿宋_GB2312" w:hAnsi="仿宋_GB2312" w:eastAsia="仿宋_GB2312" w:cs="仿宋_GB2312"/>
                <w:sz w:val="28"/>
                <w:szCs w:val="28"/>
              </w:rPr>
              <w:t>、岳阳市</w:t>
            </w:r>
            <w:r>
              <w:rPr>
                <w:rFonts w:hint="eastAsia" w:ascii="仿宋_GB2312" w:hAnsi="仿宋_GB2312" w:eastAsia="仿宋_GB2312" w:cs="仿宋_GB2312"/>
                <w:sz w:val="28"/>
                <w:szCs w:val="28"/>
                <w:lang w:eastAsia="zh-CN"/>
              </w:rPr>
              <w:t>市场监督</w:t>
            </w:r>
            <w:r>
              <w:rPr>
                <w:rFonts w:hint="eastAsia" w:ascii="仿宋_GB2312" w:hAnsi="仿宋_GB2312" w:eastAsia="仿宋_GB2312" w:cs="仿宋_GB2312"/>
                <w:sz w:val="28"/>
                <w:szCs w:val="28"/>
              </w:rPr>
              <w:t>管理局</w:t>
            </w:r>
            <w:r>
              <w:rPr>
                <w:rFonts w:hint="eastAsia" w:ascii="仿宋_GB2312" w:hAnsi="仿宋_GB2312" w:eastAsia="仿宋_GB2312" w:cs="仿宋_GB2312"/>
                <w:sz w:val="28"/>
                <w:szCs w:val="28"/>
                <w:lang w:eastAsia="zh-CN"/>
              </w:rPr>
              <w:t>城陵矶新港区分局。</w:t>
            </w:r>
          </w:p>
          <w:p>
            <w:pPr>
              <w:pStyle w:val="6"/>
              <w:shd w:val="clear" w:color="auto" w:fill="FFFFFF"/>
              <w:spacing w:before="0" w:beforeAutospacing="0" w:after="0" w:afterAutospacing="0"/>
              <w:ind w:firstLine="570"/>
              <w:rPr>
                <w:rFonts w:hint="eastAsia" w:ascii="Arial" w:hAnsi="Arial" w:cs="Arial"/>
                <w:b/>
                <w:bCs/>
                <w:sz w:val="28"/>
                <w:lang w:val="en-US" w:eastAsia="zh-CN"/>
              </w:rPr>
            </w:pPr>
            <w:r>
              <w:rPr>
                <w:rFonts w:hint="eastAsia" w:ascii="Arial" w:hAnsi="Arial" w:cs="Arial"/>
                <w:b/>
                <w:bCs/>
                <w:sz w:val="28"/>
                <w:lang w:val="en-US" w:eastAsia="zh-CN"/>
              </w:rPr>
              <w:t>2、人员情况</w:t>
            </w:r>
          </w:p>
          <w:p>
            <w:pPr>
              <w:pStyle w:val="6"/>
              <w:shd w:val="clear" w:color="auto" w:fill="FFFFFF"/>
              <w:spacing w:before="0" w:beforeAutospacing="0" w:after="0" w:afterAutospacing="0"/>
              <w:ind w:firstLine="57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2020年末编制人数539人，其中行政编制218人，综合执法编制125人，工勤编制13人，参公编制14人，全额拨款事业编制147人，差额编制22人。编制内实有在职人数565人，人员编制及实有在职人数减少，主要是因机构改革导致原岳阳楼区分局下划至区政府管理，但该单位2020年预算执行仍留在市级财政管理体制内。</w:t>
            </w:r>
          </w:p>
          <w:p>
            <w:pPr>
              <w:pStyle w:val="6"/>
              <w:shd w:val="clear" w:color="auto" w:fill="FFFFFF"/>
              <w:spacing w:before="0" w:beforeAutospacing="0" w:after="0" w:afterAutospacing="0"/>
              <w:ind w:firstLine="570"/>
              <w:rPr>
                <w:rFonts w:ascii="Arial" w:hAnsi="Arial" w:cs="Arial"/>
                <w:b/>
                <w:bCs/>
                <w:sz w:val="28"/>
              </w:rPr>
            </w:pPr>
            <w:r>
              <w:rPr>
                <w:rFonts w:hint="eastAsia" w:ascii="Arial" w:hAnsi="Arial" w:cs="Arial"/>
                <w:b/>
                <w:bCs/>
                <w:sz w:val="28"/>
                <w:lang w:val="en-US" w:eastAsia="zh-CN"/>
              </w:rPr>
              <w:t>3、</w:t>
            </w:r>
            <w:r>
              <w:rPr>
                <w:rFonts w:ascii="Arial" w:hAnsi="Arial" w:cs="Arial"/>
                <w:b/>
                <w:bCs/>
                <w:sz w:val="28"/>
              </w:rPr>
              <w:t>职能职责 </w:t>
            </w:r>
          </w:p>
          <w:p>
            <w:pPr>
              <w:pStyle w:val="19"/>
              <w:keepNext w:val="0"/>
              <w:keepLines w:val="0"/>
              <w:pageBreakBefore w:val="0"/>
              <w:widowControl w:val="0"/>
              <w:kinsoku/>
              <w:wordWrap/>
              <w:overflowPunct/>
              <w:topLinePunct w:val="0"/>
              <w:autoSpaceDE/>
              <w:autoSpaceDN/>
              <w:bidi w:val="0"/>
              <w:adjustRightInd/>
              <w:snapToGrid/>
              <w:spacing w:line="360" w:lineRule="auto"/>
              <w:ind w:firstLine="540"/>
              <w:jc w:val="both"/>
              <w:textAlignment w:val="auto"/>
              <w:rPr>
                <w:rFonts w:hint="eastAsia" w:ascii="仿宋_GB2312" w:eastAsia="仿宋_GB2312"/>
                <w:sz w:val="28"/>
                <w:szCs w:val="28"/>
              </w:rPr>
            </w:pPr>
            <w:r>
              <w:rPr>
                <w:rFonts w:hint="eastAsia" w:ascii="仿宋_GB2312" w:eastAsia="仿宋_GB2312"/>
                <w:sz w:val="28"/>
                <w:szCs w:val="28"/>
              </w:rPr>
              <w:t>（一）负责市场综合监督管理。贯彻执行国家市场监督管理的方针、政策和法律法规规章，组织实施质量强市、食品安全、标准化和知识产权等战略，拟订并组织实施有关规划，规范和维护市场秩序，营造诚实守信、公平竞争的市场环境。</w:t>
            </w:r>
          </w:p>
          <w:p>
            <w:pPr>
              <w:pStyle w:val="19"/>
              <w:keepNext w:val="0"/>
              <w:keepLines w:val="0"/>
              <w:pageBreakBefore w:val="0"/>
              <w:widowControl w:val="0"/>
              <w:kinsoku/>
              <w:wordWrap/>
              <w:overflowPunct/>
              <w:topLinePunct w:val="0"/>
              <w:autoSpaceDE/>
              <w:autoSpaceDN/>
              <w:bidi w:val="0"/>
              <w:adjustRightInd/>
              <w:snapToGrid/>
              <w:spacing w:after="140" w:line="360" w:lineRule="auto"/>
              <w:ind w:firstLine="540"/>
              <w:jc w:val="both"/>
              <w:textAlignment w:val="auto"/>
              <w:rPr>
                <w:rFonts w:hint="eastAsia" w:ascii="仿宋_GB2312" w:eastAsia="仿宋_GB2312"/>
                <w:sz w:val="28"/>
                <w:szCs w:val="28"/>
              </w:rPr>
            </w:pPr>
            <w:r>
              <w:rPr>
                <w:rFonts w:hint="eastAsia" w:ascii="仿宋_GB2312" w:eastAsia="仿宋_GB2312"/>
                <w:sz w:val="28"/>
                <w:szCs w:val="28"/>
              </w:rPr>
              <w:t>（二）负责市场主体统一登记注册工作。负责全市各类企业、农民专业合作社和从事经营活动的单位、个体工商户以及外国（地区）企业、常驻代表机构等市场主体的登记注册工作。建立市场主体信息公示和共享机制，依法公示和共享有关信息，加强信用监管，推动市场主体信用体系建设。</w:t>
            </w:r>
          </w:p>
          <w:p>
            <w:pPr>
              <w:pStyle w:val="19"/>
              <w:keepNext w:val="0"/>
              <w:keepLines w:val="0"/>
              <w:pageBreakBefore w:val="0"/>
              <w:widowControl w:val="0"/>
              <w:kinsoku/>
              <w:wordWrap/>
              <w:overflowPunct/>
              <w:topLinePunct w:val="0"/>
              <w:autoSpaceDE/>
              <w:autoSpaceDN/>
              <w:bidi w:val="0"/>
              <w:adjustRightInd/>
              <w:snapToGrid/>
              <w:spacing w:after="100" w:line="360" w:lineRule="auto"/>
              <w:ind w:firstLine="540"/>
              <w:jc w:val="both"/>
              <w:textAlignment w:val="auto"/>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三</w:t>
            </w:r>
            <w:r>
              <w:rPr>
                <w:rFonts w:hint="eastAsia" w:ascii="仿宋_GB2312" w:eastAsia="仿宋_GB2312"/>
                <w:sz w:val="28"/>
                <w:szCs w:val="28"/>
              </w:rPr>
              <w:t>）负责组织指导市场监管综合执法工作。指导县市区市场监管综合执法队伍整合和建设，推动实行统一的市场监管。组织指导或直接查处违法案件，规范市场监管行政执法行为。</w:t>
            </w:r>
          </w:p>
          <w:p>
            <w:pPr>
              <w:pStyle w:val="19"/>
              <w:keepNext w:val="0"/>
              <w:keepLines w:val="0"/>
              <w:pageBreakBefore w:val="0"/>
              <w:widowControl w:val="0"/>
              <w:kinsoku/>
              <w:wordWrap/>
              <w:overflowPunct/>
              <w:topLinePunct w:val="0"/>
              <w:autoSpaceDE/>
              <w:autoSpaceDN/>
              <w:bidi w:val="0"/>
              <w:adjustRightInd/>
              <w:snapToGrid/>
              <w:spacing w:line="360" w:lineRule="auto"/>
              <w:ind w:firstLine="520"/>
              <w:jc w:val="both"/>
              <w:textAlignment w:val="auto"/>
              <w:rPr>
                <w:rFonts w:hint="eastAsia" w:ascii="仿宋_GB2312" w:eastAsia="仿宋_GB2312"/>
                <w:sz w:val="28"/>
                <w:szCs w:val="28"/>
              </w:rPr>
            </w:pPr>
            <w:r>
              <w:rPr>
                <w:rFonts w:hint="eastAsia" w:ascii="仿宋_GB2312" w:eastAsia="仿宋_GB2312"/>
                <w:sz w:val="28"/>
                <w:szCs w:val="28"/>
              </w:rPr>
              <w:t>（四）依委托开展反垄断统一执法调查工作。统筹推进竞争政策实施，组织实施公平竞争审查制度。依委托协助开展垄断协议、滥用市场支配地位和滥用行政权力排除、限制竞争等反垄断执法调查工作，指导企业在国外的反垄断应诉工作。</w:t>
            </w:r>
          </w:p>
          <w:p>
            <w:pPr>
              <w:pStyle w:val="19"/>
              <w:keepNext w:val="0"/>
              <w:keepLines w:val="0"/>
              <w:pageBreakBefore w:val="0"/>
              <w:widowControl w:val="0"/>
              <w:kinsoku/>
              <w:wordWrap/>
              <w:overflowPunct/>
              <w:topLinePunct w:val="0"/>
              <w:autoSpaceDE/>
              <w:autoSpaceDN/>
              <w:bidi w:val="0"/>
              <w:adjustRightInd/>
              <w:snapToGrid/>
              <w:spacing w:line="360" w:lineRule="auto"/>
              <w:ind w:firstLine="520"/>
              <w:jc w:val="both"/>
              <w:textAlignment w:val="auto"/>
              <w:rPr>
                <w:rFonts w:hint="eastAsia" w:ascii="仿宋_GB2312" w:eastAsia="仿宋_GB2312"/>
                <w:sz w:val="28"/>
                <w:szCs w:val="28"/>
              </w:rPr>
            </w:pPr>
            <w:r>
              <w:rPr>
                <w:rFonts w:hint="eastAsia" w:ascii="仿宋_GB2312" w:eastAsia="仿宋_GB2312"/>
                <w:sz w:val="28"/>
                <w:szCs w:val="28"/>
              </w:rPr>
              <w:t>（五）负责监督管理市场秩序。依法监督管理市场交易、网络商品交易及有关服务的行为。组织指导查处价格收费违法违规、不正当竞争、违法直销、传销、侵犯商标专利知识产权和制售假冒伪劣行为。依法监督处理合同违法行为，依法实施对拍卖行为的监督管理，管理动产抵押物登记。指导广告业的发展，监督管理广告活动。承担依法查处无照生产经营和相关无证生产经营行为。</w:t>
            </w:r>
          </w:p>
          <w:p>
            <w:pPr>
              <w:pStyle w:val="19"/>
              <w:keepNext w:val="0"/>
              <w:keepLines w:val="0"/>
              <w:pageBreakBefore w:val="0"/>
              <w:widowControl w:val="0"/>
              <w:kinsoku/>
              <w:wordWrap/>
              <w:overflowPunct/>
              <w:topLinePunct w:val="0"/>
              <w:autoSpaceDE/>
              <w:autoSpaceDN/>
              <w:bidi w:val="0"/>
              <w:adjustRightInd/>
              <w:snapToGrid/>
              <w:spacing w:line="360" w:lineRule="auto"/>
              <w:ind w:firstLine="520"/>
              <w:jc w:val="both"/>
              <w:textAlignment w:val="auto"/>
              <w:rPr>
                <w:rFonts w:hint="eastAsia" w:ascii="仿宋_GB2312" w:eastAsia="仿宋_GB2312"/>
                <w:sz w:val="28"/>
                <w:szCs w:val="28"/>
              </w:rPr>
            </w:pPr>
            <w:r>
              <w:rPr>
                <w:rFonts w:hint="eastAsia" w:ascii="仿宋_GB2312" w:eastAsia="仿宋_GB2312"/>
                <w:sz w:val="28"/>
                <w:szCs w:val="28"/>
              </w:rPr>
              <w:t>（六）负责宏观质量管理。贯彻国家、省质量发展的有关政策，拟订推进质量发展战略的政策措施并组织实施，对全市质量管理工作进行宏观指导。组织实施质量奖励制度，积极推进质量强市战略和品牌建设，推动建立产品质量诚信制度；组织实施产品和服务质量提升、开展服务质量监测；按规定权限组织对重大产品质量事故调查，配合实施缺陷产品召回制度，监督管理产品防伪工作。</w:t>
            </w:r>
          </w:p>
          <w:p>
            <w:pPr>
              <w:pStyle w:val="19"/>
              <w:keepNext w:val="0"/>
              <w:keepLines w:val="0"/>
              <w:pageBreakBefore w:val="0"/>
              <w:widowControl w:val="0"/>
              <w:kinsoku/>
              <w:wordWrap/>
              <w:overflowPunct/>
              <w:topLinePunct w:val="0"/>
              <w:autoSpaceDE/>
              <w:autoSpaceDN/>
              <w:bidi w:val="0"/>
              <w:adjustRightInd/>
              <w:snapToGrid/>
              <w:spacing w:line="360" w:lineRule="auto"/>
              <w:ind w:firstLine="520"/>
              <w:jc w:val="both"/>
              <w:textAlignment w:val="auto"/>
              <w:rPr>
                <w:rFonts w:hint="eastAsia" w:ascii="仿宋_GB2312" w:eastAsia="仿宋_GB2312"/>
                <w:sz w:val="28"/>
                <w:szCs w:val="28"/>
              </w:rPr>
            </w:pPr>
            <w:r>
              <w:rPr>
                <w:rFonts w:hint="eastAsia" w:ascii="仿宋_GB2312" w:eastAsia="仿宋_GB2312"/>
                <w:sz w:val="28"/>
                <w:szCs w:val="28"/>
              </w:rPr>
              <w:t>（七）负责产品质量安全监督管理。负责产品质量安全监督抽查和风险监控工作，组织实施质量分级制度、质量安全追溯制度。负责工业产品生产许可证证后管理。负责纤维质量监督检验工作。</w:t>
            </w:r>
          </w:p>
          <w:p>
            <w:pPr>
              <w:pStyle w:val="19"/>
              <w:keepNext w:val="0"/>
              <w:keepLines w:val="0"/>
              <w:pageBreakBefore w:val="0"/>
              <w:widowControl w:val="0"/>
              <w:kinsoku/>
              <w:wordWrap/>
              <w:overflowPunct/>
              <w:topLinePunct w:val="0"/>
              <w:autoSpaceDE/>
              <w:autoSpaceDN/>
              <w:bidi w:val="0"/>
              <w:adjustRightInd/>
              <w:snapToGrid/>
              <w:spacing w:line="360" w:lineRule="auto"/>
              <w:ind w:firstLine="540"/>
              <w:jc w:val="both"/>
              <w:textAlignment w:val="auto"/>
              <w:rPr>
                <w:rFonts w:hint="eastAsia" w:ascii="仿宋_GB2312" w:eastAsia="仿宋_GB2312"/>
                <w:sz w:val="28"/>
                <w:szCs w:val="28"/>
              </w:rPr>
            </w:pPr>
            <w:r>
              <w:rPr>
                <w:rFonts w:hint="eastAsia" w:ascii="仿宋_GB2312" w:hAnsi="宋体" w:eastAsia="仿宋_GB2312"/>
                <w:sz w:val="28"/>
                <w:szCs w:val="28"/>
              </w:rPr>
              <w:t>（</w:t>
            </w:r>
            <w:r>
              <w:rPr>
                <w:rFonts w:hint="eastAsia" w:ascii="仿宋_GB2312" w:hAnsi="宋体" w:eastAsia="仿宋_GB2312"/>
                <w:sz w:val="28"/>
                <w:szCs w:val="28"/>
                <w:lang w:eastAsia="zh-CN"/>
              </w:rPr>
              <w:t>八</w:t>
            </w:r>
            <w:r>
              <w:rPr>
                <w:rFonts w:hint="eastAsia" w:ascii="仿宋_GB2312" w:hAnsi="宋体" w:eastAsia="仿宋_GB2312"/>
                <w:sz w:val="28"/>
                <w:szCs w:val="28"/>
              </w:rPr>
              <w:t>）</w:t>
            </w:r>
            <w:r>
              <w:rPr>
                <w:rFonts w:hint="eastAsia" w:ascii="仿宋_GB2312" w:eastAsia="仿宋_GB2312"/>
                <w:sz w:val="28"/>
                <w:szCs w:val="28"/>
              </w:rPr>
              <w:t>负责特种设备安全监督管理。综合管理特种设备安全监察、监督工作，监督检查高耗能特种设备节能标准和锅炉生产、进口、销售环节环境保护标准的执行情况。按规定权限组织调查处理特种设备事故并进行统计分析。</w:t>
            </w:r>
          </w:p>
          <w:p>
            <w:pPr>
              <w:pStyle w:val="19"/>
              <w:keepNext w:val="0"/>
              <w:keepLines w:val="0"/>
              <w:pageBreakBefore w:val="0"/>
              <w:widowControl w:val="0"/>
              <w:kinsoku/>
              <w:wordWrap/>
              <w:overflowPunct/>
              <w:topLinePunct w:val="0"/>
              <w:autoSpaceDE/>
              <w:autoSpaceDN/>
              <w:bidi w:val="0"/>
              <w:adjustRightInd/>
              <w:snapToGrid/>
              <w:spacing w:line="360" w:lineRule="auto"/>
              <w:ind w:firstLine="540"/>
              <w:jc w:val="both"/>
              <w:textAlignment w:val="auto"/>
              <w:rPr>
                <w:rFonts w:hint="eastAsia" w:ascii="仿宋_GB2312" w:eastAsia="仿宋_GB2312"/>
                <w:sz w:val="28"/>
                <w:szCs w:val="28"/>
              </w:rPr>
            </w:pPr>
            <w:r>
              <w:rPr>
                <w:rFonts w:hint="eastAsia" w:ascii="仿宋_GB2312" w:eastAsia="仿宋_GB2312"/>
                <w:sz w:val="28"/>
                <w:szCs w:val="28"/>
              </w:rPr>
              <w:t>（九）负责食品安全监督管理综合协调。负责食品安全应急体系建设，组织指导重大食品安全事件应急处置和调查处理工作。落实食品安全重要信息直报制度。承担市食品安全委员会日常工作。</w:t>
            </w:r>
          </w:p>
          <w:p>
            <w:pPr>
              <w:pStyle w:val="19"/>
              <w:keepNext w:val="0"/>
              <w:keepLines w:val="0"/>
              <w:pageBreakBefore w:val="0"/>
              <w:widowControl w:val="0"/>
              <w:kinsoku/>
              <w:wordWrap/>
              <w:overflowPunct/>
              <w:topLinePunct w:val="0"/>
              <w:autoSpaceDE/>
              <w:autoSpaceDN/>
              <w:bidi w:val="0"/>
              <w:adjustRightInd/>
              <w:snapToGrid/>
              <w:spacing w:line="360" w:lineRule="auto"/>
              <w:ind w:firstLine="540"/>
              <w:jc w:val="both"/>
              <w:textAlignment w:val="auto"/>
              <w:rPr>
                <w:rFonts w:hint="eastAsia" w:ascii="仿宋_GB2312" w:eastAsia="仿宋_GB2312"/>
                <w:sz w:val="28"/>
                <w:szCs w:val="28"/>
              </w:rPr>
            </w:pPr>
            <w:r>
              <w:rPr>
                <w:rFonts w:hint="eastAsia" w:ascii="仿宋_GB2312" w:eastAsia="仿宋_GB2312"/>
                <w:sz w:val="28"/>
                <w:szCs w:val="28"/>
              </w:rPr>
              <w:t>（十）负责食品安全监督管理。建立覆盖食品生产、流通、消费全过程的监督检查制度和隐患排查治理机制并组织实施，防范区域性、系统性食品安全风险。推动建立食品生产经营者落实主体责任的机制，健全食品安全追溯体系。组织开展食品安全监督抽检、风险监测、核查处置和风险预警、风险交流等工作。组织实施特殊食品监督管理。负责食盐专营管理和食盐安全监督管理。</w:t>
            </w:r>
          </w:p>
          <w:p>
            <w:pPr>
              <w:pStyle w:val="19"/>
              <w:keepNext w:val="0"/>
              <w:keepLines w:val="0"/>
              <w:pageBreakBefore w:val="0"/>
              <w:widowControl w:val="0"/>
              <w:kinsoku/>
              <w:wordWrap/>
              <w:overflowPunct/>
              <w:topLinePunct w:val="0"/>
              <w:autoSpaceDE/>
              <w:autoSpaceDN/>
              <w:bidi w:val="0"/>
              <w:adjustRightInd/>
              <w:snapToGrid/>
              <w:spacing w:after="60" w:line="360" w:lineRule="auto"/>
              <w:ind w:firstLine="540"/>
              <w:jc w:val="both"/>
              <w:textAlignment w:val="auto"/>
              <w:rPr>
                <w:rFonts w:hint="eastAsia" w:ascii="仿宋_GB2312" w:eastAsia="仿宋_GB2312"/>
                <w:sz w:val="28"/>
                <w:szCs w:val="28"/>
              </w:rPr>
            </w:pPr>
            <w:r>
              <w:rPr>
                <w:rFonts w:hint="eastAsia" w:ascii="仿宋_GB2312" w:eastAsia="仿宋_GB2312"/>
                <w:sz w:val="28"/>
                <w:szCs w:val="28"/>
              </w:rPr>
              <w:t>（十一）负责统一管理计量工作。推行国家法定计量单位，执行国家计量制度,依职权管理计量器具及量值传递和比对工作。规范、监督商品量和市场计量行为。</w:t>
            </w:r>
          </w:p>
          <w:p>
            <w:pPr>
              <w:pStyle w:val="19"/>
              <w:keepNext w:val="0"/>
              <w:keepLines w:val="0"/>
              <w:pageBreakBefore w:val="0"/>
              <w:widowControl w:val="0"/>
              <w:kinsoku/>
              <w:wordWrap/>
              <w:overflowPunct/>
              <w:topLinePunct w:val="0"/>
              <w:autoSpaceDE/>
              <w:autoSpaceDN/>
              <w:bidi w:val="0"/>
              <w:adjustRightInd/>
              <w:snapToGrid/>
              <w:spacing w:line="360" w:lineRule="auto"/>
              <w:ind w:firstLine="540"/>
              <w:jc w:val="both"/>
              <w:textAlignment w:val="auto"/>
              <w:rPr>
                <w:rFonts w:hint="eastAsia" w:ascii="仿宋_GB2312" w:eastAsia="仿宋_GB2312"/>
                <w:sz w:val="28"/>
                <w:szCs w:val="28"/>
              </w:rPr>
            </w:pPr>
            <w:r>
              <w:rPr>
                <w:rFonts w:hint="eastAsia" w:ascii="仿宋_GB2312" w:eastAsia="仿宋_GB2312"/>
                <w:sz w:val="28"/>
                <w:szCs w:val="28"/>
              </w:rPr>
              <w:t>（十二）负责统一管理标准化工作。组织实施标准化法律、法规，推进本行政区域内标准化战略的实施；依法承担地方标准立项、编号和发布等工作，依法协调指导市级地方标准、团体标准制定工作。依法开展标准化试点示范工作；管理全市商品条码工作；依据法定职责，对标准的制定进行指导监督，对标准的实施进行监督检查。推行采用国际标准。</w:t>
            </w:r>
          </w:p>
          <w:p>
            <w:pPr>
              <w:pStyle w:val="19"/>
              <w:keepNext w:val="0"/>
              <w:keepLines w:val="0"/>
              <w:pageBreakBefore w:val="0"/>
              <w:widowControl w:val="0"/>
              <w:kinsoku/>
              <w:wordWrap/>
              <w:overflowPunct/>
              <w:topLinePunct w:val="0"/>
              <w:autoSpaceDE/>
              <w:autoSpaceDN/>
              <w:bidi w:val="0"/>
              <w:adjustRightInd/>
              <w:snapToGrid/>
              <w:spacing w:line="360" w:lineRule="auto"/>
              <w:ind w:firstLine="520"/>
              <w:jc w:val="both"/>
              <w:textAlignment w:val="auto"/>
              <w:rPr>
                <w:rFonts w:hint="eastAsia" w:ascii="仿宋_GB2312" w:eastAsia="仿宋_GB2312"/>
                <w:sz w:val="28"/>
                <w:szCs w:val="28"/>
              </w:rPr>
            </w:pPr>
            <w:r>
              <w:rPr>
                <w:rFonts w:hint="eastAsia" w:ascii="仿宋_GB2312" w:eastAsia="仿宋_GB2312"/>
                <w:sz w:val="28"/>
                <w:szCs w:val="28"/>
              </w:rPr>
              <w:t>（十三）负责统一管理检验检测工作。组织实施检验检测机构资质认定监督管理；协调推进检验检测机构改革；规范检验检测市场，完善检验检测体系，指导协调检验检测行业发展。</w:t>
            </w:r>
          </w:p>
          <w:p>
            <w:pPr>
              <w:pStyle w:val="19"/>
              <w:keepNext w:val="0"/>
              <w:keepLines w:val="0"/>
              <w:pageBreakBefore w:val="0"/>
              <w:widowControl w:val="0"/>
              <w:kinsoku/>
              <w:wordWrap/>
              <w:overflowPunct/>
              <w:topLinePunct w:val="0"/>
              <w:autoSpaceDE/>
              <w:autoSpaceDN/>
              <w:bidi w:val="0"/>
              <w:adjustRightInd/>
              <w:snapToGrid/>
              <w:spacing w:line="360" w:lineRule="auto"/>
              <w:ind w:firstLine="520"/>
              <w:jc w:val="both"/>
              <w:textAlignment w:val="auto"/>
              <w:rPr>
                <w:rFonts w:hint="eastAsia" w:ascii="仿宋_GB2312" w:eastAsia="仿宋_GB2312"/>
                <w:sz w:val="28"/>
                <w:szCs w:val="28"/>
              </w:rPr>
            </w:pPr>
            <w:r>
              <w:rPr>
                <w:rFonts w:hint="eastAsia" w:ascii="仿宋_GB2312" w:eastAsia="仿宋_GB2312"/>
                <w:sz w:val="28"/>
                <w:szCs w:val="28"/>
              </w:rPr>
              <w:t>（十四）负责统一管理、监督和综合协调认证认可工作。依法监督管理全市认证认可和合格评定有关活动。</w:t>
            </w:r>
          </w:p>
          <w:p>
            <w:pPr>
              <w:pStyle w:val="19"/>
              <w:keepNext w:val="0"/>
              <w:keepLines w:val="0"/>
              <w:pageBreakBefore w:val="0"/>
              <w:widowControl w:val="0"/>
              <w:kinsoku/>
              <w:wordWrap/>
              <w:overflowPunct/>
              <w:topLinePunct w:val="0"/>
              <w:autoSpaceDE/>
              <w:autoSpaceDN/>
              <w:bidi w:val="0"/>
              <w:adjustRightInd/>
              <w:snapToGrid/>
              <w:spacing w:line="360" w:lineRule="auto"/>
              <w:ind w:firstLine="520"/>
              <w:jc w:val="both"/>
              <w:textAlignment w:val="auto"/>
              <w:rPr>
                <w:rFonts w:hint="eastAsia" w:ascii="仿宋_GB2312" w:eastAsia="仿宋_GB2312"/>
                <w:sz w:val="28"/>
                <w:szCs w:val="28"/>
              </w:rPr>
            </w:pPr>
            <w:r>
              <w:rPr>
                <w:rFonts w:hint="eastAsia" w:ascii="仿宋_GB2312" w:eastAsia="仿宋_GB2312"/>
                <w:sz w:val="28"/>
                <w:szCs w:val="28"/>
              </w:rPr>
              <w:t>（十五）负责市场监督管理、知识产权领域科技和信息化建设、新闻宣传、对外交流与合作。按规定承担技术性贸易措施有关工作。</w:t>
            </w:r>
          </w:p>
          <w:p>
            <w:pPr>
              <w:pStyle w:val="19"/>
              <w:keepNext w:val="0"/>
              <w:keepLines w:val="0"/>
              <w:pageBreakBefore w:val="0"/>
              <w:widowControl w:val="0"/>
              <w:kinsoku/>
              <w:wordWrap/>
              <w:overflowPunct/>
              <w:topLinePunct w:val="0"/>
              <w:autoSpaceDE/>
              <w:autoSpaceDN/>
              <w:bidi w:val="0"/>
              <w:adjustRightInd/>
              <w:snapToGrid/>
              <w:spacing w:line="360" w:lineRule="auto"/>
              <w:ind w:firstLine="520"/>
              <w:jc w:val="both"/>
              <w:textAlignment w:val="auto"/>
              <w:rPr>
                <w:rFonts w:hint="eastAsia" w:ascii="仿宋_GB2312" w:eastAsia="仿宋_GB2312"/>
                <w:sz w:val="28"/>
                <w:szCs w:val="28"/>
              </w:rPr>
            </w:pPr>
            <w:r>
              <w:rPr>
                <w:rFonts w:hint="eastAsia" w:ascii="仿宋_GB2312" w:eastAsia="仿宋_GB2312"/>
                <w:sz w:val="28"/>
                <w:szCs w:val="28"/>
              </w:rPr>
              <w:t>（十六）负责实施知识产权战略，推进知识产权强市建设。制定知识产权创造、保护、运用的管理措施并组织实施。建设知识产权公共服务体系，推动知识产权信息传播利用，建设知识产权人才队伍。</w:t>
            </w:r>
          </w:p>
          <w:p>
            <w:pPr>
              <w:pStyle w:val="19"/>
              <w:keepNext w:val="0"/>
              <w:keepLines w:val="0"/>
              <w:pageBreakBefore w:val="0"/>
              <w:widowControl w:val="0"/>
              <w:kinsoku/>
              <w:wordWrap/>
              <w:overflowPunct/>
              <w:topLinePunct w:val="0"/>
              <w:autoSpaceDE/>
              <w:autoSpaceDN/>
              <w:bidi w:val="0"/>
              <w:adjustRightInd/>
              <w:snapToGrid/>
              <w:spacing w:line="360" w:lineRule="auto"/>
              <w:ind w:firstLine="520"/>
              <w:jc w:val="both"/>
              <w:textAlignment w:val="auto"/>
              <w:rPr>
                <w:rFonts w:hint="eastAsia" w:ascii="仿宋_GB2312" w:eastAsia="仿宋_GB2312"/>
                <w:sz w:val="28"/>
                <w:szCs w:val="28"/>
              </w:rPr>
            </w:pPr>
            <w:r>
              <w:rPr>
                <w:rFonts w:hint="eastAsia" w:ascii="仿宋_GB2312" w:eastAsia="仿宋_GB2312"/>
                <w:sz w:val="28"/>
                <w:szCs w:val="28"/>
              </w:rPr>
              <w:t>（十七）负责保护知识产权。落实严格保护专利、商标、原产地地理标志等相关工作，建设知识产权保护体系，指导监督商标、专利及原产地地理标志执法。</w:t>
            </w:r>
          </w:p>
          <w:p>
            <w:pPr>
              <w:pStyle w:val="19"/>
              <w:keepNext w:val="0"/>
              <w:keepLines w:val="0"/>
              <w:pageBreakBefore w:val="0"/>
              <w:widowControl w:val="0"/>
              <w:kinsoku/>
              <w:wordWrap/>
              <w:overflowPunct/>
              <w:topLinePunct w:val="0"/>
              <w:autoSpaceDE/>
              <w:autoSpaceDN/>
              <w:bidi w:val="0"/>
              <w:adjustRightInd/>
              <w:snapToGrid/>
              <w:spacing w:line="360" w:lineRule="auto"/>
              <w:ind w:firstLine="520"/>
              <w:jc w:val="both"/>
              <w:textAlignment w:val="auto"/>
              <w:rPr>
                <w:rFonts w:hint="eastAsia" w:ascii="仿宋_GB2312" w:eastAsia="仿宋_GB2312"/>
                <w:sz w:val="28"/>
                <w:szCs w:val="28"/>
              </w:rPr>
            </w:pPr>
            <w:r>
              <w:rPr>
                <w:rFonts w:hint="eastAsia" w:ascii="仿宋_GB2312" w:eastAsia="仿宋_GB2312"/>
                <w:sz w:val="28"/>
                <w:szCs w:val="28"/>
              </w:rPr>
              <w:t>（十八）负责知识产权创造运用。开展知识产权运营体系建设，指导重大经济活动知识产权评议，规范知识产权交易和无形资产评估，促进知识产权转移转化，推动知识产权高质量发展。</w:t>
            </w:r>
          </w:p>
          <w:p>
            <w:pPr>
              <w:pStyle w:val="19"/>
              <w:keepNext w:val="0"/>
              <w:keepLines w:val="0"/>
              <w:pageBreakBefore w:val="0"/>
              <w:widowControl w:val="0"/>
              <w:kinsoku/>
              <w:wordWrap/>
              <w:overflowPunct/>
              <w:topLinePunct w:val="0"/>
              <w:autoSpaceDE/>
              <w:autoSpaceDN/>
              <w:bidi w:val="0"/>
              <w:adjustRightInd/>
              <w:snapToGrid/>
              <w:spacing w:line="360" w:lineRule="auto"/>
              <w:ind w:firstLine="540"/>
              <w:jc w:val="both"/>
              <w:textAlignment w:val="auto"/>
              <w:rPr>
                <w:rFonts w:hint="eastAsia" w:ascii="仿宋_GB2312" w:eastAsia="仿宋_GB2312"/>
                <w:sz w:val="28"/>
                <w:szCs w:val="28"/>
              </w:rPr>
            </w:pPr>
            <w:r>
              <w:rPr>
                <w:rFonts w:hint="eastAsia" w:ascii="仿宋_GB2312" w:eastAsia="仿宋_GB2312"/>
                <w:sz w:val="28"/>
                <w:szCs w:val="28"/>
              </w:rPr>
              <w:t>（十九）负责组织开展有关商品和服务领域消费维权工作，查处假冒伪劣等违法行为，指导消费者咨询、投诉、举报受理、处理和网络体系建设等工作，保护经营者、消费者合法权益。指导消费者权益保护组织开展消费维权工作。</w:t>
            </w:r>
          </w:p>
          <w:p>
            <w:pPr>
              <w:pStyle w:val="19"/>
              <w:keepNext w:val="0"/>
              <w:keepLines w:val="0"/>
              <w:pageBreakBefore w:val="0"/>
              <w:widowControl w:val="0"/>
              <w:kinsoku/>
              <w:wordWrap/>
              <w:overflowPunct/>
              <w:topLinePunct w:val="0"/>
              <w:autoSpaceDE/>
              <w:autoSpaceDN/>
              <w:bidi w:val="0"/>
              <w:adjustRightInd/>
              <w:snapToGrid/>
              <w:spacing w:line="360" w:lineRule="auto"/>
              <w:ind w:firstLine="540"/>
              <w:jc w:val="both"/>
              <w:textAlignment w:val="auto"/>
              <w:rPr>
                <w:rFonts w:hint="eastAsia" w:ascii="仿宋_GB2312" w:eastAsia="仿宋_GB2312"/>
                <w:sz w:val="28"/>
                <w:szCs w:val="28"/>
              </w:rPr>
            </w:pPr>
            <w:r>
              <w:rPr>
                <w:rFonts w:hint="eastAsia" w:ascii="仿宋_GB2312" w:eastAsia="仿宋_GB2312"/>
                <w:sz w:val="28"/>
                <w:szCs w:val="28"/>
              </w:rPr>
              <w:t>（二十）负责药品（含中药、民族药，下同）、医疗器械和化妆品安全监督管理。贯彻执行国家、省关于药品、医疗器械、化妆品安全监督管理的法律、法规和规章，拟订地方性政策规划并组织实施。</w:t>
            </w:r>
          </w:p>
          <w:p>
            <w:pPr>
              <w:pStyle w:val="19"/>
              <w:keepNext w:val="0"/>
              <w:keepLines w:val="0"/>
              <w:pageBreakBefore w:val="0"/>
              <w:widowControl w:val="0"/>
              <w:kinsoku/>
              <w:wordWrap/>
              <w:overflowPunct/>
              <w:topLinePunct w:val="0"/>
              <w:autoSpaceDE/>
              <w:autoSpaceDN/>
              <w:bidi w:val="0"/>
              <w:adjustRightInd/>
              <w:snapToGrid/>
              <w:spacing w:line="360" w:lineRule="auto"/>
              <w:ind w:firstLine="540"/>
              <w:jc w:val="both"/>
              <w:textAlignment w:val="auto"/>
              <w:rPr>
                <w:rFonts w:hint="eastAsia" w:ascii="仿宋_GB2312" w:eastAsia="仿宋_GB2312"/>
                <w:sz w:val="28"/>
                <w:szCs w:val="28"/>
              </w:rPr>
            </w:pPr>
            <w:r>
              <w:rPr>
                <w:rFonts w:hint="eastAsia" w:ascii="仿宋_GB2312" w:eastAsia="仿宋_GB2312"/>
                <w:sz w:val="28"/>
                <w:szCs w:val="28"/>
              </w:rPr>
              <w:t>（二十一）监督实施药品、医疗器械、化妆品标准和分类管理制度，配合有关部门实施国家基本药物制度。</w:t>
            </w:r>
          </w:p>
          <w:p>
            <w:pPr>
              <w:pStyle w:val="19"/>
              <w:keepNext w:val="0"/>
              <w:keepLines w:val="0"/>
              <w:pageBreakBefore w:val="0"/>
              <w:widowControl w:val="0"/>
              <w:kinsoku/>
              <w:wordWrap/>
              <w:overflowPunct/>
              <w:topLinePunct w:val="0"/>
              <w:autoSpaceDE/>
              <w:autoSpaceDN/>
              <w:bidi w:val="0"/>
              <w:adjustRightInd/>
              <w:snapToGrid/>
              <w:spacing w:line="360" w:lineRule="auto"/>
              <w:ind w:firstLine="540"/>
              <w:jc w:val="both"/>
              <w:textAlignment w:val="auto"/>
              <w:rPr>
                <w:rFonts w:hint="eastAsia" w:ascii="仿宋_GB2312" w:eastAsia="仿宋_GB2312"/>
                <w:sz w:val="28"/>
                <w:szCs w:val="28"/>
              </w:rPr>
            </w:pPr>
            <w:r>
              <w:rPr>
                <w:rFonts w:hint="eastAsia" w:ascii="仿宋_GB2312" w:eastAsia="仿宋_GB2312"/>
                <w:sz w:val="28"/>
                <w:szCs w:val="28"/>
              </w:rPr>
              <w:t>（二十二）负责权限范围内药品、医疗器械和化妆品质量管理。监督实施药品、医疗器械经营质量管理规范，监督实施化妆品经营、使用卫生标准和技术规范。</w:t>
            </w:r>
          </w:p>
          <w:p>
            <w:pPr>
              <w:pStyle w:val="19"/>
              <w:keepNext w:val="0"/>
              <w:keepLines w:val="0"/>
              <w:pageBreakBefore w:val="0"/>
              <w:widowControl w:val="0"/>
              <w:kinsoku/>
              <w:wordWrap/>
              <w:overflowPunct/>
              <w:topLinePunct w:val="0"/>
              <w:autoSpaceDE/>
              <w:autoSpaceDN/>
              <w:bidi w:val="0"/>
              <w:adjustRightInd/>
              <w:snapToGrid/>
              <w:spacing w:line="360" w:lineRule="auto"/>
              <w:ind w:firstLine="540"/>
              <w:jc w:val="both"/>
              <w:textAlignment w:val="auto"/>
              <w:rPr>
                <w:rFonts w:hint="eastAsia" w:ascii="仿宋_GB2312" w:eastAsia="仿宋_GB2312"/>
                <w:sz w:val="28"/>
                <w:szCs w:val="28"/>
              </w:rPr>
            </w:pPr>
            <w:r>
              <w:rPr>
                <w:rFonts w:hint="eastAsia" w:ascii="仿宋_GB2312" w:eastAsia="仿宋_GB2312"/>
                <w:sz w:val="28"/>
                <w:szCs w:val="28"/>
              </w:rPr>
              <w:t>（二十三）负责权限范围内药品、医疗器械和化妆品上市后风险管理。组织开展药品不良反应、医疗器械不良事件和化妆品不良反应的监测、评价和处置工作。依法承担药品、医疗器械和化妆品安全应急管理工作。</w:t>
            </w:r>
          </w:p>
          <w:p>
            <w:pPr>
              <w:pStyle w:val="19"/>
              <w:keepNext w:val="0"/>
              <w:keepLines w:val="0"/>
              <w:pageBreakBefore w:val="0"/>
              <w:widowControl w:val="0"/>
              <w:kinsoku/>
              <w:wordWrap/>
              <w:overflowPunct/>
              <w:topLinePunct w:val="0"/>
              <w:autoSpaceDE/>
              <w:autoSpaceDN/>
              <w:bidi w:val="0"/>
              <w:adjustRightInd/>
              <w:snapToGrid/>
              <w:spacing w:line="360" w:lineRule="auto"/>
              <w:ind w:firstLine="540"/>
              <w:jc w:val="both"/>
              <w:textAlignment w:val="auto"/>
              <w:rPr>
                <w:rFonts w:hint="eastAsia" w:ascii="仿宋_GB2312" w:eastAsia="仿宋_GB2312"/>
                <w:sz w:val="28"/>
                <w:szCs w:val="28"/>
              </w:rPr>
            </w:pPr>
            <w:r>
              <w:rPr>
                <w:rFonts w:hint="eastAsia" w:ascii="仿宋_GB2312" w:eastAsia="仿宋_GB2312"/>
                <w:sz w:val="28"/>
                <w:szCs w:val="28"/>
              </w:rPr>
              <w:t>（二十四）负责组织实施药品、医疗器械和化妆品监督检查。制定检查制度，依法查处药品、医疗器械和化妆品经营、使用环节违法行为，监督实施问题产品召回和处置制度，依职责组织指导查处其他环节的违法行为。</w:t>
            </w:r>
          </w:p>
          <w:p>
            <w:pPr>
              <w:pStyle w:val="19"/>
              <w:keepNext w:val="0"/>
              <w:keepLines w:val="0"/>
              <w:pageBreakBefore w:val="0"/>
              <w:widowControl w:val="0"/>
              <w:kinsoku/>
              <w:wordWrap/>
              <w:overflowPunct/>
              <w:topLinePunct w:val="0"/>
              <w:autoSpaceDE/>
              <w:autoSpaceDN/>
              <w:bidi w:val="0"/>
              <w:adjustRightInd/>
              <w:snapToGrid/>
              <w:spacing w:line="360" w:lineRule="auto"/>
              <w:ind w:firstLine="520"/>
              <w:jc w:val="both"/>
              <w:textAlignment w:val="auto"/>
              <w:rPr>
                <w:rFonts w:hint="eastAsia" w:ascii="仿宋_GB2312" w:eastAsia="仿宋_GB2312"/>
                <w:sz w:val="28"/>
                <w:szCs w:val="28"/>
              </w:rPr>
            </w:pPr>
            <w:r>
              <w:rPr>
                <w:rFonts w:hint="eastAsia" w:ascii="仿宋_GB2312" w:eastAsia="仿宋_GB2312"/>
                <w:sz w:val="28"/>
                <w:szCs w:val="28"/>
              </w:rPr>
              <w:t>（二十五）负责指导市县市场监督管理部门承担的药品、医疗器械、化妆品有关监督管理工作。</w:t>
            </w:r>
          </w:p>
          <w:p>
            <w:pPr>
              <w:pStyle w:val="19"/>
              <w:keepNext w:val="0"/>
              <w:keepLines w:val="0"/>
              <w:pageBreakBefore w:val="0"/>
              <w:widowControl w:val="0"/>
              <w:kinsoku/>
              <w:wordWrap/>
              <w:overflowPunct/>
              <w:topLinePunct w:val="0"/>
              <w:autoSpaceDE/>
              <w:autoSpaceDN/>
              <w:bidi w:val="0"/>
              <w:adjustRightInd/>
              <w:snapToGrid/>
              <w:spacing w:line="360" w:lineRule="auto"/>
              <w:ind w:firstLine="520"/>
              <w:jc w:val="both"/>
              <w:textAlignment w:val="auto"/>
              <w:rPr>
                <w:rFonts w:hint="eastAsia" w:ascii="仿宋_GB2312" w:eastAsia="仿宋_GB2312"/>
                <w:sz w:val="28"/>
                <w:szCs w:val="28"/>
              </w:rPr>
            </w:pPr>
            <w:r>
              <w:rPr>
                <w:rFonts w:hint="eastAsia" w:ascii="仿宋_GB2312" w:eastAsia="仿宋_GB2312"/>
                <w:sz w:val="28"/>
                <w:szCs w:val="28"/>
              </w:rPr>
              <w:t>（二十六）按规定要求，承担对口事业服务机构业务工作的指导、协调和监督职责。</w:t>
            </w:r>
          </w:p>
          <w:p>
            <w:pPr>
              <w:pStyle w:val="19"/>
              <w:keepNext w:val="0"/>
              <w:keepLines w:val="0"/>
              <w:pageBreakBefore w:val="0"/>
              <w:widowControl w:val="0"/>
              <w:kinsoku/>
              <w:wordWrap/>
              <w:overflowPunct/>
              <w:topLinePunct w:val="0"/>
              <w:autoSpaceDE/>
              <w:autoSpaceDN/>
              <w:bidi w:val="0"/>
              <w:adjustRightInd/>
              <w:snapToGrid/>
              <w:spacing w:line="360" w:lineRule="auto"/>
              <w:ind w:firstLine="520"/>
              <w:jc w:val="both"/>
              <w:textAlignment w:val="auto"/>
              <w:rPr>
                <w:rFonts w:hint="eastAsia" w:ascii="仿宋_GB2312" w:eastAsia="仿宋_GB2312"/>
                <w:sz w:val="28"/>
                <w:szCs w:val="28"/>
              </w:rPr>
            </w:pPr>
            <w:r>
              <w:rPr>
                <w:rFonts w:hint="eastAsia" w:ascii="仿宋_GB2312" w:eastAsia="仿宋_GB2312"/>
                <w:sz w:val="28"/>
                <w:szCs w:val="28"/>
              </w:rPr>
              <w:t>（二十七）完成市委、市政府交办的其他任务。</w:t>
            </w:r>
          </w:p>
          <w:p>
            <w:pPr>
              <w:spacing w:line="560" w:lineRule="exact"/>
              <w:ind w:firstLine="562" w:firstLineChars="200"/>
              <w:rPr>
                <w:rFonts w:hint="eastAsia" w:ascii="宋体" w:hAnsi="宋体" w:eastAsia="宋体" w:cs="宋体"/>
                <w:b/>
                <w:bCs w:val="0"/>
                <w:sz w:val="28"/>
                <w:szCs w:val="28"/>
                <w:lang w:val="en-US" w:eastAsia="zh-CN"/>
              </w:rPr>
            </w:pPr>
            <w:r>
              <w:rPr>
                <w:rFonts w:hint="eastAsia" w:ascii="宋体" w:hAnsi="宋体" w:eastAsia="宋体" w:cs="宋体"/>
                <w:b/>
                <w:bCs w:val="0"/>
                <w:sz w:val="28"/>
                <w:szCs w:val="28"/>
                <w:lang w:val="en-US" w:eastAsia="zh-CN"/>
              </w:rPr>
              <w:t>4、部门整体支出管理状况</w:t>
            </w:r>
          </w:p>
          <w:p>
            <w:pPr>
              <w:widowControl/>
              <w:spacing w:line="48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lang w:val="en-US" w:eastAsia="zh-CN"/>
              </w:rPr>
              <w:t>2020年，</w:t>
            </w:r>
            <w:r>
              <w:rPr>
                <w:rFonts w:hint="eastAsia" w:ascii="仿宋_GB2312" w:hAnsi="仿宋_GB2312" w:eastAsia="仿宋_GB2312" w:cs="仿宋_GB2312"/>
                <w:color w:val="333333"/>
                <w:kern w:val="0"/>
                <w:sz w:val="28"/>
                <w:szCs w:val="28"/>
                <w:lang w:eastAsia="zh-CN"/>
              </w:rPr>
              <w:t>我局</w:t>
            </w:r>
            <w:r>
              <w:rPr>
                <w:rFonts w:hint="eastAsia" w:ascii="仿宋_GB2312" w:hAnsi="仿宋_GB2312" w:eastAsia="仿宋_GB2312" w:cs="仿宋_GB2312"/>
                <w:color w:val="333333"/>
                <w:kern w:val="0"/>
                <w:sz w:val="28"/>
                <w:szCs w:val="28"/>
              </w:rPr>
              <w:t>为加强部门整体支出管理，提高资金使用效益，除日常的管理工作之外，我局在部门整体支出管理方面开展了如下工作：</w:t>
            </w:r>
          </w:p>
          <w:p>
            <w:pPr>
              <w:widowControl/>
              <w:spacing w:line="48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1、重视预算支出绩效评估工作，成立了以局领导和</w:t>
            </w:r>
            <w:r>
              <w:rPr>
                <w:rFonts w:hint="eastAsia" w:ascii="仿宋_GB2312" w:hAnsi="仿宋_GB2312" w:eastAsia="仿宋_GB2312" w:cs="仿宋_GB2312"/>
                <w:color w:val="333333"/>
                <w:kern w:val="0"/>
                <w:sz w:val="28"/>
                <w:szCs w:val="28"/>
                <w:lang w:eastAsia="zh-CN"/>
              </w:rPr>
              <w:t>法制科</w:t>
            </w:r>
            <w:r>
              <w:rPr>
                <w:rFonts w:hint="eastAsia" w:ascii="仿宋_GB2312" w:hAnsi="仿宋_GB2312" w:eastAsia="仿宋_GB2312" w:cs="仿宋_GB2312"/>
                <w:color w:val="333333"/>
                <w:kern w:val="0"/>
                <w:sz w:val="28"/>
                <w:szCs w:val="28"/>
              </w:rPr>
              <w:t>及相关科室负责人组成的预算支出绩效评估领导小组，强化了各科室的预算管理意识。</w:t>
            </w:r>
          </w:p>
          <w:p>
            <w:pPr>
              <w:widowControl/>
              <w:spacing w:line="48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2、重视财政预算资金管理方面制度的学习，不断提高各科室的</w:t>
            </w:r>
            <w:r>
              <w:rPr>
                <w:rFonts w:hint="eastAsia" w:ascii="仿宋_GB2312" w:hAnsi="仿宋_GB2312" w:eastAsia="仿宋_GB2312" w:cs="仿宋_GB2312"/>
                <w:color w:val="333333"/>
                <w:kern w:val="0"/>
                <w:sz w:val="28"/>
                <w:szCs w:val="28"/>
                <w:lang w:eastAsia="zh-CN"/>
              </w:rPr>
              <w:t>专项资金管理</w:t>
            </w:r>
            <w:r>
              <w:rPr>
                <w:rFonts w:hint="eastAsia" w:ascii="仿宋_GB2312" w:hAnsi="仿宋_GB2312" w:eastAsia="仿宋_GB2312" w:cs="仿宋_GB2312"/>
                <w:color w:val="333333"/>
                <w:kern w:val="0"/>
                <w:sz w:val="28"/>
                <w:szCs w:val="28"/>
              </w:rPr>
              <w:t>能力。</w:t>
            </w:r>
          </w:p>
          <w:p>
            <w:pPr>
              <w:widowControl/>
              <w:spacing w:line="48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3、建立了</w:t>
            </w:r>
            <w:r>
              <w:rPr>
                <w:rFonts w:hint="eastAsia" w:ascii="仿宋_GB2312" w:hAnsi="仿宋_GB2312" w:eastAsia="仿宋_GB2312" w:cs="仿宋_GB2312"/>
                <w:color w:val="333333"/>
                <w:kern w:val="0"/>
                <w:sz w:val="28"/>
                <w:szCs w:val="28"/>
                <w:lang w:eastAsia="zh-CN"/>
              </w:rPr>
              <w:t>财务管理制度</w:t>
            </w:r>
            <w:r>
              <w:rPr>
                <w:rFonts w:hint="eastAsia" w:ascii="仿宋_GB2312" w:hAnsi="仿宋_GB2312" w:eastAsia="仿宋_GB2312" w:cs="仿宋_GB2312"/>
                <w:color w:val="333333"/>
                <w:kern w:val="0"/>
                <w:sz w:val="28"/>
                <w:szCs w:val="28"/>
              </w:rPr>
              <w:t>，并不断进行完善和修订。</w:t>
            </w:r>
          </w:p>
          <w:p>
            <w:pPr>
              <w:widowControl/>
              <w:spacing w:line="48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4、严格制度的执行，特别是</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三公</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经费的</w:t>
            </w:r>
            <w:r>
              <w:rPr>
                <w:rFonts w:hint="eastAsia" w:ascii="仿宋_GB2312" w:hAnsi="仿宋_GB2312" w:eastAsia="仿宋_GB2312" w:cs="仿宋_GB2312"/>
                <w:color w:val="333333"/>
                <w:kern w:val="0"/>
                <w:sz w:val="28"/>
                <w:szCs w:val="28"/>
                <w:lang w:eastAsia="zh-CN"/>
              </w:rPr>
              <w:t>管理</w:t>
            </w:r>
            <w:r>
              <w:rPr>
                <w:rFonts w:hint="eastAsia" w:ascii="仿宋_GB2312" w:hAnsi="仿宋_GB2312" w:eastAsia="仿宋_GB2312" w:cs="仿宋_GB2312"/>
                <w:color w:val="333333"/>
                <w:kern w:val="0"/>
                <w:sz w:val="28"/>
                <w:szCs w:val="28"/>
              </w:rPr>
              <w:t>。通过加强对公务用车</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招待费</w:t>
            </w:r>
            <w:r>
              <w:rPr>
                <w:rFonts w:hint="eastAsia" w:ascii="仿宋_GB2312" w:hAnsi="仿宋_GB2312" w:eastAsia="仿宋_GB2312" w:cs="仿宋_GB2312"/>
                <w:color w:val="333333"/>
                <w:kern w:val="0"/>
                <w:sz w:val="28"/>
                <w:szCs w:val="28"/>
                <w:lang w:eastAsia="zh-CN"/>
              </w:rPr>
              <w:t>的</w:t>
            </w:r>
            <w:r>
              <w:rPr>
                <w:rFonts w:hint="eastAsia" w:ascii="仿宋_GB2312" w:hAnsi="仿宋_GB2312" w:eastAsia="仿宋_GB2312" w:cs="仿宋_GB2312"/>
                <w:color w:val="333333"/>
                <w:kern w:val="0"/>
                <w:sz w:val="28"/>
                <w:szCs w:val="28"/>
              </w:rPr>
              <w:t>严格控制，</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三公</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经费较好的控制在预算范围之内。</w:t>
            </w:r>
          </w:p>
          <w:p>
            <w:pPr>
              <w:spacing w:line="560" w:lineRule="exact"/>
              <w:ind w:firstLine="560" w:firstLineChars="200"/>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（二）部门（单位）整体支出规模、使用方向和主要内容、涉及范围等</w:t>
            </w:r>
          </w:p>
          <w:p>
            <w:pPr>
              <w:spacing w:line="560" w:lineRule="exact"/>
              <w:ind w:firstLine="560" w:firstLineChars="200"/>
              <w:rPr>
                <w:rFonts w:hint="eastAsia" w:ascii="黑体" w:hAnsi="黑体" w:eastAsia="黑体" w:cs="黑体"/>
                <w:b/>
                <w:bCs w:val="0"/>
                <w:sz w:val="28"/>
                <w:szCs w:val="28"/>
                <w:lang w:val="en-US" w:eastAsia="zh-CN"/>
              </w:rPr>
            </w:pPr>
            <w:r>
              <w:rPr>
                <w:rFonts w:hint="eastAsia" w:ascii="黑体" w:hAnsi="黑体" w:eastAsia="黑体" w:cs="黑体"/>
                <w:bCs/>
                <w:sz w:val="28"/>
                <w:szCs w:val="28"/>
                <w:lang w:val="en-US" w:eastAsia="zh-CN"/>
              </w:rPr>
              <w:t>1、年度部门预算收支情况及</w:t>
            </w:r>
            <w:r>
              <w:rPr>
                <w:rFonts w:hint="eastAsia" w:ascii="宋体" w:hAnsi="宋体" w:eastAsia="宋体" w:cs="宋体"/>
                <w:b/>
                <w:bCs w:val="0"/>
                <w:sz w:val="28"/>
                <w:szCs w:val="28"/>
                <w:lang w:val="en-US" w:eastAsia="zh-CN"/>
              </w:rPr>
              <w:t>使用方向和主要内容、涉及范围</w:t>
            </w:r>
          </w:p>
          <w:p>
            <w:pPr>
              <w:spacing w:line="560" w:lineRule="exact"/>
              <w:ind w:firstLine="560" w:firstLineChars="200"/>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根据财政部门的预算批复，我局年度部门收支预算情况如下：</w:t>
            </w:r>
          </w:p>
          <w:p>
            <w:pPr>
              <w:widowControl/>
              <w:spacing w:line="48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单位：万元</w:t>
            </w:r>
          </w:p>
          <w:tbl>
            <w:tblPr>
              <w:tblStyle w:val="7"/>
              <w:tblW w:w="9441" w:type="dxa"/>
              <w:tblInd w:w="1"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30" w:type="dxa"/>
                <w:left w:w="30" w:type="dxa"/>
                <w:bottom w:w="30" w:type="dxa"/>
                <w:right w:w="30" w:type="dxa"/>
              </w:tblCellMar>
            </w:tblPr>
            <w:tblGrid>
              <w:gridCol w:w="4536"/>
              <w:gridCol w:w="4905"/>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30" w:type="dxa"/>
                  <w:left w:w="30" w:type="dxa"/>
                  <w:bottom w:w="30" w:type="dxa"/>
                  <w:right w:w="30" w:type="dxa"/>
                </w:tblCellMar>
              </w:tblPrEx>
              <w:tc>
                <w:tcPr>
                  <w:tcW w:w="4536" w:type="dxa"/>
                  <w:tcBorders>
                    <w:top w:val="outset" w:color="000000" w:sz="6" w:space="0"/>
                    <w:left w:val="outset" w:color="000000" w:sz="6" w:space="0"/>
                    <w:bottom w:val="outset" w:color="000000" w:sz="6" w:space="0"/>
                    <w:right w:val="outset" w:color="000000" w:sz="6" w:space="0"/>
                  </w:tcBorders>
                  <w:noWrap w:val="0"/>
                  <w:vAlign w:val="center"/>
                </w:tcPr>
                <w:p>
                  <w:pPr>
                    <w:widowControl/>
                    <w:spacing w:line="480" w:lineRule="auto"/>
                    <w:rPr>
                      <w:rFonts w:ascii="黑体" w:hAnsi="宋体" w:eastAsia="黑体" w:cs="宋体"/>
                      <w:color w:val="333333"/>
                      <w:kern w:val="0"/>
                      <w:sz w:val="28"/>
                      <w:szCs w:val="28"/>
                    </w:rPr>
                  </w:pPr>
                  <w:r>
                    <w:rPr>
                      <w:rFonts w:hint="eastAsia" w:ascii="黑体" w:hAnsi="宋体" w:eastAsia="黑体" w:cs="宋体"/>
                      <w:color w:val="333333"/>
                      <w:kern w:val="0"/>
                      <w:sz w:val="28"/>
                      <w:szCs w:val="28"/>
                    </w:rPr>
                    <w:t>预算项目</w:t>
                  </w:r>
                </w:p>
              </w:tc>
              <w:tc>
                <w:tcPr>
                  <w:tcW w:w="4905" w:type="dxa"/>
                  <w:tcBorders>
                    <w:top w:val="outset" w:color="000000" w:sz="6" w:space="0"/>
                    <w:left w:val="outset" w:color="000000" w:sz="6" w:space="0"/>
                    <w:bottom w:val="outset" w:color="000000" w:sz="6" w:space="0"/>
                    <w:right w:val="outset" w:color="000000" w:sz="6" w:space="0"/>
                  </w:tcBorders>
                  <w:noWrap w:val="0"/>
                  <w:vAlign w:val="center"/>
                </w:tcPr>
                <w:p>
                  <w:pPr>
                    <w:widowControl/>
                    <w:spacing w:line="480" w:lineRule="auto"/>
                    <w:ind w:firstLine="2240" w:firstLineChars="800"/>
                    <w:rPr>
                      <w:rFonts w:ascii="黑体" w:hAnsi="宋体" w:eastAsia="黑体" w:cs="宋体"/>
                      <w:color w:val="333333"/>
                      <w:kern w:val="0"/>
                      <w:sz w:val="28"/>
                      <w:szCs w:val="28"/>
                    </w:rPr>
                  </w:pPr>
                  <w:r>
                    <w:rPr>
                      <w:rFonts w:hint="eastAsia" w:ascii="黑体" w:hAnsi="宋体" w:eastAsia="黑体" w:cs="宋体"/>
                      <w:color w:val="333333"/>
                      <w:kern w:val="0"/>
                      <w:sz w:val="28"/>
                      <w:szCs w:val="28"/>
                    </w:rPr>
                    <w:t>合计</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30" w:type="dxa"/>
                  <w:left w:w="30" w:type="dxa"/>
                  <w:bottom w:w="30" w:type="dxa"/>
                  <w:right w:w="30" w:type="dxa"/>
                </w:tblCellMar>
              </w:tblPrEx>
              <w:trPr>
                <w:trHeight w:val="469" w:hRule="atLeast"/>
              </w:trPr>
              <w:tc>
                <w:tcPr>
                  <w:tcW w:w="4536" w:type="dxa"/>
                  <w:tcBorders>
                    <w:top w:val="outset" w:color="000000" w:sz="6" w:space="0"/>
                    <w:left w:val="outset" w:color="000000" w:sz="6" w:space="0"/>
                    <w:bottom w:val="outset" w:color="000000" w:sz="6" w:space="0"/>
                    <w:right w:val="outset" w:color="000000" w:sz="6" w:space="0"/>
                  </w:tcBorders>
                  <w:noWrap w:val="0"/>
                  <w:vAlign w:val="center"/>
                </w:tcPr>
                <w:p>
                  <w:pPr>
                    <w:keepNext w:val="0"/>
                    <w:keepLines w:val="0"/>
                    <w:widowControl/>
                    <w:suppressLineNumbers w:val="0"/>
                    <w:jc w:val="left"/>
                    <w:textAlignment w:val="center"/>
                    <w:rPr>
                      <w:rFonts w:hint="eastAsia" w:ascii="宋体" w:hAnsi="宋体" w:eastAsia="宋体" w:cs="宋体"/>
                      <w:color w:val="333333"/>
                      <w:kern w:val="0"/>
                      <w:sz w:val="24"/>
                      <w:szCs w:val="24"/>
                    </w:rPr>
                  </w:pPr>
                  <w:r>
                    <w:rPr>
                      <w:rFonts w:hint="eastAsia" w:ascii="宋体" w:hAnsi="宋体" w:eastAsia="宋体" w:cs="宋体"/>
                      <w:i w:val="0"/>
                      <w:color w:val="000000"/>
                      <w:kern w:val="0"/>
                      <w:sz w:val="24"/>
                      <w:szCs w:val="24"/>
                      <w:u w:val="none"/>
                      <w:lang w:val="en-US" w:eastAsia="zh-CN" w:bidi="ar"/>
                    </w:rPr>
                    <w:t>一、本年收入</w:t>
                  </w:r>
                </w:p>
              </w:tc>
              <w:tc>
                <w:tcPr>
                  <w:tcW w:w="4905" w:type="dxa"/>
                  <w:tcBorders>
                    <w:top w:val="outset" w:color="000000" w:sz="6" w:space="0"/>
                    <w:left w:val="outset" w:color="000000" w:sz="6" w:space="0"/>
                    <w:bottom w:val="outset" w:color="000000" w:sz="6" w:space="0"/>
                    <w:right w:val="outset" w:color="000000" w:sz="6" w:space="0"/>
                  </w:tcBorders>
                  <w:noWrap w:val="0"/>
                  <w:vAlign w:val="center"/>
                </w:tcPr>
                <w:p>
                  <w:pPr>
                    <w:keepNext w:val="0"/>
                    <w:keepLines w:val="0"/>
                    <w:widowControl/>
                    <w:suppressLineNumbers w:val="0"/>
                    <w:jc w:val="center"/>
                    <w:textAlignment w:val="center"/>
                    <w:rPr>
                      <w:rFonts w:hint="default" w:ascii="宋体" w:hAnsi="宋体" w:eastAsia="宋体" w:cs="宋体"/>
                      <w:color w:val="333333"/>
                      <w:kern w:val="0"/>
                      <w:sz w:val="24"/>
                      <w:szCs w:val="24"/>
                      <w:lang w:val="en-US" w:eastAsia="zh-CN"/>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30" w:type="dxa"/>
                  <w:left w:w="30" w:type="dxa"/>
                  <w:bottom w:w="30" w:type="dxa"/>
                  <w:right w:w="30" w:type="dxa"/>
                </w:tblCellMar>
              </w:tblPrEx>
              <w:trPr>
                <w:trHeight w:val="477" w:hRule="atLeast"/>
              </w:trPr>
              <w:tc>
                <w:tcPr>
                  <w:tcW w:w="4536" w:type="dxa"/>
                  <w:tcBorders>
                    <w:top w:val="outset" w:color="000000" w:sz="6" w:space="0"/>
                    <w:left w:val="outset" w:color="000000" w:sz="6" w:space="0"/>
                    <w:bottom w:val="outset" w:color="000000" w:sz="6" w:space="0"/>
                    <w:right w:val="outset" w:color="000000" w:sz="6" w:space="0"/>
                  </w:tcBorders>
                  <w:noWrap w:val="0"/>
                  <w:vAlign w:val="center"/>
                </w:tcPr>
                <w:p>
                  <w:pPr>
                    <w:keepNext w:val="0"/>
                    <w:keepLines w:val="0"/>
                    <w:widowControl/>
                    <w:suppressLineNumbers w:val="0"/>
                    <w:jc w:val="left"/>
                    <w:textAlignment w:val="center"/>
                    <w:rPr>
                      <w:rFonts w:hint="eastAsia" w:ascii="宋体" w:hAnsi="宋体" w:eastAsia="宋体" w:cs="宋体"/>
                      <w:color w:val="333333"/>
                      <w:kern w:val="0"/>
                      <w:sz w:val="24"/>
                      <w:szCs w:val="24"/>
                    </w:rPr>
                  </w:pPr>
                  <w:r>
                    <w:rPr>
                      <w:rFonts w:hint="eastAsia" w:ascii="宋体" w:hAnsi="宋体" w:eastAsia="宋体" w:cs="宋体"/>
                      <w:i w:val="0"/>
                      <w:color w:val="000000"/>
                      <w:kern w:val="0"/>
                      <w:sz w:val="24"/>
                      <w:szCs w:val="24"/>
                      <w:u w:val="none"/>
                      <w:lang w:val="en-US" w:eastAsia="zh-CN" w:bidi="ar"/>
                    </w:rPr>
                    <w:t>经费拨款(补助)</w:t>
                  </w:r>
                </w:p>
              </w:tc>
              <w:tc>
                <w:tcPr>
                  <w:tcW w:w="4905" w:type="dxa"/>
                  <w:tcBorders>
                    <w:top w:val="outset" w:color="000000" w:sz="6" w:space="0"/>
                    <w:left w:val="outset" w:color="000000" w:sz="6" w:space="0"/>
                    <w:bottom w:val="outset" w:color="000000" w:sz="6" w:space="0"/>
                    <w:right w:val="outset" w:color="000000" w:sz="6" w:space="0"/>
                  </w:tcBorders>
                  <w:noWrap w:val="0"/>
                  <w:vAlign w:val="center"/>
                </w:tcPr>
                <w:p>
                  <w:pPr>
                    <w:keepNext w:val="0"/>
                    <w:keepLines w:val="0"/>
                    <w:widowControl/>
                    <w:suppressLineNumbers w:val="0"/>
                    <w:jc w:val="center"/>
                    <w:textAlignment w:val="center"/>
                    <w:rPr>
                      <w:rFonts w:hint="default" w:ascii="宋体" w:hAnsi="宋体" w:eastAsia="宋体" w:cs="宋体"/>
                      <w:color w:val="333333"/>
                      <w:kern w:val="0"/>
                      <w:sz w:val="24"/>
                      <w:szCs w:val="24"/>
                      <w:lang w:val="en-US" w:eastAsia="zh-CN"/>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30" w:type="dxa"/>
                  <w:left w:w="30" w:type="dxa"/>
                  <w:bottom w:w="30" w:type="dxa"/>
                  <w:right w:w="30" w:type="dxa"/>
                </w:tblCellMar>
              </w:tblPrEx>
              <w:trPr>
                <w:trHeight w:val="579" w:hRule="atLeast"/>
              </w:trPr>
              <w:tc>
                <w:tcPr>
                  <w:tcW w:w="4536" w:type="dxa"/>
                  <w:tcBorders>
                    <w:top w:val="outset" w:color="000000" w:sz="6" w:space="0"/>
                    <w:left w:val="outset" w:color="000000" w:sz="6" w:space="0"/>
                    <w:bottom w:val="outset" w:color="000000" w:sz="6" w:space="0"/>
                    <w:right w:val="outset" w:color="000000" w:sz="6" w:space="0"/>
                  </w:tcBorders>
                  <w:noWrap w:val="0"/>
                  <w:vAlign w:val="center"/>
                </w:tcPr>
                <w:p>
                  <w:pPr>
                    <w:keepNext w:val="0"/>
                    <w:keepLines w:val="0"/>
                    <w:widowControl/>
                    <w:suppressLineNumbers w:val="0"/>
                    <w:jc w:val="left"/>
                    <w:textAlignment w:val="center"/>
                    <w:rPr>
                      <w:rFonts w:hint="eastAsia" w:ascii="宋体" w:hAnsi="宋体" w:eastAsia="宋体" w:cs="宋体"/>
                      <w:color w:val="333333"/>
                      <w:kern w:val="0"/>
                      <w:sz w:val="24"/>
                      <w:szCs w:val="24"/>
                    </w:rPr>
                  </w:pPr>
                  <w:r>
                    <w:rPr>
                      <w:rFonts w:hint="eastAsia" w:ascii="宋体" w:hAnsi="宋体" w:eastAsia="宋体" w:cs="宋体"/>
                      <w:i w:val="0"/>
                      <w:color w:val="000000"/>
                      <w:kern w:val="0"/>
                      <w:sz w:val="24"/>
                      <w:szCs w:val="24"/>
                      <w:u w:val="none"/>
                      <w:lang w:val="en-US" w:eastAsia="zh-CN" w:bidi="ar"/>
                    </w:rPr>
                    <w:t>纳入一般公共预算管理的非税收入拨款</w:t>
                  </w:r>
                </w:p>
              </w:tc>
              <w:tc>
                <w:tcPr>
                  <w:tcW w:w="4905" w:type="dxa"/>
                  <w:tcBorders>
                    <w:top w:val="outset" w:color="000000" w:sz="6" w:space="0"/>
                    <w:left w:val="outset" w:color="000000" w:sz="6" w:space="0"/>
                    <w:bottom w:val="outset" w:color="000000" w:sz="6" w:space="0"/>
                    <w:right w:val="outset" w:color="000000" w:sz="6" w:space="0"/>
                  </w:tcBorders>
                  <w:noWrap w:val="0"/>
                  <w:vAlign w:val="center"/>
                </w:tcPr>
                <w:p>
                  <w:pPr>
                    <w:widowControl/>
                    <w:spacing w:line="480" w:lineRule="auto"/>
                    <w:ind w:firstLine="2160" w:firstLineChars="900"/>
                    <w:jc w:val="both"/>
                    <w:rPr>
                      <w:rFonts w:hint="default" w:ascii="宋体" w:hAnsi="宋体" w:eastAsia="宋体" w:cs="宋体"/>
                      <w:color w:val="333333"/>
                      <w:kern w:val="0"/>
                      <w:sz w:val="24"/>
                      <w:szCs w:val="24"/>
                      <w:lang w:val="en-US" w:eastAsia="zh-CN"/>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30" w:type="dxa"/>
                  <w:left w:w="30" w:type="dxa"/>
                  <w:bottom w:w="30" w:type="dxa"/>
                  <w:right w:w="30" w:type="dxa"/>
                </w:tblCellMar>
              </w:tblPrEx>
              <w:tc>
                <w:tcPr>
                  <w:tcW w:w="4536" w:type="dxa"/>
                  <w:tcBorders>
                    <w:top w:val="outset" w:color="000000" w:sz="6" w:space="0"/>
                    <w:left w:val="outset" w:color="000000" w:sz="6" w:space="0"/>
                    <w:bottom w:val="outset" w:color="000000" w:sz="6" w:space="0"/>
                    <w:right w:val="outset" w:color="000000" w:sz="6" w:space="0"/>
                  </w:tcBorders>
                  <w:noWrap w:val="0"/>
                  <w:vAlign w:val="center"/>
                </w:tcPr>
                <w:p>
                  <w:pPr>
                    <w:widowControl/>
                    <w:spacing w:line="480" w:lineRule="auto"/>
                    <w:rPr>
                      <w:rFonts w:hint="eastAsia" w:ascii="宋体" w:hAnsi="宋体" w:eastAsia="宋体" w:cs="宋体"/>
                      <w:color w:val="333333"/>
                      <w:kern w:val="0"/>
                      <w:sz w:val="24"/>
                      <w:szCs w:val="24"/>
                      <w:lang w:eastAsia="zh-CN"/>
                    </w:rPr>
                  </w:pPr>
                  <w:r>
                    <w:rPr>
                      <w:rFonts w:hint="eastAsia" w:ascii="宋体" w:hAnsi="宋体" w:eastAsia="宋体" w:cs="宋体"/>
                      <w:color w:val="333333"/>
                      <w:kern w:val="0"/>
                      <w:sz w:val="24"/>
                      <w:szCs w:val="24"/>
                      <w:lang w:eastAsia="zh-CN"/>
                    </w:rPr>
                    <w:t>二、本年支出</w:t>
                  </w:r>
                </w:p>
              </w:tc>
              <w:tc>
                <w:tcPr>
                  <w:tcW w:w="4905" w:type="dxa"/>
                  <w:tcBorders>
                    <w:top w:val="outset" w:color="000000" w:sz="6" w:space="0"/>
                    <w:left w:val="outset" w:color="000000" w:sz="6" w:space="0"/>
                    <w:bottom w:val="outset" w:color="000000" w:sz="6" w:space="0"/>
                    <w:right w:val="outset" w:color="000000" w:sz="6" w:space="0"/>
                  </w:tcBorders>
                  <w:noWrap w:val="0"/>
                  <w:vAlign w:val="center"/>
                </w:tcPr>
                <w:p>
                  <w:pPr>
                    <w:widowControl/>
                    <w:spacing w:line="480" w:lineRule="auto"/>
                    <w:jc w:val="center"/>
                    <w:rPr>
                      <w:rFonts w:hint="default" w:ascii="宋体" w:hAnsi="宋体" w:eastAsia="宋体" w:cs="宋体"/>
                      <w:color w:val="333333"/>
                      <w:kern w:val="0"/>
                      <w:sz w:val="24"/>
                      <w:szCs w:val="24"/>
                      <w:lang w:val="en-US" w:eastAsia="zh-CN"/>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30" w:type="dxa"/>
                  <w:left w:w="30" w:type="dxa"/>
                  <w:bottom w:w="30" w:type="dxa"/>
                  <w:right w:w="30" w:type="dxa"/>
                </w:tblCellMar>
              </w:tblPrEx>
              <w:tc>
                <w:tcPr>
                  <w:tcW w:w="4536" w:type="dxa"/>
                  <w:tcBorders>
                    <w:top w:val="outset" w:color="000000" w:sz="6" w:space="0"/>
                    <w:left w:val="outset" w:color="000000" w:sz="6" w:space="0"/>
                    <w:bottom w:val="outset" w:color="000000" w:sz="6" w:space="0"/>
                    <w:right w:val="outset" w:color="000000" w:sz="6" w:space="0"/>
                  </w:tcBorders>
                  <w:noWrap w:val="0"/>
                  <w:vAlign w:val="center"/>
                </w:tcPr>
                <w:p>
                  <w:pPr>
                    <w:widowControl/>
                    <w:spacing w:line="480" w:lineRule="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基本支出</w:t>
                  </w:r>
                </w:p>
              </w:tc>
              <w:tc>
                <w:tcPr>
                  <w:tcW w:w="4905" w:type="dxa"/>
                  <w:tcBorders>
                    <w:top w:val="outset" w:color="000000" w:sz="6" w:space="0"/>
                    <w:left w:val="outset" w:color="000000" w:sz="6" w:space="0"/>
                    <w:bottom w:val="outset" w:color="000000" w:sz="6" w:space="0"/>
                    <w:right w:val="outset" w:color="000000" w:sz="6" w:space="0"/>
                  </w:tcBorders>
                  <w:noWrap w:val="0"/>
                  <w:vAlign w:val="center"/>
                </w:tcPr>
                <w:p>
                  <w:pPr>
                    <w:widowControl/>
                    <w:spacing w:line="480" w:lineRule="auto"/>
                    <w:jc w:val="center"/>
                    <w:rPr>
                      <w:rFonts w:hint="default" w:ascii="宋体" w:hAnsi="宋体" w:eastAsia="宋体" w:cs="宋体"/>
                      <w:color w:val="333333"/>
                      <w:kern w:val="0"/>
                      <w:sz w:val="24"/>
                      <w:szCs w:val="24"/>
                      <w:lang w:val="en-US" w:eastAsia="zh-CN"/>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30" w:type="dxa"/>
                  <w:left w:w="30" w:type="dxa"/>
                  <w:bottom w:w="30" w:type="dxa"/>
                  <w:right w:w="30" w:type="dxa"/>
                </w:tblCellMar>
              </w:tblPrEx>
              <w:tc>
                <w:tcPr>
                  <w:tcW w:w="4536" w:type="dxa"/>
                  <w:tcBorders>
                    <w:top w:val="outset" w:color="000000" w:sz="6" w:space="0"/>
                    <w:left w:val="outset" w:color="000000" w:sz="6" w:space="0"/>
                    <w:bottom w:val="outset" w:color="000000" w:sz="6" w:space="0"/>
                    <w:right w:val="outset" w:color="000000" w:sz="6" w:space="0"/>
                  </w:tcBorders>
                  <w:noWrap w:val="0"/>
                  <w:vAlign w:val="center"/>
                </w:tcPr>
                <w:p>
                  <w:pPr>
                    <w:widowControl/>
                    <w:spacing w:line="480" w:lineRule="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其中：财政拨款支出</w:t>
                  </w:r>
                </w:p>
              </w:tc>
              <w:tc>
                <w:tcPr>
                  <w:tcW w:w="4905" w:type="dxa"/>
                  <w:tcBorders>
                    <w:top w:val="outset" w:color="000000" w:sz="6" w:space="0"/>
                    <w:left w:val="outset" w:color="000000" w:sz="6" w:space="0"/>
                    <w:bottom w:val="outset" w:color="000000" w:sz="6" w:space="0"/>
                    <w:right w:val="outset" w:color="000000" w:sz="6" w:space="0"/>
                  </w:tcBorders>
                  <w:noWrap w:val="0"/>
                  <w:vAlign w:val="center"/>
                </w:tcPr>
                <w:p>
                  <w:pPr>
                    <w:widowControl/>
                    <w:spacing w:line="480" w:lineRule="auto"/>
                    <w:jc w:val="center"/>
                    <w:rPr>
                      <w:rFonts w:hint="default" w:ascii="宋体" w:hAnsi="宋体" w:eastAsia="宋体" w:cs="宋体"/>
                      <w:color w:val="333333"/>
                      <w:kern w:val="0"/>
                      <w:sz w:val="24"/>
                      <w:szCs w:val="24"/>
                      <w:lang w:val="en-US" w:eastAsia="zh-CN"/>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30" w:type="dxa"/>
                  <w:left w:w="30" w:type="dxa"/>
                  <w:bottom w:w="30" w:type="dxa"/>
                  <w:right w:w="30" w:type="dxa"/>
                </w:tblCellMar>
              </w:tblPrEx>
              <w:tc>
                <w:tcPr>
                  <w:tcW w:w="4536" w:type="dxa"/>
                  <w:tcBorders>
                    <w:top w:val="outset" w:color="000000" w:sz="6" w:space="0"/>
                    <w:left w:val="outset" w:color="000000" w:sz="6" w:space="0"/>
                    <w:bottom w:val="outset" w:color="000000" w:sz="6" w:space="0"/>
                    <w:right w:val="outset" w:color="000000" w:sz="6" w:space="0"/>
                  </w:tcBorders>
                  <w:noWrap w:val="0"/>
                  <w:vAlign w:val="center"/>
                </w:tcPr>
                <w:p>
                  <w:pPr>
                    <w:widowControl/>
                    <w:spacing w:line="480" w:lineRule="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项目支出</w:t>
                  </w:r>
                </w:p>
              </w:tc>
              <w:tc>
                <w:tcPr>
                  <w:tcW w:w="4905" w:type="dxa"/>
                  <w:tcBorders>
                    <w:top w:val="outset" w:color="000000" w:sz="6" w:space="0"/>
                    <w:left w:val="outset" w:color="000000" w:sz="6" w:space="0"/>
                    <w:bottom w:val="outset" w:color="000000" w:sz="6" w:space="0"/>
                    <w:right w:val="outset" w:color="000000" w:sz="6" w:space="0"/>
                  </w:tcBorders>
                  <w:noWrap w:val="0"/>
                  <w:vAlign w:val="center"/>
                </w:tcPr>
                <w:p>
                  <w:pPr>
                    <w:widowControl/>
                    <w:spacing w:line="480" w:lineRule="auto"/>
                    <w:jc w:val="center"/>
                    <w:rPr>
                      <w:rFonts w:hint="default" w:ascii="宋体" w:hAnsi="宋体" w:eastAsia="宋体" w:cs="宋体"/>
                      <w:color w:val="333333"/>
                      <w:kern w:val="0"/>
                      <w:sz w:val="24"/>
                      <w:szCs w:val="24"/>
                      <w:lang w:val="en-US" w:eastAsia="zh-CN"/>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30" w:type="dxa"/>
                  <w:left w:w="30" w:type="dxa"/>
                  <w:bottom w:w="30" w:type="dxa"/>
                  <w:right w:w="30" w:type="dxa"/>
                </w:tblCellMar>
              </w:tblPrEx>
              <w:tc>
                <w:tcPr>
                  <w:tcW w:w="4536" w:type="dxa"/>
                  <w:tcBorders>
                    <w:top w:val="outset" w:color="000000" w:sz="6" w:space="0"/>
                    <w:left w:val="outset" w:color="000000" w:sz="6" w:space="0"/>
                    <w:bottom w:val="outset" w:color="000000" w:sz="6" w:space="0"/>
                    <w:right w:val="outset" w:color="000000" w:sz="6" w:space="0"/>
                  </w:tcBorders>
                  <w:noWrap w:val="0"/>
                  <w:vAlign w:val="center"/>
                </w:tcPr>
                <w:p>
                  <w:pPr>
                    <w:widowControl/>
                    <w:spacing w:line="480" w:lineRule="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其中：财政拨款支出</w:t>
                  </w:r>
                </w:p>
              </w:tc>
              <w:tc>
                <w:tcPr>
                  <w:tcW w:w="4905" w:type="dxa"/>
                  <w:tcBorders>
                    <w:top w:val="outset" w:color="000000" w:sz="6" w:space="0"/>
                    <w:left w:val="outset" w:color="000000" w:sz="6" w:space="0"/>
                    <w:bottom w:val="outset" w:color="000000" w:sz="6" w:space="0"/>
                    <w:right w:val="outset" w:color="000000" w:sz="6" w:space="0"/>
                  </w:tcBorders>
                  <w:noWrap w:val="0"/>
                  <w:vAlign w:val="center"/>
                </w:tcPr>
                <w:p>
                  <w:pPr>
                    <w:widowControl/>
                    <w:spacing w:line="480" w:lineRule="auto"/>
                    <w:jc w:val="center"/>
                    <w:rPr>
                      <w:rFonts w:hint="default" w:ascii="宋体" w:hAnsi="宋体" w:eastAsia="宋体" w:cs="宋体"/>
                      <w:color w:val="333333"/>
                      <w:kern w:val="0"/>
                      <w:sz w:val="24"/>
                      <w:szCs w:val="24"/>
                      <w:lang w:val="en-US" w:eastAsia="zh-CN"/>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30" w:type="dxa"/>
                  <w:left w:w="30" w:type="dxa"/>
                  <w:bottom w:w="30" w:type="dxa"/>
                  <w:right w:w="30" w:type="dxa"/>
                </w:tblCellMar>
              </w:tblPrEx>
              <w:tc>
                <w:tcPr>
                  <w:tcW w:w="4536" w:type="dxa"/>
                  <w:tcBorders>
                    <w:top w:val="outset" w:color="000000" w:sz="6" w:space="0"/>
                    <w:left w:val="outset" w:color="000000" w:sz="6" w:space="0"/>
                    <w:bottom w:val="outset" w:color="000000" w:sz="6" w:space="0"/>
                    <w:right w:val="outset" w:color="000000" w:sz="6" w:space="0"/>
                  </w:tcBorders>
                  <w:noWrap w:val="0"/>
                  <w:vAlign w:val="center"/>
                </w:tcPr>
                <w:p>
                  <w:pPr>
                    <w:widowControl/>
                    <w:spacing w:line="480" w:lineRule="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支出预算合计</w:t>
                  </w:r>
                </w:p>
              </w:tc>
              <w:tc>
                <w:tcPr>
                  <w:tcW w:w="4905" w:type="dxa"/>
                  <w:tcBorders>
                    <w:top w:val="outset" w:color="000000" w:sz="6" w:space="0"/>
                    <w:left w:val="outset" w:color="000000" w:sz="6" w:space="0"/>
                    <w:bottom w:val="outset" w:color="000000" w:sz="6" w:space="0"/>
                    <w:right w:val="outset" w:color="000000" w:sz="6" w:space="0"/>
                  </w:tcBorders>
                  <w:noWrap w:val="0"/>
                  <w:vAlign w:val="center"/>
                </w:tcPr>
                <w:p>
                  <w:pPr>
                    <w:widowControl/>
                    <w:spacing w:line="480" w:lineRule="auto"/>
                    <w:jc w:val="center"/>
                    <w:rPr>
                      <w:rFonts w:hint="default" w:ascii="宋体" w:hAnsi="宋体" w:eastAsia="宋体" w:cs="宋体"/>
                      <w:color w:val="333333"/>
                      <w:kern w:val="0"/>
                      <w:sz w:val="24"/>
                      <w:szCs w:val="24"/>
                      <w:lang w:val="en-US" w:eastAsia="zh-CN"/>
                    </w:rPr>
                  </w:pPr>
                </w:p>
              </w:tc>
            </w:tr>
          </w:tbl>
          <w:p>
            <w:pPr>
              <w:spacing w:line="560" w:lineRule="exact"/>
              <w:ind w:firstLine="560" w:firstLineChars="200"/>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从预算批复分析，年度预算收入12247.93万元，全部为财政拨款收入，全年预算支出12247.93万元，其中基本支出10095.79万元，占总支出的82.43%，使用内容为人员经费和日常公用经费。项目支出2152.14万元，占支出的17.57%。使用内容为：打击传销等市场监管执法699万元，非税收入征收成本441万元，办公设备购置等30万元，商事制度改革、商标广告管理等市场主体管理专项269.80万元，大型修缮122.15万元，重点工业产品食品监督抽查、强制检定、政府质量考核工作、政府质量考核工作、标准化、专项打假及投诉处理、纤维及制品质量监督、其他民生领域质量监督、法人库及条码管理等质量基础管理专项288万元，特种设备安全监管专项27万元，食品药品安全监管275.19万元。</w:t>
            </w:r>
          </w:p>
          <w:p>
            <w:pPr>
              <w:numPr>
                <w:ilvl w:val="0"/>
                <w:numId w:val="0"/>
              </w:numPr>
              <w:spacing w:line="560" w:lineRule="exact"/>
              <w:ind w:leftChars="0" w:firstLine="280" w:firstLineChars="100"/>
              <w:rPr>
                <w:rFonts w:hint="eastAsia" w:ascii="宋体" w:hAnsi="宋体" w:eastAsia="宋体" w:cs="宋体"/>
                <w:b/>
                <w:bCs w:val="0"/>
                <w:sz w:val="28"/>
                <w:szCs w:val="28"/>
                <w:lang w:val="en-US" w:eastAsia="zh-CN"/>
              </w:rPr>
            </w:pPr>
            <w:r>
              <w:rPr>
                <w:rFonts w:hint="eastAsia" w:ascii="黑体" w:hAnsi="黑体" w:eastAsia="黑体" w:cs="黑体"/>
                <w:bCs/>
                <w:sz w:val="28"/>
                <w:szCs w:val="28"/>
                <w:lang w:val="en-US" w:eastAsia="zh-CN"/>
              </w:rPr>
              <w:t>2、年度部门决算收支情况及</w:t>
            </w:r>
            <w:r>
              <w:rPr>
                <w:rFonts w:hint="eastAsia" w:ascii="宋体" w:hAnsi="宋体" w:eastAsia="宋体" w:cs="宋体"/>
                <w:b/>
                <w:bCs w:val="0"/>
                <w:sz w:val="28"/>
                <w:szCs w:val="28"/>
                <w:lang w:val="en-US" w:eastAsia="zh-CN"/>
              </w:rPr>
              <w:t>使用方向和主要内容、涉及范围</w:t>
            </w:r>
          </w:p>
          <w:p>
            <w:pPr>
              <w:spacing w:line="560" w:lineRule="exact"/>
              <w:ind w:firstLine="3360" w:firstLineChars="1400"/>
              <w:rPr>
                <w:rFonts w:hint="eastAsia" w:ascii="仿宋_GB2312" w:hAnsi="仿宋_GB2312" w:eastAsia="仿宋_GB2312" w:cs="仿宋_GB2312"/>
                <w:b w:val="0"/>
                <w:bCs/>
                <w:sz w:val="28"/>
                <w:szCs w:val="28"/>
              </w:rPr>
            </w:pPr>
            <w:r>
              <w:rPr>
                <w:rFonts w:hint="eastAsia" w:ascii="宋体" w:hAnsi="宋体" w:eastAsia="宋体" w:cs="宋体"/>
                <w:i w:val="0"/>
                <w:color w:val="auto"/>
                <w:sz w:val="24"/>
                <w:szCs w:val="24"/>
                <w:u w:val="none"/>
              </w:rPr>
              <w:t>收入</w:t>
            </w:r>
            <w:r>
              <w:rPr>
                <w:rFonts w:hint="eastAsia" w:ascii="宋体" w:hAnsi="宋体" w:eastAsia="宋体" w:cs="宋体"/>
                <w:i w:val="0"/>
                <w:color w:val="auto"/>
                <w:sz w:val="24"/>
                <w:szCs w:val="24"/>
                <w:u w:val="none"/>
                <w:lang w:eastAsia="zh-CN"/>
              </w:rPr>
              <w:t>决</w:t>
            </w:r>
            <w:r>
              <w:rPr>
                <w:rFonts w:hint="eastAsia" w:ascii="宋体" w:hAnsi="宋体" w:eastAsia="宋体" w:cs="宋体"/>
                <w:i w:val="0"/>
                <w:color w:val="auto"/>
                <w:sz w:val="24"/>
                <w:szCs w:val="24"/>
                <w:u w:val="none"/>
              </w:rPr>
              <w:t>算情况</w:t>
            </w:r>
          </w:p>
          <w:tbl>
            <w:tblPr>
              <w:tblStyle w:val="7"/>
              <w:tblW w:w="0" w:type="auto"/>
              <w:tblInd w:w="-15" w:type="dxa"/>
              <w:tblLayout w:type="fixed"/>
              <w:tblCellMar>
                <w:top w:w="0" w:type="dxa"/>
                <w:left w:w="0" w:type="dxa"/>
                <w:bottom w:w="0" w:type="dxa"/>
                <w:right w:w="0" w:type="dxa"/>
              </w:tblCellMar>
            </w:tblPr>
            <w:tblGrid>
              <w:gridCol w:w="5"/>
              <w:gridCol w:w="1515"/>
              <w:gridCol w:w="5"/>
              <w:gridCol w:w="1590"/>
              <w:gridCol w:w="1385"/>
              <w:gridCol w:w="5"/>
              <w:gridCol w:w="1455"/>
              <w:gridCol w:w="5"/>
              <w:gridCol w:w="1140"/>
              <w:gridCol w:w="1683"/>
            </w:tblGrid>
            <w:tr>
              <w:tblPrEx>
                <w:tblCellMar>
                  <w:top w:w="0" w:type="dxa"/>
                  <w:left w:w="0" w:type="dxa"/>
                  <w:bottom w:w="0" w:type="dxa"/>
                  <w:right w:w="0" w:type="dxa"/>
                </w:tblCellMar>
              </w:tblPrEx>
              <w:trPr>
                <w:trHeight w:val="285" w:hRule="atLeast"/>
              </w:trPr>
              <w:tc>
                <w:tcPr>
                  <w:tcW w:w="1520" w:type="dxa"/>
                  <w:gridSpan w:val="2"/>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auto"/>
                      <w:sz w:val="24"/>
                      <w:szCs w:val="24"/>
                      <w:u w:val="none"/>
                    </w:rPr>
                  </w:pPr>
                </w:p>
              </w:tc>
              <w:tc>
                <w:tcPr>
                  <w:tcW w:w="1595" w:type="dxa"/>
                  <w:gridSpan w:val="2"/>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auto"/>
                      <w:sz w:val="24"/>
                      <w:szCs w:val="24"/>
                      <w:u w:val="none"/>
                    </w:rPr>
                  </w:pPr>
                </w:p>
              </w:tc>
              <w:tc>
                <w:tcPr>
                  <w:tcW w:w="1385" w:type="dxa"/>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auto"/>
                      <w:sz w:val="24"/>
                      <w:szCs w:val="24"/>
                      <w:u w:val="none"/>
                    </w:rPr>
                  </w:pPr>
                </w:p>
              </w:tc>
              <w:tc>
                <w:tcPr>
                  <w:tcW w:w="1460" w:type="dxa"/>
                  <w:gridSpan w:val="2"/>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auto"/>
                      <w:sz w:val="24"/>
                      <w:szCs w:val="24"/>
                      <w:u w:val="none"/>
                    </w:rPr>
                  </w:pPr>
                </w:p>
              </w:tc>
              <w:tc>
                <w:tcPr>
                  <w:tcW w:w="2828" w:type="dxa"/>
                  <w:gridSpan w:val="3"/>
                  <w:tcBorders>
                    <w:top w:val="nil"/>
                    <w:left w:val="nil"/>
                    <w:bottom w:val="nil"/>
                    <w:right w:val="nil"/>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金额单位：万元</w:t>
                  </w:r>
                </w:p>
              </w:tc>
            </w:tr>
            <w:tr>
              <w:tblPrEx>
                <w:tblCellMar>
                  <w:top w:w="0" w:type="dxa"/>
                  <w:left w:w="0" w:type="dxa"/>
                  <w:bottom w:w="0" w:type="dxa"/>
                  <w:right w:w="0" w:type="dxa"/>
                </w:tblCellMar>
              </w:tblPrEx>
              <w:trPr>
                <w:gridBefore w:val="1"/>
                <w:wBefore w:w="5" w:type="dxa"/>
                <w:trHeight w:val="465" w:hRule="atLeast"/>
              </w:trPr>
              <w:tc>
                <w:tcPr>
                  <w:tcW w:w="1520" w:type="dxa"/>
                  <w:gridSpan w:val="2"/>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单位名称</w:t>
                  </w:r>
                </w:p>
              </w:tc>
              <w:tc>
                <w:tcPr>
                  <w:tcW w:w="1590" w:type="dxa"/>
                  <w:tcBorders>
                    <w:top w:val="single" w:color="auto" w:sz="4" w:space="0"/>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预算收入</w:t>
                  </w:r>
                </w:p>
              </w:tc>
              <w:tc>
                <w:tcPr>
                  <w:tcW w:w="1390" w:type="dxa"/>
                  <w:gridSpan w:val="2"/>
                  <w:tcBorders>
                    <w:top w:val="single" w:color="auto" w:sz="4" w:space="0"/>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决算收入</w:t>
                  </w:r>
                </w:p>
              </w:tc>
              <w:tc>
                <w:tcPr>
                  <w:tcW w:w="1460" w:type="dxa"/>
                  <w:gridSpan w:val="2"/>
                  <w:tcBorders>
                    <w:top w:val="single" w:color="auto" w:sz="4" w:space="0"/>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年末结余</w:t>
                  </w:r>
                </w:p>
              </w:tc>
              <w:tc>
                <w:tcPr>
                  <w:tcW w:w="1140" w:type="dxa"/>
                  <w:tcBorders>
                    <w:top w:val="single" w:color="auto" w:sz="4" w:space="0"/>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上年结余</w:t>
                  </w:r>
                </w:p>
              </w:tc>
              <w:tc>
                <w:tcPr>
                  <w:tcW w:w="1683" w:type="dxa"/>
                  <w:tcBorders>
                    <w:top w:val="single" w:color="auto" w:sz="4" w:space="0"/>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本年结余</w:t>
                  </w:r>
                </w:p>
              </w:tc>
            </w:tr>
            <w:tr>
              <w:tblPrEx>
                <w:tblCellMar>
                  <w:top w:w="0" w:type="dxa"/>
                  <w:left w:w="0" w:type="dxa"/>
                  <w:bottom w:w="0" w:type="dxa"/>
                  <w:right w:w="0" w:type="dxa"/>
                </w:tblCellMar>
              </w:tblPrEx>
              <w:trPr>
                <w:gridBefore w:val="1"/>
                <w:wBefore w:w="5" w:type="dxa"/>
                <w:trHeight w:val="728" w:hRule="atLeast"/>
              </w:trPr>
              <w:tc>
                <w:tcPr>
                  <w:tcW w:w="1520" w:type="dxa"/>
                  <w:gridSpan w:val="2"/>
                  <w:tcBorders>
                    <w:top w:val="nil"/>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lang w:eastAsia="zh-CN"/>
                    </w:rPr>
                  </w:pPr>
                  <w:r>
                    <w:rPr>
                      <w:rFonts w:hint="eastAsia" w:ascii="宋体" w:hAnsi="宋体" w:cs="宋体"/>
                      <w:i w:val="0"/>
                      <w:color w:val="auto"/>
                      <w:sz w:val="24"/>
                      <w:szCs w:val="24"/>
                      <w:u w:val="none"/>
                      <w:lang w:eastAsia="zh-CN"/>
                    </w:rPr>
                    <w:t>市场监管局</w:t>
                  </w:r>
                </w:p>
              </w:tc>
              <w:tc>
                <w:tcPr>
                  <w:tcW w:w="1590"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rPr>
                  </w:pPr>
                </w:p>
              </w:tc>
              <w:tc>
                <w:tcPr>
                  <w:tcW w:w="1390" w:type="dxa"/>
                  <w:gridSpan w:val="2"/>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rPr>
                  </w:pPr>
                </w:p>
              </w:tc>
              <w:tc>
                <w:tcPr>
                  <w:tcW w:w="1460" w:type="dxa"/>
                  <w:gridSpan w:val="2"/>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rPr>
                  </w:pPr>
                </w:p>
              </w:tc>
              <w:tc>
                <w:tcPr>
                  <w:tcW w:w="1140"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rPr>
                  </w:pPr>
                </w:p>
              </w:tc>
              <w:tc>
                <w:tcPr>
                  <w:tcW w:w="1683"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rPr>
                  </w:pPr>
                </w:p>
              </w:tc>
            </w:tr>
          </w:tbl>
          <w:p>
            <w:pPr>
              <w:numPr>
                <w:ilvl w:val="0"/>
                <w:numId w:val="0"/>
              </w:numPr>
              <w:spacing w:line="560" w:lineRule="exact"/>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支出决算情况</w:t>
            </w:r>
          </w:p>
          <w:p>
            <w:pPr>
              <w:numPr>
                <w:ilvl w:val="0"/>
                <w:numId w:val="0"/>
              </w:numPr>
              <w:spacing w:line="560" w:lineRule="exact"/>
              <w:rPr>
                <w:rFonts w:hint="default"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金额单位：万元</w:t>
            </w:r>
          </w:p>
          <w:tbl>
            <w:tblPr>
              <w:tblStyle w:val="7"/>
              <w:tblW w:w="0" w:type="auto"/>
              <w:tblInd w:w="-15" w:type="dxa"/>
              <w:tblLayout w:type="fixed"/>
              <w:tblCellMar>
                <w:top w:w="0" w:type="dxa"/>
                <w:left w:w="0" w:type="dxa"/>
                <w:bottom w:w="0" w:type="dxa"/>
                <w:right w:w="0" w:type="dxa"/>
              </w:tblCellMar>
            </w:tblPr>
            <w:tblGrid>
              <w:gridCol w:w="1400"/>
              <w:gridCol w:w="1088"/>
              <w:gridCol w:w="1425"/>
              <w:gridCol w:w="1461"/>
              <w:gridCol w:w="1445"/>
              <w:gridCol w:w="1912"/>
            </w:tblGrid>
            <w:tr>
              <w:tblPrEx>
                <w:tblCellMar>
                  <w:top w:w="0" w:type="dxa"/>
                  <w:left w:w="0" w:type="dxa"/>
                  <w:bottom w:w="0" w:type="dxa"/>
                  <w:right w:w="0" w:type="dxa"/>
                </w:tblCellMar>
              </w:tblPrEx>
              <w:trPr>
                <w:trHeight w:val="420" w:hRule="atLeast"/>
              </w:trPr>
              <w:tc>
                <w:tcPr>
                  <w:tcW w:w="1400" w:type="dxa"/>
                  <w:tcBorders>
                    <w:top w:val="single" w:color="auto" w:sz="4" w:space="0"/>
                    <w:left w:val="single" w:color="auto" w:sz="4" w:space="0"/>
                    <w:bottom w:val="single" w:color="auto" w:sz="4" w:space="0"/>
                    <w:right w:val="nil"/>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u w:val="none"/>
                      <w:lang w:val="en-US" w:eastAsia="zh-CN" w:bidi="ar"/>
                    </w:rPr>
                  </w:pPr>
                </w:p>
              </w:tc>
              <w:tc>
                <w:tcPr>
                  <w:tcW w:w="2513" w:type="dxa"/>
                  <w:gridSpan w:val="2"/>
                  <w:tcBorders>
                    <w:top w:val="single" w:color="auto" w:sz="4" w:space="0"/>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预算批复</w:t>
                  </w:r>
                </w:p>
              </w:tc>
              <w:tc>
                <w:tcPr>
                  <w:tcW w:w="1461" w:type="dxa"/>
                  <w:tcBorders>
                    <w:top w:val="single" w:color="auto" w:sz="4" w:space="0"/>
                    <w:left w:val="nil"/>
                    <w:bottom w:val="single" w:color="auto" w:sz="4" w:space="0"/>
                    <w:right w:val="nil"/>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u w:val="none"/>
                      <w:lang w:val="en-US" w:eastAsia="zh-CN" w:bidi="ar"/>
                    </w:rPr>
                  </w:pPr>
                </w:p>
              </w:tc>
              <w:tc>
                <w:tcPr>
                  <w:tcW w:w="3357" w:type="dxa"/>
                  <w:gridSpan w:val="2"/>
                  <w:tcBorders>
                    <w:top w:val="single" w:color="auto" w:sz="4" w:space="0"/>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决算数据</w:t>
                  </w:r>
                </w:p>
              </w:tc>
            </w:tr>
            <w:tr>
              <w:tblPrEx>
                <w:tblCellMar>
                  <w:top w:w="0" w:type="dxa"/>
                  <w:left w:w="0" w:type="dxa"/>
                  <w:bottom w:w="0" w:type="dxa"/>
                  <w:right w:w="0" w:type="dxa"/>
                </w:tblCellMar>
              </w:tblPrEx>
              <w:trPr>
                <w:trHeight w:val="420" w:hRule="atLeast"/>
              </w:trPr>
              <w:tc>
                <w:tcPr>
                  <w:tcW w:w="1400" w:type="dxa"/>
                  <w:tcBorders>
                    <w:top w:val="nil"/>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合计</w:t>
                  </w:r>
                </w:p>
              </w:tc>
              <w:tc>
                <w:tcPr>
                  <w:tcW w:w="1088" w:type="dxa"/>
                  <w:tcBorders>
                    <w:top w:val="nil"/>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基本支出</w:t>
                  </w:r>
                </w:p>
              </w:tc>
              <w:tc>
                <w:tcPr>
                  <w:tcW w:w="1425"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项目支出</w:t>
                  </w:r>
                </w:p>
              </w:tc>
              <w:tc>
                <w:tcPr>
                  <w:tcW w:w="1461"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合计</w:t>
                  </w:r>
                </w:p>
              </w:tc>
              <w:tc>
                <w:tcPr>
                  <w:tcW w:w="1445"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基本支出</w:t>
                  </w:r>
                </w:p>
              </w:tc>
              <w:tc>
                <w:tcPr>
                  <w:tcW w:w="1912"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项目支出</w:t>
                  </w:r>
                </w:p>
              </w:tc>
            </w:tr>
            <w:tr>
              <w:tblPrEx>
                <w:tblCellMar>
                  <w:top w:w="0" w:type="dxa"/>
                  <w:left w:w="0" w:type="dxa"/>
                  <w:bottom w:w="0" w:type="dxa"/>
                  <w:right w:w="0" w:type="dxa"/>
                </w:tblCellMar>
              </w:tblPrEx>
              <w:trPr>
                <w:trHeight w:val="420" w:hRule="atLeast"/>
              </w:trPr>
              <w:tc>
                <w:tcPr>
                  <w:tcW w:w="1400" w:type="dxa"/>
                  <w:tcBorders>
                    <w:top w:val="nil"/>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kern w:val="0"/>
                      <w:sz w:val="24"/>
                      <w:szCs w:val="24"/>
                      <w:u w:val="none"/>
                      <w:lang w:val="en-US" w:eastAsia="zh-CN" w:bidi="ar"/>
                    </w:rPr>
                  </w:pPr>
                </w:p>
              </w:tc>
              <w:tc>
                <w:tcPr>
                  <w:tcW w:w="1088" w:type="dxa"/>
                  <w:tcBorders>
                    <w:top w:val="nil"/>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rPr>
                  </w:pPr>
                </w:p>
              </w:tc>
              <w:tc>
                <w:tcPr>
                  <w:tcW w:w="1425"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rPr>
                  </w:pPr>
                </w:p>
              </w:tc>
              <w:tc>
                <w:tcPr>
                  <w:tcW w:w="1461"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kern w:val="0"/>
                      <w:sz w:val="24"/>
                      <w:szCs w:val="24"/>
                      <w:u w:val="none"/>
                      <w:lang w:val="en-US" w:eastAsia="zh-CN" w:bidi="ar"/>
                    </w:rPr>
                  </w:pPr>
                </w:p>
              </w:tc>
              <w:tc>
                <w:tcPr>
                  <w:tcW w:w="1445"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eastAsia="zh-CN"/>
                    </w:rPr>
                  </w:pPr>
                </w:p>
              </w:tc>
              <w:tc>
                <w:tcPr>
                  <w:tcW w:w="1912"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rPr>
                  </w:pPr>
                </w:p>
              </w:tc>
            </w:tr>
          </w:tbl>
          <w:p>
            <w:pPr>
              <w:spacing w:line="560" w:lineRule="exact"/>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lang w:val="en-US" w:eastAsia="zh-CN"/>
              </w:rPr>
              <w:t>从上述数据分析：2020年预算收入12247.93万元，决算19487.75万元，收入增加主要是省级财政追加专项资金，市级财政代编食品药品监管专项资金、知识产权管理专项资金，市级财政追加综合绩效考核资金、平安建设工作考评奖励、基本工资调标、非税超收可用资金等。结余减少主要上年度已列收入的专项资金跨年度使用。</w:t>
            </w:r>
          </w:p>
          <w:p>
            <w:pPr>
              <w:spacing w:line="560" w:lineRule="exact"/>
              <w:ind w:firstLine="560" w:firstLineChars="200"/>
              <w:rPr>
                <w:rFonts w:ascii="黑体" w:hAnsi="黑体" w:eastAsia="黑体" w:cs="黑体"/>
                <w:bCs/>
                <w:sz w:val="28"/>
                <w:szCs w:val="28"/>
              </w:rPr>
            </w:pPr>
            <w:r>
              <w:rPr>
                <w:rFonts w:hint="eastAsia" w:ascii="黑体" w:hAnsi="黑体" w:eastAsia="黑体" w:cs="黑体"/>
                <w:bCs/>
                <w:sz w:val="28"/>
                <w:szCs w:val="28"/>
              </w:rPr>
              <w:t>二、部门（单位）整体支出管理及使用情况</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（一）基本支出</w:t>
            </w:r>
          </w:p>
          <w:p>
            <w:pPr>
              <w:spacing w:line="560" w:lineRule="exact"/>
              <w:ind w:firstLine="560" w:firstLineChars="200"/>
              <w:rPr>
                <w:rFonts w:hint="eastAsia" w:ascii="仿宋_GB2312" w:hAnsi="仿宋_GB2312" w:eastAsia="仿宋_GB2312" w:cs="仿宋_GB2312"/>
                <w:bCs/>
                <w:sz w:val="28"/>
                <w:szCs w:val="28"/>
                <w:lang w:eastAsia="zh-CN"/>
              </w:rPr>
            </w:pPr>
            <w:r>
              <w:rPr>
                <w:rFonts w:hint="eastAsia" w:ascii="仿宋_GB2312" w:hAnsi="仿宋_GB2312" w:eastAsia="仿宋_GB2312" w:cs="仿宋_GB2312"/>
                <w:bCs/>
                <w:sz w:val="28"/>
                <w:szCs w:val="28"/>
                <w:lang w:val="en-US" w:eastAsia="zh-CN"/>
              </w:rPr>
              <w:t>1、人员经费和公用经费</w:t>
            </w:r>
            <w:r>
              <w:rPr>
                <w:rFonts w:hint="eastAsia" w:ascii="仿宋_GB2312" w:hAnsi="仿宋_GB2312" w:eastAsia="仿宋_GB2312" w:cs="仿宋_GB2312"/>
                <w:bCs/>
                <w:sz w:val="28"/>
                <w:szCs w:val="28"/>
                <w:lang w:eastAsia="zh-CN"/>
              </w:rPr>
              <w:t>管理情况</w:t>
            </w:r>
          </w:p>
          <w:p>
            <w:pPr>
              <w:spacing w:line="560" w:lineRule="exact"/>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eastAsia="zh-CN"/>
              </w:rPr>
              <w:t>我局基本支出主要包括人员经费和公用经费，具体为工资福利支出、对个人和家庭补助支出、一般商品和服务支出</w:t>
            </w:r>
            <w:r>
              <w:rPr>
                <w:rFonts w:hint="eastAsia" w:ascii="仿宋_GB2312" w:hAnsi="仿宋_GB2312" w:eastAsia="仿宋_GB2312" w:cs="仿宋_GB2312"/>
                <w:bCs/>
                <w:sz w:val="28"/>
                <w:szCs w:val="28"/>
                <w:lang w:val="en-US" w:eastAsia="zh-CN"/>
              </w:rPr>
              <w:t>.基本支出的管理和使用情况如下：</w:t>
            </w:r>
          </w:p>
          <w:p>
            <w:pPr>
              <w:spacing w:line="560" w:lineRule="exact"/>
              <w:ind w:firstLine="560" w:firstLineChars="200"/>
              <w:rPr>
                <w:rFonts w:hint="default"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基本支出执行情况表</w:t>
            </w:r>
          </w:p>
          <w:tbl>
            <w:tblPr>
              <w:tblStyle w:val="7"/>
              <w:tblW w:w="0" w:type="auto"/>
              <w:tblInd w:w="-15" w:type="dxa"/>
              <w:tblLayout w:type="fixed"/>
              <w:tblCellMar>
                <w:top w:w="0" w:type="dxa"/>
                <w:left w:w="0" w:type="dxa"/>
                <w:bottom w:w="0" w:type="dxa"/>
                <w:right w:w="0" w:type="dxa"/>
              </w:tblCellMar>
            </w:tblPr>
            <w:tblGrid>
              <w:gridCol w:w="5"/>
              <w:gridCol w:w="3395"/>
              <w:gridCol w:w="5"/>
              <w:gridCol w:w="2626"/>
              <w:gridCol w:w="2738"/>
            </w:tblGrid>
            <w:tr>
              <w:tblPrEx>
                <w:tblCellMar>
                  <w:top w:w="0" w:type="dxa"/>
                  <w:left w:w="0" w:type="dxa"/>
                  <w:bottom w:w="0" w:type="dxa"/>
                  <w:right w:w="0" w:type="dxa"/>
                </w:tblCellMar>
              </w:tblPrEx>
              <w:trPr>
                <w:trHeight w:val="375" w:hRule="atLeast"/>
              </w:trPr>
              <w:tc>
                <w:tcPr>
                  <w:tcW w:w="3400" w:type="dxa"/>
                  <w:gridSpan w:val="2"/>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auto"/>
                      <w:sz w:val="24"/>
                      <w:szCs w:val="24"/>
                      <w:u w:val="none"/>
                    </w:rPr>
                  </w:pPr>
                </w:p>
              </w:tc>
              <w:tc>
                <w:tcPr>
                  <w:tcW w:w="2631" w:type="dxa"/>
                  <w:gridSpan w:val="2"/>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auto"/>
                      <w:sz w:val="24"/>
                      <w:szCs w:val="24"/>
                      <w:u w:val="none"/>
                    </w:rPr>
                  </w:pPr>
                </w:p>
              </w:tc>
              <w:tc>
                <w:tcPr>
                  <w:tcW w:w="2738" w:type="dxa"/>
                  <w:tcBorders>
                    <w:top w:val="nil"/>
                    <w:left w:val="nil"/>
                    <w:bottom w:val="nil"/>
                    <w:right w:val="nil"/>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金额单位:万元</w:t>
                  </w:r>
                </w:p>
              </w:tc>
            </w:tr>
            <w:tr>
              <w:tblPrEx>
                <w:tblCellMar>
                  <w:top w:w="0" w:type="dxa"/>
                  <w:left w:w="0" w:type="dxa"/>
                  <w:bottom w:w="0" w:type="dxa"/>
                  <w:right w:w="0" w:type="dxa"/>
                </w:tblCellMar>
              </w:tblPrEx>
              <w:trPr>
                <w:gridBefore w:val="1"/>
                <w:wBefore w:w="5" w:type="dxa"/>
                <w:trHeight w:val="435" w:hRule="atLeast"/>
              </w:trPr>
              <w:tc>
                <w:tcPr>
                  <w:tcW w:w="3400" w:type="dxa"/>
                  <w:gridSpan w:val="2"/>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项目</w:t>
                  </w:r>
                </w:p>
              </w:tc>
              <w:tc>
                <w:tcPr>
                  <w:tcW w:w="2626" w:type="dxa"/>
                  <w:tcBorders>
                    <w:top w:val="single" w:color="auto" w:sz="4" w:space="0"/>
                    <w:left w:val="nil"/>
                    <w:bottom w:val="single" w:color="auto" w:sz="4" w:space="0"/>
                    <w:right w:val="nil"/>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预算批复</w:t>
                  </w:r>
                </w:p>
              </w:tc>
              <w:tc>
                <w:tcPr>
                  <w:tcW w:w="2738"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决算数据</w:t>
                  </w:r>
                </w:p>
              </w:tc>
            </w:tr>
            <w:tr>
              <w:tblPrEx>
                <w:tblCellMar>
                  <w:top w:w="0" w:type="dxa"/>
                  <w:left w:w="0" w:type="dxa"/>
                  <w:bottom w:w="0" w:type="dxa"/>
                  <w:right w:w="0" w:type="dxa"/>
                </w:tblCellMar>
              </w:tblPrEx>
              <w:trPr>
                <w:gridBefore w:val="1"/>
                <w:wBefore w:w="5" w:type="dxa"/>
                <w:trHeight w:val="420" w:hRule="atLeast"/>
              </w:trPr>
              <w:tc>
                <w:tcPr>
                  <w:tcW w:w="3400" w:type="dxa"/>
                  <w:gridSpan w:val="2"/>
                  <w:tcBorders>
                    <w:top w:val="nil"/>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工资福利支出</w:t>
                  </w:r>
                </w:p>
              </w:tc>
              <w:tc>
                <w:tcPr>
                  <w:tcW w:w="2626"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rPr>
                  </w:pPr>
                </w:p>
              </w:tc>
              <w:tc>
                <w:tcPr>
                  <w:tcW w:w="2738"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rPr>
                  </w:pPr>
                </w:p>
              </w:tc>
            </w:tr>
            <w:tr>
              <w:tblPrEx>
                <w:tblCellMar>
                  <w:top w:w="0" w:type="dxa"/>
                  <w:left w:w="0" w:type="dxa"/>
                  <w:bottom w:w="0" w:type="dxa"/>
                  <w:right w:w="0" w:type="dxa"/>
                </w:tblCellMar>
              </w:tblPrEx>
              <w:trPr>
                <w:gridBefore w:val="1"/>
                <w:wBefore w:w="5" w:type="dxa"/>
                <w:trHeight w:val="285" w:hRule="atLeast"/>
              </w:trPr>
              <w:tc>
                <w:tcPr>
                  <w:tcW w:w="3400" w:type="dxa"/>
                  <w:gridSpan w:val="2"/>
                  <w:tcBorders>
                    <w:top w:val="nil"/>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商品和服务支出</w:t>
                  </w:r>
                </w:p>
              </w:tc>
              <w:tc>
                <w:tcPr>
                  <w:tcW w:w="2626"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rPr>
                  </w:pPr>
                </w:p>
              </w:tc>
              <w:tc>
                <w:tcPr>
                  <w:tcW w:w="2738"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eastAsia="zh-CN"/>
                    </w:rPr>
                  </w:pPr>
                </w:p>
              </w:tc>
            </w:tr>
            <w:tr>
              <w:tblPrEx>
                <w:tblCellMar>
                  <w:top w:w="0" w:type="dxa"/>
                  <w:left w:w="0" w:type="dxa"/>
                  <w:bottom w:w="0" w:type="dxa"/>
                  <w:right w:w="0" w:type="dxa"/>
                </w:tblCellMar>
              </w:tblPrEx>
              <w:trPr>
                <w:gridBefore w:val="1"/>
                <w:wBefore w:w="5" w:type="dxa"/>
                <w:trHeight w:val="285" w:hRule="atLeast"/>
              </w:trPr>
              <w:tc>
                <w:tcPr>
                  <w:tcW w:w="3400" w:type="dxa"/>
                  <w:gridSpan w:val="2"/>
                  <w:tcBorders>
                    <w:top w:val="nil"/>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对个人和家庭补助支出</w:t>
                  </w:r>
                </w:p>
              </w:tc>
              <w:tc>
                <w:tcPr>
                  <w:tcW w:w="2626"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rPr>
                  </w:pPr>
                </w:p>
              </w:tc>
              <w:tc>
                <w:tcPr>
                  <w:tcW w:w="2738"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rPr>
                  </w:pPr>
                </w:p>
              </w:tc>
            </w:tr>
            <w:tr>
              <w:tblPrEx>
                <w:tblCellMar>
                  <w:top w:w="0" w:type="dxa"/>
                  <w:left w:w="0" w:type="dxa"/>
                  <w:bottom w:w="0" w:type="dxa"/>
                  <w:right w:w="0" w:type="dxa"/>
                </w:tblCellMar>
              </w:tblPrEx>
              <w:trPr>
                <w:gridBefore w:val="1"/>
                <w:wBefore w:w="5" w:type="dxa"/>
                <w:trHeight w:val="285" w:hRule="atLeast"/>
              </w:trPr>
              <w:tc>
                <w:tcPr>
                  <w:tcW w:w="3400" w:type="dxa"/>
                  <w:gridSpan w:val="2"/>
                  <w:tcBorders>
                    <w:top w:val="nil"/>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合计</w:t>
                  </w:r>
                </w:p>
              </w:tc>
              <w:tc>
                <w:tcPr>
                  <w:tcW w:w="2626" w:type="dxa"/>
                  <w:tcBorders>
                    <w:top w:val="nil"/>
                    <w:left w:val="nil"/>
                    <w:bottom w:val="single" w:color="auto" w:sz="4" w:space="0"/>
                    <w:right w:val="single" w:color="auto" w:sz="4" w:space="0"/>
                  </w:tcBorders>
                  <w:noWrap/>
                  <w:tcMar>
                    <w:top w:w="15" w:type="dxa"/>
                    <w:left w:w="15" w:type="dxa"/>
                    <w:right w:w="15" w:type="dxa"/>
                  </w:tcMar>
                  <w:vAlign w:val="center"/>
                </w:tcPr>
                <w:p>
                  <w:pPr>
                    <w:jc w:val="right"/>
                    <w:rPr>
                      <w:rFonts w:hint="default" w:ascii="宋体" w:hAnsi="宋体" w:eastAsia="宋体" w:cs="宋体"/>
                      <w:i w:val="0"/>
                      <w:color w:val="auto"/>
                      <w:sz w:val="24"/>
                      <w:szCs w:val="24"/>
                      <w:u w:val="none"/>
                      <w:lang w:val="en-US" w:eastAsia="zh-CN"/>
                    </w:rPr>
                  </w:pPr>
                </w:p>
              </w:tc>
              <w:tc>
                <w:tcPr>
                  <w:tcW w:w="2738" w:type="dxa"/>
                  <w:tcBorders>
                    <w:top w:val="nil"/>
                    <w:left w:val="nil"/>
                    <w:bottom w:val="single" w:color="auto" w:sz="4" w:space="0"/>
                    <w:right w:val="single" w:color="auto" w:sz="4" w:space="0"/>
                  </w:tcBorders>
                  <w:noWrap/>
                  <w:tcMar>
                    <w:top w:w="15" w:type="dxa"/>
                    <w:left w:w="15" w:type="dxa"/>
                    <w:right w:w="15" w:type="dxa"/>
                  </w:tcMar>
                  <w:vAlign w:val="center"/>
                </w:tcPr>
                <w:p>
                  <w:pPr>
                    <w:jc w:val="right"/>
                    <w:rPr>
                      <w:rFonts w:hint="default" w:ascii="宋体" w:hAnsi="宋体" w:eastAsia="宋体" w:cs="宋体"/>
                      <w:i w:val="0"/>
                      <w:color w:val="auto"/>
                      <w:sz w:val="24"/>
                      <w:szCs w:val="24"/>
                      <w:u w:val="none"/>
                      <w:lang w:val="en-US" w:eastAsia="zh-CN"/>
                    </w:rPr>
                  </w:pPr>
                </w:p>
              </w:tc>
            </w:tr>
          </w:tbl>
          <w:p>
            <w:pPr>
              <w:spacing w:line="560" w:lineRule="exact"/>
              <w:ind w:firstLine="560" w:firstLineChars="200"/>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Cs/>
                <w:sz w:val="28"/>
                <w:szCs w:val="28"/>
                <w:lang w:eastAsia="zh-CN"/>
              </w:rPr>
              <w:t>从上表分析：基本支出超支</w:t>
            </w:r>
            <w:r>
              <w:rPr>
                <w:rFonts w:hint="eastAsia" w:ascii="仿宋_GB2312" w:hAnsi="仿宋_GB2312" w:eastAsia="仿宋_GB2312" w:cs="仿宋_GB2312"/>
                <w:bCs/>
                <w:sz w:val="28"/>
                <w:szCs w:val="28"/>
                <w:lang w:val="en-US" w:eastAsia="zh-CN"/>
              </w:rPr>
              <w:t>3779.49万元，主要是工资福利支出增加2303.95万元，商品和服务支出增加418.70万元，对个人和家庭补助支出增加1056.84万元。人员支出增加主要是增加了</w:t>
            </w:r>
            <w:r>
              <w:rPr>
                <w:rFonts w:hint="eastAsia" w:ascii="仿宋_GB2312" w:hAnsi="仿宋_GB2312" w:eastAsia="仿宋_GB2312" w:cs="仿宋_GB2312"/>
                <w:b w:val="0"/>
                <w:bCs/>
                <w:sz w:val="28"/>
                <w:szCs w:val="28"/>
                <w:lang w:val="en-US" w:eastAsia="zh-CN"/>
              </w:rPr>
              <w:t>综合绩效考核资金、平安建设考评奖励、第十三个月工资三项支出，公用经费支出增加主要是增加了事业人员车补。</w:t>
            </w:r>
          </w:p>
          <w:p>
            <w:pPr>
              <w:numPr>
                <w:ilvl w:val="0"/>
                <w:numId w:val="0"/>
              </w:numPr>
              <w:spacing w:line="560" w:lineRule="exact"/>
              <w:ind w:leftChars="0" w:firstLine="560" w:firstLineChars="200"/>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2、“三公经费”支出使用和管理情况</w:t>
            </w:r>
          </w:p>
          <w:p>
            <w:pPr>
              <w:numPr>
                <w:ilvl w:val="0"/>
                <w:numId w:val="0"/>
              </w:numPr>
              <w:spacing w:line="560" w:lineRule="exact"/>
              <w:ind w:leftChars="0"/>
              <w:rPr>
                <w:rFonts w:hint="default"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“三公”经费执行情况表</w:t>
            </w:r>
          </w:p>
          <w:tbl>
            <w:tblPr>
              <w:tblStyle w:val="7"/>
              <w:tblW w:w="0" w:type="auto"/>
              <w:tblInd w:w="-15" w:type="dxa"/>
              <w:tblLayout w:type="fixed"/>
              <w:tblCellMar>
                <w:top w:w="0" w:type="dxa"/>
                <w:left w:w="0" w:type="dxa"/>
                <w:bottom w:w="0" w:type="dxa"/>
                <w:right w:w="0" w:type="dxa"/>
              </w:tblCellMar>
            </w:tblPr>
            <w:tblGrid>
              <w:gridCol w:w="5"/>
              <w:gridCol w:w="2579"/>
              <w:gridCol w:w="5"/>
              <w:gridCol w:w="2806"/>
              <w:gridCol w:w="3383"/>
            </w:tblGrid>
            <w:tr>
              <w:tblPrEx>
                <w:tblCellMar>
                  <w:top w:w="0" w:type="dxa"/>
                  <w:left w:w="0" w:type="dxa"/>
                  <w:bottom w:w="0" w:type="dxa"/>
                  <w:right w:w="0" w:type="dxa"/>
                </w:tblCellMar>
              </w:tblPrEx>
              <w:trPr>
                <w:trHeight w:val="375" w:hRule="atLeast"/>
              </w:trPr>
              <w:tc>
                <w:tcPr>
                  <w:tcW w:w="2584" w:type="dxa"/>
                  <w:gridSpan w:val="2"/>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auto"/>
                      <w:sz w:val="24"/>
                      <w:szCs w:val="24"/>
                      <w:u w:val="none"/>
                    </w:rPr>
                  </w:pPr>
                </w:p>
              </w:tc>
              <w:tc>
                <w:tcPr>
                  <w:tcW w:w="2811" w:type="dxa"/>
                  <w:gridSpan w:val="2"/>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auto"/>
                      <w:sz w:val="24"/>
                      <w:szCs w:val="24"/>
                      <w:u w:val="none"/>
                    </w:rPr>
                  </w:pPr>
                </w:p>
              </w:tc>
              <w:tc>
                <w:tcPr>
                  <w:tcW w:w="3383" w:type="dxa"/>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auto"/>
                      <w:sz w:val="24"/>
                      <w:szCs w:val="24"/>
                      <w:u w:val="none"/>
                    </w:rPr>
                  </w:pPr>
                </w:p>
              </w:tc>
            </w:tr>
            <w:tr>
              <w:tblPrEx>
                <w:tblCellMar>
                  <w:top w:w="0" w:type="dxa"/>
                  <w:left w:w="0" w:type="dxa"/>
                  <w:bottom w:w="0" w:type="dxa"/>
                  <w:right w:w="0" w:type="dxa"/>
                </w:tblCellMar>
              </w:tblPrEx>
              <w:trPr>
                <w:gridBefore w:val="1"/>
                <w:wBefore w:w="5" w:type="dxa"/>
                <w:trHeight w:val="435" w:hRule="atLeast"/>
              </w:trPr>
              <w:tc>
                <w:tcPr>
                  <w:tcW w:w="2584" w:type="dxa"/>
                  <w:gridSpan w:val="2"/>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项目</w:t>
                  </w:r>
                </w:p>
              </w:tc>
              <w:tc>
                <w:tcPr>
                  <w:tcW w:w="2806" w:type="dxa"/>
                  <w:tcBorders>
                    <w:top w:val="single" w:color="auto" w:sz="4" w:space="0"/>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本年发生额</w:t>
                  </w:r>
                </w:p>
              </w:tc>
              <w:tc>
                <w:tcPr>
                  <w:tcW w:w="3383" w:type="dxa"/>
                  <w:tcBorders>
                    <w:top w:val="single" w:color="auto" w:sz="4" w:space="0"/>
                    <w:left w:val="single" w:color="auto" w:sz="4" w:space="0"/>
                    <w:bottom w:val="single" w:color="auto" w:sz="4" w:space="0"/>
                    <w:right w:val="nil"/>
                  </w:tcBorders>
                  <w:noWrap/>
                  <w:tcMar>
                    <w:top w:w="15" w:type="dxa"/>
                    <w:left w:w="15" w:type="dxa"/>
                    <w:right w:w="15" w:type="dxa"/>
                  </w:tcMar>
                  <w:vAlign w:val="center"/>
                </w:tcPr>
                <w:p>
                  <w:pPr>
                    <w:keepNext w:val="0"/>
                    <w:keepLines w:val="0"/>
                    <w:widowControl/>
                    <w:suppressLineNumbers w:val="0"/>
                    <w:ind w:firstLine="960" w:firstLineChars="40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预算批复</w:t>
                  </w:r>
                </w:p>
              </w:tc>
            </w:tr>
            <w:tr>
              <w:tblPrEx>
                <w:tblCellMar>
                  <w:top w:w="0" w:type="dxa"/>
                  <w:left w:w="0" w:type="dxa"/>
                  <w:bottom w:w="0" w:type="dxa"/>
                  <w:right w:w="0" w:type="dxa"/>
                </w:tblCellMar>
              </w:tblPrEx>
              <w:trPr>
                <w:gridBefore w:val="1"/>
                <w:wBefore w:w="5" w:type="dxa"/>
                <w:trHeight w:val="420" w:hRule="atLeast"/>
              </w:trPr>
              <w:tc>
                <w:tcPr>
                  <w:tcW w:w="2584" w:type="dxa"/>
                  <w:gridSpan w:val="2"/>
                  <w:tcBorders>
                    <w:top w:val="nil"/>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公务接待费</w:t>
                  </w:r>
                </w:p>
              </w:tc>
              <w:tc>
                <w:tcPr>
                  <w:tcW w:w="2806"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kern w:val="0"/>
                      <w:sz w:val="24"/>
                      <w:szCs w:val="24"/>
                      <w:u w:val="none"/>
                      <w:lang w:val="en-US" w:eastAsia="zh-CN" w:bidi="ar"/>
                    </w:rPr>
                  </w:pPr>
                </w:p>
              </w:tc>
              <w:tc>
                <w:tcPr>
                  <w:tcW w:w="3383"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eastAsia="zh-CN"/>
                    </w:rPr>
                  </w:pPr>
                </w:p>
              </w:tc>
            </w:tr>
            <w:tr>
              <w:tblPrEx>
                <w:tblCellMar>
                  <w:top w:w="0" w:type="dxa"/>
                  <w:left w:w="0" w:type="dxa"/>
                  <w:bottom w:w="0" w:type="dxa"/>
                  <w:right w:w="0" w:type="dxa"/>
                </w:tblCellMar>
              </w:tblPrEx>
              <w:trPr>
                <w:gridBefore w:val="1"/>
                <w:wBefore w:w="5" w:type="dxa"/>
                <w:trHeight w:val="285" w:hRule="atLeast"/>
              </w:trPr>
              <w:tc>
                <w:tcPr>
                  <w:tcW w:w="2584" w:type="dxa"/>
                  <w:gridSpan w:val="2"/>
                  <w:tcBorders>
                    <w:top w:val="nil"/>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公务车运行维护费</w:t>
                  </w:r>
                </w:p>
              </w:tc>
              <w:tc>
                <w:tcPr>
                  <w:tcW w:w="2806"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kern w:val="0"/>
                      <w:sz w:val="24"/>
                      <w:szCs w:val="24"/>
                      <w:u w:val="none"/>
                      <w:lang w:val="en-US" w:eastAsia="zh-CN" w:bidi="ar"/>
                    </w:rPr>
                  </w:pPr>
                </w:p>
              </w:tc>
              <w:tc>
                <w:tcPr>
                  <w:tcW w:w="3383"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eastAsia="zh-CN"/>
                    </w:rPr>
                  </w:pPr>
                </w:p>
              </w:tc>
            </w:tr>
            <w:tr>
              <w:tblPrEx>
                <w:tblCellMar>
                  <w:top w:w="0" w:type="dxa"/>
                  <w:left w:w="0" w:type="dxa"/>
                  <w:bottom w:w="0" w:type="dxa"/>
                  <w:right w:w="0" w:type="dxa"/>
                </w:tblCellMar>
              </w:tblPrEx>
              <w:trPr>
                <w:gridBefore w:val="1"/>
                <w:wBefore w:w="5" w:type="dxa"/>
                <w:trHeight w:val="285" w:hRule="atLeast"/>
              </w:trPr>
              <w:tc>
                <w:tcPr>
                  <w:tcW w:w="2584" w:type="dxa"/>
                  <w:gridSpan w:val="2"/>
                  <w:tcBorders>
                    <w:top w:val="nil"/>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公务用车购置费</w:t>
                  </w:r>
                </w:p>
              </w:tc>
              <w:tc>
                <w:tcPr>
                  <w:tcW w:w="2806"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kern w:val="0"/>
                      <w:sz w:val="24"/>
                      <w:szCs w:val="24"/>
                      <w:u w:val="none"/>
                      <w:lang w:val="en-US" w:eastAsia="zh-CN" w:bidi="ar"/>
                    </w:rPr>
                  </w:pPr>
                </w:p>
              </w:tc>
              <w:tc>
                <w:tcPr>
                  <w:tcW w:w="3383"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eastAsia="zh-CN"/>
                    </w:rPr>
                  </w:pPr>
                </w:p>
              </w:tc>
            </w:tr>
            <w:tr>
              <w:tblPrEx>
                <w:tblCellMar>
                  <w:top w:w="0" w:type="dxa"/>
                  <w:left w:w="0" w:type="dxa"/>
                  <w:bottom w:w="0" w:type="dxa"/>
                  <w:right w:w="0" w:type="dxa"/>
                </w:tblCellMar>
              </w:tblPrEx>
              <w:trPr>
                <w:gridBefore w:val="1"/>
                <w:wBefore w:w="5" w:type="dxa"/>
                <w:trHeight w:val="285" w:hRule="atLeast"/>
              </w:trPr>
              <w:tc>
                <w:tcPr>
                  <w:tcW w:w="2584" w:type="dxa"/>
                  <w:gridSpan w:val="2"/>
                  <w:tcBorders>
                    <w:top w:val="nil"/>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因公出国费</w:t>
                  </w:r>
                </w:p>
              </w:tc>
              <w:tc>
                <w:tcPr>
                  <w:tcW w:w="2806"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kern w:val="0"/>
                      <w:sz w:val="24"/>
                      <w:szCs w:val="24"/>
                      <w:u w:val="none"/>
                      <w:lang w:val="en-US" w:eastAsia="zh-CN" w:bidi="ar"/>
                    </w:rPr>
                  </w:pPr>
                </w:p>
              </w:tc>
              <w:tc>
                <w:tcPr>
                  <w:tcW w:w="3383"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auto"/>
                      <w:sz w:val="24"/>
                      <w:szCs w:val="24"/>
                      <w:u w:val="none"/>
                    </w:rPr>
                  </w:pPr>
                </w:p>
              </w:tc>
            </w:tr>
            <w:tr>
              <w:tblPrEx>
                <w:tblCellMar>
                  <w:top w:w="0" w:type="dxa"/>
                  <w:left w:w="0" w:type="dxa"/>
                  <w:bottom w:w="0" w:type="dxa"/>
                  <w:right w:w="0" w:type="dxa"/>
                </w:tblCellMar>
              </w:tblPrEx>
              <w:trPr>
                <w:gridBefore w:val="1"/>
                <w:wBefore w:w="5" w:type="dxa"/>
                <w:trHeight w:val="285" w:hRule="atLeast"/>
              </w:trPr>
              <w:tc>
                <w:tcPr>
                  <w:tcW w:w="2584" w:type="dxa"/>
                  <w:gridSpan w:val="2"/>
                  <w:tcBorders>
                    <w:top w:val="nil"/>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合计</w:t>
                  </w:r>
                </w:p>
              </w:tc>
              <w:tc>
                <w:tcPr>
                  <w:tcW w:w="2806"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kern w:val="0"/>
                      <w:sz w:val="24"/>
                      <w:szCs w:val="24"/>
                      <w:u w:val="none"/>
                      <w:lang w:val="en-US" w:eastAsia="zh-CN" w:bidi="ar"/>
                    </w:rPr>
                  </w:pPr>
                </w:p>
              </w:tc>
              <w:tc>
                <w:tcPr>
                  <w:tcW w:w="3383"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eastAsia="zh-CN"/>
                    </w:rPr>
                  </w:pPr>
                </w:p>
              </w:tc>
            </w:tr>
          </w:tbl>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 w:val="0"/>
                <w:bCs/>
                <w:sz w:val="28"/>
                <w:szCs w:val="28"/>
                <w:lang w:val="en-US" w:eastAsia="zh-CN"/>
              </w:rPr>
              <w:t>我局“三公”经费预算批复数据在政府门户网站进行了公示。本年度“三公”经费实际支出181.53万元，比预算减少155.50万元，下降46.14%，总额控制良好。比上年221.47万元减少39.94万元，下降18.03%，其中招待费较上年31.44万元增加5.03万元，上升15.99%，公务车运行维护费较上年159.23万元减少28.05万元，下降17.62%。公务用车购置费较上年24.90增加11.02万元，本年无出国费用，上述增加的费用均通过批准开支。公务接待费按岳阳楼分局未下划之前929人计算，本年人均0.04万元，在用公务车66台，平均每台费用1.99万元。</w:t>
            </w:r>
          </w:p>
          <w:p>
            <w:pPr>
              <w:spacing w:line="560" w:lineRule="exact"/>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（二）专项支出</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1、专项资金安排落实、总投入等情况分析</w:t>
            </w:r>
          </w:p>
          <w:p>
            <w:pPr>
              <w:spacing w:line="560" w:lineRule="exact"/>
              <w:ind w:firstLine="560" w:firstLineChars="200"/>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Cs/>
                <w:sz w:val="28"/>
                <w:szCs w:val="28"/>
                <w:lang w:eastAsia="zh-CN"/>
              </w:rPr>
              <w:t>本年度预算安排项目资金</w:t>
            </w:r>
            <w:r>
              <w:rPr>
                <w:rFonts w:hint="eastAsia" w:ascii="仿宋_GB2312" w:hAnsi="仿宋_GB2312" w:eastAsia="仿宋_GB2312" w:cs="仿宋_GB2312"/>
                <w:b w:val="0"/>
                <w:bCs/>
                <w:sz w:val="28"/>
                <w:szCs w:val="28"/>
                <w:lang w:val="en-US" w:eastAsia="zh-CN"/>
              </w:rPr>
              <w:t>2152.14万元，使用内容为：打击传销等市场监管执法699万元，</w:t>
            </w:r>
            <w:r>
              <w:rPr>
                <w:rFonts w:hint="eastAsia" w:ascii="仿宋_GB2312" w:hAnsi="仿宋_GB2312" w:eastAsia="仿宋_GB2312" w:cs="仿宋_GB2312"/>
                <w:bCs/>
                <w:sz w:val="28"/>
                <w:szCs w:val="28"/>
                <w:lang w:val="en-US" w:eastAsia="zh-CN"/>
              </w:rPr>
              <w:t>用于打击传销、反垄断、反不正当竞争等专项治理；</w:t>
            </w:r>
            <w:r>
              <w:rPr>
                <w:rFonts w:hint="eastAsia" w:ascii="仿宋_GB2312" w:hAnsi="仿宋_GB2312" w:eastAsia="仿宋_GB2312" w:cs="仿宋_GB2312"/>
                <w:b w:val="0"/>
                <w:bCs/>
                <w:sz w:val="28"/>
                <w:szCs w:val="28"/>
                <w:lang w:val="en-US" w:eastAsia="zh-CN"/>
              </w:rPr>
              <w:t>非税收入征收成本441万元，主要是非税收入征收过程中发生的办公、差旅等费用支出；办公设备购置等30万元，主要用于落后设备的更新；商事制度改革、商标广告管理等市场主体管理专项269.80万元，主要</w:t>
            </w:r>
            <w:r>
              <w:rPr>
                <w:rFonts w:hint="eastAsia" w:ascii="仿宋_GB2312" w:hAnsi="仿宋_GB2312" w:eastAsia="仿宋_GB2312" w:cs="仿宋_GB2312"/>
                <w:bCs/>
                <w:sz w:val="28"/>
                <w:szCs w:val="28"/>
                <w:lang w:val="en-US" w:eastAsia="zh-CN"/>
              </w:rPr>
              <w:t>用于商事制度改革、信用监管、商标广告管理、农资成品油市场管理等；</w:t>
            </w:r>
            <w:r>
              <w:rPr>
                <w:rFonts w:hint="eastAsia" w:ascii="仿宋_GB2312" w:hAnsi="仿宋_GB2312" w:eastAsia="仿宋_GB2312" w:cs="仿宋_GB2312"/>
                <w:b w:val="0"/>
                <w:bCs/>
                <w:sz w:val="28"/>
                <w:szCs w:val="28"/>
                <w:lang w:val="en-US" w:eastAsia="zh-CN"/>
              </w:rPr>
              <w:t>大型修缮122.15万元，主要用于会议室改造等，质量基础专项288万元，主要用于重点工业产品食品监督抽查、强制检定、政府质量考核工作、政府质量考核工作、标准化、专项打假及投诉处理、纤维及制品质量监督、其他民生领域质量监督、法人库及条码管理等质量基础管理，特种设备安全监管专项27万元，主要是负责生产、检验、重点使用单位现场检查，县（市）区督查、考核、抽查、行政许可证件的发放，宣传教育培训等；食品药品安全监管275.19万元主要用于食品药品安全监管、抽查等。</w:t>
            </w:r>
          </w:p>
          <w:p>
            <w:pPr>
              <w:numPr>
                <w:ilvl w:val="0"/>
                <w:numId w:val="2"/>
              </w:num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专项资金实际使用情况分析</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eastAsia="zh-CN"/>
              </w:rPr>
              <w:t>本年度实际投入专项资金</w:t>
            </w:r>
            <w:r>
              <w:rPr>
                <w:rFonts w:hint="eastAsia" w:ascii="仿宋_GB2312" w:hAnsi="仿宋_GB2312" w:eastAsia="仿宋_GB2312" w:cs="仿宋_GB2312"/>
                <w:bCs/>
                <w:sz w:val="28"/>
                <w:szCs w:val="28"/>
                <w:lang w:val="en-US" w:eastAsia="zh-CN"/>
              </w:rPr>
              <w:t>5612.47万元，其中上年结转2347.43万元，本年财政拨款4231.24万元（含省财政专项资金），非本级财政资金606.40万元。专项资金支出5612.47万元，结余1572.60万元，主要原因一是部分项目是跨年项目，二是资金下达晚致使一些项目需要跨年度执行。</w:t>
            </w:r>
          </w:p>
          <w:p>
            <w:pPr>
              <w:numPr>
                <w:ilvl w:val="0"/>
                <w:numId w:val="0"/>
              </w:num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val="en-US" w:eastAsia="zh-CN"/>
              </w:rPr>
              <w:t>3、</w:t>
            </w:r>
            <w:r>
              <w:rPr>
                <w:rFonts w:hint="eastAsia" w:ascii="仿宋_GB2312" w:hAnsi="仿宋_GB2312" w:eastAsia="仿宋_GB2312" w:cs="仿宋_GB2312"/>
                <w:bCs/>
                <w:sz w:val="28"/>
                <w:szCs w:val="28"/>
              </w:rPr>
              <w:t>专项资金管理情况分析</w:t>
            </w:r>
          </w:p>
          <w:p>
            <w:pPr>
              <w:keepNext w:val="0"/>
              <w:keepLines w:val="0"/>
              <w:widowControl/>
              <w:suppressLineNumbers w:val="0"/>
              <w:jc w:val="left"/>
              <w:rPr>
                <w:rFonts w:hint="default" w:ascii="sans-serif" w:hAnsi="sans-serif" w:eastAsia="sans-serif" w:cs="sans-serif"/>
                <w:sz w:val="24"/>
                <w:szCs w:val="24"/>
              </w:rPr>
            </w:pPr>
            <w:r>
              <w:rPr>
                <w:rFonts w:hint="eastAsia" w:ascii="仿宋_GB2312" w:hAnsi="仿宋_GB2312" w:eastAsia="仿宋_GB2312" w:cs="仿宋_GB2312"/>
                <w:bCs/>
                <w:sz w:val="28"/>
                <w:szCs w:val="28"/>
                <w:lang w:eastAsia="zh-CN"/>
              </w:rPr>
              <w:t>我局专项资金来源包括年初预算安排、财政代编预算以及省级财政追加，专项资金使用遵循专款专用、统筹兼顾、突出重点、追踪问效的原则</w:t>
            </w:r>
            <w:r>
              <w:rPr>
                <w:rFonts w:hint="eastAsia" w:ascii="仿宋_GB2312" w:hAnsi="仿宋_GB2312" w:eastAsia="仿宋_GB2312" w:cs="仿宋_GB2312"/>
                <w:bCs/>
                <w:sz w:val="28"/>
                <w:szCs w:val="28"/>
                <w:lang w:val="en-US" w:eastAsia="zh-CN"/>
              </w:rPr>
              <w:t>,</w:t>
            </w:r>
            <w:r>
              <w:rPr>
                <w:rFonts w:hint="eastAsia" w:ascii="仿宋_GB2312" w:hAnsi="仿宋_GB2312" w:eastAsia="仿宋_GB2312" w:cs="仿宋_GB2312"/>
                <w:bCs/>
                <w:sz w:val="28"/>
                <w:szCs w:val="28"/>
                <w:lang w:eastAsia="zh-CN"/>
              </w:rPr>
              <w:t>首先是根据专项资金用途对各专项资金的使用作安排和责任分解，拨付时需提供经审核后的资金使用申请和计划，资金使用后跟踪监控及问效，资金使用效果是下年度资金安排的重要依据。</w:t>
            </w:r>
          </w:p>
          <w:p>
            <w:pPr>
              <w:spacing w:line="560" w:lineRule="exact"/>
              <w:ind w:firstLine="560" w:firstLineChars="200"/>
              <w:rPr>
                <w:rFonts w:ascii="黑体" w:hAnsi="黑体" w:eastAsia="黑体" w:cs="黑体"/>
                <w:bCs/>
                <w:sz w:val="28"/>
                <w:szCs w:val="28"/>
              </w:rPr>
            </w:pPr>
            <w:r>
              <w:rPr>
                <w:rFonts w:hint="eastAsia" w:ascii="黑体" w:hAnsi="黑体" w:eastAsia="黑体" w:cs="黑体"/>
                <w:bCs/>
                <w:sz w:val="28"/>
                <w:szCs w:val="28"/>
              </w:rPr>
              <w:t>三、部门（单位）专项组织实施情况</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（一）专项组织情况分析</w:t>
            </w:r>
          </w:p>
          <w:p>
            <w:pPr>
              <w:widowControl/>
              <w:spacing w:line="48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lang w:val="en-US" w:eastAsia="zh-CN"/>
              </w:rPr>
              <w:t>2020年，我局建立健全了内部控制制度，</w:t>
            </w:r>
            <w:r>
              <w:rPr>
                <w:rFonts w:hint="eastAsia" w:ascii="仿宋_GB2312" w:hAnsi="仿宋_GB2312" w:eastAsia="仿宋_GB2312" w:cs="仿宋_GB2312"/>
                <w:color w:val="333333"/>
                <w:kern w:val="0"/>
                <w:sz w:val="28"/>
                <w:szCs w:val="28"/>
              </w:rPr>
              <w:t>资金</w:t>
            </w:r>
            <w:r>
              <w:rPr>
                <w:rFonts w:hint="eastAsia" w:ascii="仿宋_GB2312" w:hAnsi="仿宋_GB2312" w:eastAsia="仿宋_GB2312" w:cs="仿宋_GB2312"/>
                <w:color w:val="333333"/>
                <w:kern w:val="0"/>
                <w:sz w:val="28"/>
                <w:szCs w:val="28"/>
                <w:lang w:eastAsia="zh-CN"/>
              </w:rPr>
              <w:t>支出</w:t>
            </w:r>
            <w:r>
              <w:rPr>
                <w:rFonts w:hint="eastAsia" w:ascii="仿宋_GB2312" w:hAnsi="仿宋_GB2312" w:eastAsia="仿宋_GB2312" w:cs="仿宋_GB2312"/>
                <w:color w:val="333333"/>
                <w:kern w:val="0"/>
                <w:sz w:val="28"/>
                <w:szCs w:val="28"/>
              </w:rPr>
              <w:t>中涉及的政府采购事项，我局严格按照</w:t>
            </w:r>
            <w:r>
              <w:rPr>
                <w:rFonts w:hint="eastAsia" w:ascii="仿宋_GB2312" w:hAnsi="仿宋_GB2312" w:eastAsia="仿宋_GB2312" w:cs="仿宋_GB2312"/>
                <w:color w:val="333333"/>
                <w:kern w:val="0"/>
                <w:sz w:val="28"/>
                <w:szCs w:val="28"/>
                <w:lang w:eastAsia="zh-CN"/>
              </w:rPr>
              <w:t>内控制度中的政府采购制度流程执行，</w:t>
            </w:r>
            <w:r>
              <w:rPr>
                <w:rFonts w:hint="eastAsia" w:ascii="仿宋_GB2312" w:hAnsi="仿宋_GB2312" w:eastAsia="仿宋_GB2312" w:cs="仿宋_GB2312"/>
                <w:color w:val="333333"/>
                <w:kern w:val="0"/>
                <w:sz w:val="28"/>
                <w:szCs w:val="28"/>
              </w:rPr>
              <w:t>同时严格合同的签订，落实采购物资和服务的验收，</w:t>
            </w:r>
            <w:r>
              <w:rPr>
                <w:rFonts w:hint="eastAsia" w:ascii="仿宋_GB2312" w:hAnsi="仿宋_GB2312" w:eastAsia="仿宋_GB2312" w:cs="仿宋_GB2312"/>
                <w:color w:val="333333"/>
                <w:kern w:val="0"/>
                <w:sz w:val="28"/>
                <w:szCs w:val="28"/>
                <w:lang w:eastAsia="zh-CN"/>
              </w:rPr>
              <w:t>严格</w:t>
            </w:r>
            <w:r>
              <w:rPr>
                <w:rFonts w:hint="eastAsia" w:ascii="仿宋_GB2312" w:hAnsi="仿宋_GB2312" w:eastAsia="仿宋_GB2312" w:cs="仿宋_GB2312"/>
                <w:color w:val="333333"/>
                <w:kern w:val="0"/>
                <w:sz w:val="28"/>
                <w:szCs w:val="28"/>
              </w:rPr>
              <w:t>做好资金支付的审批审核。</w:t>
            </w:r>
          </w:p>
          <w:p>
            <w:pPr>
              <w:numPr>
                <w:ilvl w:val="0"/>
                <w:numId w:val="3"/>
              </w:num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专项管理情况分析</w:t>
            </w:r>
          </w:p>
          <w:p>
            <w:pPr>
              <w:keepNext w:val="0"/>
              <w:keepLines w:val="0"/>
              <w:widowControl/>
              <w:suppressLineNumbers w:val="0"/>
              <w:jc w:val="left"/>
              <w:rPr>
                <w:rFonts w:hint="eastAsia" w:ascii="仿宋_GB2312" w:hAnsi="仿宋_GB2312" w:eastAsia="仿宋_GB2312" w:cs="仿宋_GB2312"/>
                <w:kern w:val="0"/>
                <w:sz w:val="28"/>
                <w:szCs w:val="28"/>
                <w:lang w:val="en-US" w:eastAsia="zh-CN" w:bidi="ar"/>
              </w:rPr>
            </w:pPr>
            <w:r>
              <w:rPr>
                <w:rFonts w:hint="eastAsia" w:ascii="仿宋_GB2312" w:hAnsi="仿宋_GB2312" w:eastAsia="仿宋_GB2312" w:cs="仿宋_GB2312"/>
                <w:kern w:val="0"/>
                <w:sz w:val="28"/>
                <w:szCs w:val="28"/>
                <w:lang w:val="en-US" w:eastAsia="zh-CN" w:bidi="ar"/>
              </w:rPr>
              <w:t>有内部财务管理制度且得到有效执行；支出符合国家财经法规和财务管理制度规定以及有关专项资金的管理办法的规定，资金使用有完整的审批程序和手续；资金使用无截留、挤占、挪用、虚列支出等情况</w:t>
            </w:r>
          </w:p>
          <w:p>
            <w:pPr>
              <w:keepNext w:val="0"/>
              <w:keepLines w:val="0"/>
              <w:widowControl/>
              <w:suppressLineNumbers w:val="0"/>
              <w:ind w:firstLine="560" w:firstLineChars="200"/>
              <w:jc w:val="left"/>
              <w:rPr>
                <w:rFonts w:hint="eastAsia" w:ascii="黑体" w:hAnsi="黑体" w:eastAsia="黑体" w:cs="黑体"/>
                <w:bCs/>
                <w:sz w:val="28"/>
                <w:szCs w:val="28"/>
              </w:rPr>
            </w:pPr>
            <w:r>
              <w:rPr>
                <w:rFonts w:hint="eastAsia" w:ascii="黑体" w:hAnsi="黑体" w:eastAsia="黑体" w:cs="黑体"/>
                <w:bCs/>
                <w:sz w:val="28"/>
                <w:szCs w:val="28"/>
              </w:rPr>
              <w:t>四、部门（单位）整体支出绩效情况</w:t>
            </w:r>
          </w:p>
          <w:p>
            <w:pPr>
              <w:widowControl/>
              <w:spacing w:line="480" w:lineRule="auto"/>
              <w:ind w:firstLine="560" w:firstLineChars="200"/>
              <w:rPr>
                <w:rFonts w:hint="eastAsia" w:ascii="仿宋_GB2312" w:hAnsi="仿宋_GB2312" w:eastAsia="仿宋_GB2312" w:cs="仿宋_GB2312"/>
                <w:color w:val="333333"/>
                <w:kern w:val="0"/>
                <w:sz w:val="28"/>
                <w:szCs w:val="28"/>
              </w:rPr>
            </w:pPr>
            <w:r>
              <w:rPr>
                <w:rFonts w:hint="eastAsia" w:ascii="宋体" w:hAnsi="宋体" w:eastAsia="宋体" w:cs="宋体"/>
                <w:bCs/>
                <w:sz w:val="28"/>
                <w:szCs w:val="28"/>
                <w:lang w:val="en-US" w:eastAsia="zh-CN"/>
              </w:rPr>
              <w:t>2</w:t>
            </w:r>
            <w:r>
              <w:rPr>
                <w:rFonts w:hint="eastAsia" w:ascii="仿宋_GB2312" w:hAnsi="仿宋_GB2312" w:eastAsia="仿宋_GB2312" w:cs="仿宋_GB2312"/>
                <w:bCs/>
                <w:sz w:val="28"/>
                <w:szCs w:val="28"/>
                <w:lang w:val="en-US" w:eastAsia="zh-CN"/>
              </w:rPr>
              <w:t>020年，</w:t>
            </w:r>
            <w:r>
              <w:rPr>
                <w:rFonts w:hint="eastAsia" w:ascii="仿宋_GB2312" w:hAnsi="仿宋_GB2312" w:eastAsia="仿宋_GB2312" w:cs="仿宋_GB2312"/>
                <w:sz w:val="28"/>
                <w:szCs w:val="28"/>
              </w:rPr>
              <w:t>在市委市政府和省市场监管局的坚强领导和精准指导下，</w:t>
            </w:r>
            <w:r>
              <w:rPr>
                <w:rFonts w:hint="eastAsia" w:ascii="仿宋_GB2312" w:hAnsi="仿宋_GB2312" w:eastAsia="仿宋_GB2312" w:cs="仿宋_GB2312"/>
                <w:sz w:val="28"/>
                <w:szCs w:val="28"/>
                <w:lang w:eastAsia="zh-CN"/>
              </w:rPr>
              <w:t>我局根据</w:t>
            </w:r>
            <w:r>
              <w:rPr>
                <w:rFonts w:hint="eastAsia" w:ascii="仿宋_GB2312" w:hAnsi="仿宋_GB2312" w:eastAsia="仿宋_GB2312" w:cs="仿宋_GB2312"/>
                <w:color w:val="333333"/>
                <w:kern w:val="0"/>
                <w:sz w:val="28"/>
                <w:szCs w:val="28"/>
              </w:rPr>
              <w:t>年初工作规划和重点性工作，通过加强预算收支管理，建立健全内部管理制度，梳理内部管理流程，部门整体支出管理情况得到了提升</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部门整体支出绩效情况如下：</w:t>
            </w:r>
          </w:p>
          <w:p>
            <w:pPr>
              <w:widowControl/>
              <w:spacing w:line="48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lang w:eastAsia="zh-CN"/>
              </w:rPr>
              <w:t>（一）</w:t>
            </w:r>
            <w:r>
              <w:rPr>
                <w:rFonts w:hint="eastAsia" w:ascii="仿宋_GB2312" w:hAnsi="仿宋_GB2312" w:eastAsia="仿宋_GB2312" w:cs="仿宋_GB2312"/>
                <w:color w:val="333333"/>
                <w:kern w:val="0"/>
                <w:sz w:val="28"/>
                <w:szCs w:val="28"/>
              </w:rPr>
              <w:t>经济性评价方面</w:t>
            </w:r>
          </w:p>
          <w:p>
            <w:pPr>
              <w:widowControl/>
              <w:spacing w:line="48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1、本年预算配置控制较好，财政供养人员控制在预算编制以内，</w:t>
            </w:r>
            <w:r>
              <w:rPr>
                <w:rFonts w:hint="eastAsia" w:ascii="仿宋_GB2312" w:hAnsi="仿宋_GB2312" w:eastAsia="仿宋_GB2312" w:cs="仿宋_GB2312"/>
                <w:color w:val="333333"/>
                <w:kern w:val="0"/>
                <w:sz w:val="28"/>
                <w:szCs w:val="28"/>
                <w:lang w:eastAsia="zh-CN"/>
              </w:rPr>
              <w:t>实有人数控制在人员编制数以内，“</w:t>
            </w:r>
            <w:r>
              <w:rPr>
                <w:rFonts w:hint="eastAsia" w:ascii="仿宋_GB2312" w:hAnsi="仿宋_GB2312" w:eastAsia="仿宋_GB2312" w:cs="仿宋_GB2312"/>
                <w:color w:val="333333"/>
                <w:kern w:val="0"/>
                <w:sz w:val="28"/>
                <w:szCs w:val="28"/>
              </w:rPr>
              <w:t>三公</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经费较上年</w:t>
            </w:r>
            <w:r>
              <w:rPr>
                <w:rFonts w:hint="eastAsia" w:ascii="仿宋_GB2312" w:hAnsi="仿宋_GB2312" w:eastAsia="仿宋_GB2312" w:cs="仿宋_GB2312"/>
                <w:color w:val="333333"/>
                <w:kern w:val="0"/>
                <w:sz w:val="28"/>
                <w:szCs w:val="28"/>
                <w:lang w:eastAsia="zh-CN"/>
              </w:rPr>
              <w:t>及预算大幅</w:t>
            </w:r>
            <w:r>
              <w:rPr>
                <w:rFonts w:hint="eastAsia" w:ascii="仿宋_GB2312" w:hAnsi="仿宋_GB2312" w:eastAsia="仿宋_GB2312" w:cs="仿宋_GB2312"/>
                <w:color w:val="333333"/>
                <w:kern w:val="0"/>
                <w:sz w:val="28"/>
                <w:szCs w:val="28"/>
              </w:rPr>
              <w:t>减少。</w:t>
            </w:r>
          </w:p>
          <w:p>
            <w:pPr>
              <w:widowControl/>
              <w:spacing w:line="48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2、预算执行方面，除</w:t>
            </w:r>
            <w:r>
              <w:rPr>
                <w:rFonts w:hint="eastAsia" w:ascii="仿宋_GB2312" w:hAnsi="仿宋_GB2312" w:eastAsia="仿宋_GB2312" w:cs="仿宋_GB2312"/>
                <w:color w:val="333333"/>
                <w:kern w:val="0"/>
                <w:sz w:val="28"/>
                <w:szCs w:val="28"/>
                <w:lang w:eastAsia="zh-CN"/>
              </w:rPr>
              <w:t>非本级财政追加专项资金、本级财政追加</w:t>
            </w:r>
            <w:r>
              <w:rPr>
                <w:rFonts w:hint="eastAsia" w:ascii="仿宋_GB2312" w:hAnsi="仿宋_GB2312" w:eastAsia="仿宋_GB2312" w:cs="仿宋_GB2312"/>
                <w:color w:val="333333"/>
                <w:kern w:val="0"/>
                <w:sz w:val="28"/>
                <w:szCs w:val="28"/>
              </w:rPr>
              <w:t>政策性工资</w:t>
            </w:r>
            <w:r>
              <w:rPr>
                <w:rFonts w:hint="eastAsia" w:ascii="仿宋_GB2312" w:hAnsi="仿宋_GB2312" w:eastAsia="仿宋_GB2312" w:cs="仿宋_GB2312"/>
                <w:color w:val="333333"/>
                <w:kern w:val="0"/>
                <w:sz w:val="28"/>
                <w:szCs w:val="28"/>
                <w:lang w:eastAsia="zh-CN"/>
              </w:rPr>
              <w:t>提标、</w:t>
            </w:r>
            <w:r>
              <w:rPr>
                <w:rFonts w:hint="eastAsia" w:ascii="仿宋_GB2312" w:hAnsi="仿宋_GB2312" w:eastAsia="仿宋_GB2312" w:cs="仿宋_GB2312"/>
                <w:color w:val="333333"/>
                <w:kern w:val="0"/>
                <w:sz w:val="28"/>
                <w:szCs w:val="28"/>
              </w:rPr>
              <w:t>绩效</w:t>
            </w:r>
            <w:r>
              <w:rPr>
                <w:rFonts w:hint="eastAsia" w:ascii="仿宋_GB2312" w:hAnsi="仿宋_GB2312" w:eastAsia="仿宋_GB2312" w:cs="仿宋_GB2312"/>
                <w:color w:val="333333"/>
                <w:kern w:val="0"/>
                <w:sz w:val="28"/>
                <w:szCs w:val="28"/>
                <w:lang w:eastAsia="zh-CN"/>
              </w:rPr>
              <w:t>、综治奖励、非税超收资金外</w:t>
            </w:r>
            <w:r>
              <w:rPr>
                <w:rFonts w:hint="eastAsia" w:ascii="仿宋_GB2312" w:hAnsi="仿宋_GB2312" w:eastAsia="仿宋_GB2312" w:cs="仿宋_GB2312"/>
                <w:color w:val="333333"/>
                <w:kern w:val="0"/>
                <w:sz w:val="28"/>
                <w:szCs w:val="28"/>
              </w:rPr>
              <w:t>，支出总额控制在预算总额以内</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不存在截留或</w:t>
            </w:r>
            <w:r>
              <w:rPr>
                <w:rFonts w:hint="eastAsia" w:ascii="仿宋_GB2312" w:hAnsi="仿宋_GB2312" w:eastAsia="仿宋_GB2312" w:cs="仿宋_GB2312"/>
                <w:color w:val="333333"/>
                <w:kern w:val="0"/>
                <w:sz w:val="28"/>
                <w:szCs w:val="28"/>
                <w:lang w:eastAsia="zh-CN"/>
              </w:rPr>
              <w:t>挤占</w:t>
            </w:r>
            <w:r>
              <w:rPr>
                <w:rFonts w:hint="eastAsia" w:ascii="仿宋_GB2312" w:hAnsi="仿宋_GB2312" w:eastAsia="仿宋_GB2312" w:cs="仿宋_GB2312"/>
                <w:color w:val="333333"/>
                <w:kern w:val="0"/>
                <w:sz w:val="28"/>
                <w:szCs w:val="28"/>
              </w:rPr>
              <w:t>专项资金情况。</w:t>
            </w:r>
          </w:p>
          <w:p>
            <w:pPr>
              <w:widowControl/>
              <w:spacing w:line="48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lang w:val="en-US" w:eastAsia="zh-CN"/>
              </w:rPr>
              <w:t>3、</w:t>
            </w:r>
            <w:r>
              <w:rPr>
                <w:rFonts w:hint="eastAsia" w:ascii="仿宋_GB2312" w:hAnsi="仿宋_GB2312" w:eastAsia="仿宋_GB2312" w:cs="仿宋_GB2312"/>
                <w:color w:val="333333"/>
                <w:kern w:val="0"/>
                <w:sz w:val="28"/>
                <w:szCs w:val="28"/>
              </w:rPr>
              <w:t>预算管理方面，制度执行总体较为有效，仍需进一步强化；资金使用管理需进一步加强。</w:t>
            </w:r>
          </w:p>
          <w:p>
            <w:pPr>
              <w:widowControl/>
              <w:spacing w:line="48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lang w:val="en-US" w:eastAsia="zh-CN"/>
              </w:rPr>
              <w:t>4、</w:t>
            </w:r>
            <w:r>
              <w:rPr>
                <w:rFonts w:hint="eastAsia" w:ascii="仿宋_GB2312" w:hAnsi="仿宋_GB2312" w:eastAsia="仿宋_GB2312" w:cs="仿宋_GB2312"/>
                <w:color w:val="333333"/>
                <w:kern w:val="0"/>
                <w:sz w:val="28"/>
                <w:szCs w:val="28"/>
              </w:rPr>
              <w:t>资产管理方面建立了资产管理制度，定期进行了盘点和资产清理，总体执行较好。</w:t>
            </w:r>
          </w:p>
          <w:p>
            <w:pPr>
              <w:widowControl/>
              <w:spacing w:line="48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根据部门整体支出绩效评价指标体系，本局20</w:t>
            </w:r>
            <w:r>
              <w:rPr>
                <w:rFonts w:hint="eastAsia" w:ascii="仿宋_GB2312" w:hAnsi="仿宋_GB2312" w:eastAsia="仿宋_GB2312" w:cs="仿宋_GB2312"/>
                <w:color w:val="333333"/>
                <w:kern w:val="0"/>
                <w:sz w:val="28"/>
                <w:szCs w:val="28"/>
                <w:lang w:val="en-US" w:eastAsia="zh-CN"/>
              </w:rPr>
              <w:t>20</w:t>
            </w:r>
            <w:r>
              <w:rPr>
                <w:rFonts w:hint="eastAsia" w:ascii="仿宋_GB2312" w:hAnsi="仿宋_GB2312" w:eastAsia="仿宋_GB2312" w:cs="仿宋_GB2312"/>
                <w:color w:val="333333"/>
                <w:kern w:val="0"/>
                <w:sz w:val="28"/>
                <w:szCs w:val="28"/>
              </w:rPr>
              <w:t>年度评价得分9</w:t>
            </w:r>
            <w:r>
              <w:rPr>
                <w:rFonts w:hint="eastAsia" w:ascii="仿宋_GB2312" w:hAnsi="仿宋_GB2312" w:eastAsia="仿宋_GB2312" w:cs="仿宋_GB2312"/>
                <w:color w:val="333333"/>
                <w:kern w:val="0"/>
                <w:sz w:val="28"/>
                <w:szCs w:val="28"/>
                <w:lang w:val="en-US" w:eastAsia="zh-CN"/>
              </w:rPr>
              <w:t>5</w:t>
            </w:r>
            <w:r>
              <w:rPr>
                <w:rFonts w:hint="eastAsia" w:ascii="仿宋_GB2312" w:hAnsi="仿宋_GB2312" w:eastAsia="仿宋_GB2312" w:cs="仿宋_GB2312"/>
                <w:color w:val="333333"/>
                <w:kern w:val="0"/>
                <w:sz w:val="28"/>
                <w:szCs w:val="28"/>
              </w:rPr>
              <w:t>分。</w:t>
            </w:r>
          </w:p>
          <w:p>
            <w:pPr>
              <w:widowControl/>
              <w:numPr>
                <w:ilvl w:val="0"/>
                <w:numId w:val="0"/>
              </w:numPr>
              <w:spacing w:line="48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lang w:eastAsia="zh-CN"/>
              </w:rPr>
              <w:t>（二）</w:t>
            </w:r>
            <w:r>
              <w:rPr>
                <w:rFonts w:hint="eastAsia" w:ascii="仿宋_GB2312" w:hAnsi="仿宋_GB2312" w:eastAsia="仿宋_GB2312" w:cs="仿宋_GB2312"/>
                <w:color w:val="333333"/>
                <w:kern w:val="0"/>
                <w:sz w:val="28"/>
                <w:szCs w:val="28"/>
              </w:rPr>
              <w:t>效率性评价和有效性评价</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仿宋_GB2312" w:eastAsia="仿宋_GB2312" w:cs="仿宋_GB2312"/>
                <w:color w:val="000000"/>
                <w:sz w:val="28"/>
                <w:szCs w:val="28"/>
                <w:lang w:eastAsia="zh-CN"/>
              </w:rPr>
            </w:pPr>
            <w:r>
              <w:rPr>
                <w:rFonts w:hint="eastAsia" w:ascii="仿宋_GB2312" w:hAnsi="仿宋_GB2312" w:eastAsia="仿宋_GB2312" w:cs="仿宋_GB2312"/>
                <w:color w:val="000000"/>
                <w:sz w:val="28"/>
                <w:szCs w:val="28"/>
                <w:lang w:eastAsia="zh-CN"/>
              </w:rPr>
              <w:t>今年以来，在省市场监管局坚强领导下，岳阳市市场监管局认真贯彻</w:t>
            </w:r>
            <w:r>
              <w:rPr>
                <w:rFonts w:hint="eastAsia" w:ascii="仿宋_GB2312" w:hAnsi="仿宋_GB2312" w:eastAsia="仿宋_GB2312" w:cs="仿宋_GB2312"/>
                <w:color w:val="000000"/>
                <w:sz w:val="28"/>
                <w:szCs w:val="28"/>
              </w:rPr>
              <w:t>习近平总书记重要指示精神，</w:t>
            </w:r>
            <w:r>
              <w:rPr>
                <w:rFonts w:hint="eastAsia" w:ascii="仿宋_GB2312" w:hAnsi="仿宋_GB2312" w:eastAsia="仿宋_GB2312" w:cs="仿宋_GB2312"/>
                <w:color w:val="000000"/>
                <w:sz w:val="28"/>
                <w:szCs w:val="28"/>
                <w:lang w:eastAsia="zh-CN"/>
              </w:rPr>
              <w:t>落实“五有”要求，做到有政治站位、有人民情怀、有责任担当、有纪律规矩、有表率作用，推改革、抓质量、守底线、强监管、牢基础。弘扬“店小二”精神，全面推进“六稳”“六保”，奋力夺取疫情防控和经济社会发展“双胜利”。</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1、在省市场监管局2020年度真抓实干督查激励拟向省政府推荐名单中，我市位居第二。</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default"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r>
              <w:rPr>
                <w:rFonts w:hint="default" w:ascii="仿宋_GB2312" w:hAnsi="仿宋_GB2312" w:eastAsia="仿宋_GB2312" w:cs="仿宋_GB2312"/>
                <w:color w:val="000000"/>
                <w:sz w:val="28"/>
                <w:szCs w:val="28"/>
                <w:lang w:val="en-US" w:eastAsia="zh-CN"/>
              </w:rPr>
              <w:t>推进</w:t>
            </w:r>
            <w:r>
              <w:rPr>
                <w:rFonts w:hint="eastAsia" w:ascii="仿宋_GB2312" w:hAnsi="仿宋_GB2312" w:eastAsia="仿宋_GB2312" w:cs="仿宋_GB2312"/>
                <w:color w:val="000000"/>
                <w:sz w:val="28"/>
                <w:szCs w:val="28"/>
                <w:lang w:val="en-US" w:eastAsia="zh-CN"/>
              </w:rPr>
              <w:t>“</w:t>
            </w:r>
            <w:r>
              <w:rPr>
                <w:rFonts w:hint="default" w:ascii="仿宋_GB2312" w:hAnsi="仿宋_GB2312" w:eastAsia="仿宋_GB2312" w:cs="仿宋_GB2312"/>
                <w:color w:val="000000"/>
                <w:sz w:val="28"/>
                <w:szCs w:val="28"/>
                <w:lang w:val="en-US" w:eastAsia="zh-CN"/>
              </w:rPr>
              <w:t>一件事一次办</w:t>
            </w:r>
            <w:r>
              <w:rPr>
                <w:rFonts w:hint="eastAsia" w:ascii="仿宋_GB2312" w:hAnsi="仿宋_GB2312" w:eastAsia="仿宋_GB2312" w:cs="仿宋_GB2312"/>
                <w:color w:val="000000"/>
                <w:sz w:val="28"/>
                <w:szCs w:val="28"/>
                <w:lang w:val="en-US" w:eastAsia="zh-CN"/>
              </w:rPr>
              <w:t>”</w:t>
            </w:r>
            <w:r>
              <w:rPr>
                <w:rFonts w:hint="default" w:ascii="仿宋_GB2312" w:hAnsi="仿宋_GB2312" w:eastAsia="仿宋_GB2312" w:cs="仿宋_GB2312"/>
                <w:color w:val="000000"/>
                <w:sz w:val="28"/>
                <w:szCs w:val="28"/>
                <w:lang w:val="en-US" w:eastAsia="zh-CN"/>
              </w:rPr>
              <w:t>，在全省率先实现企业开办时间只需1天，企业设立登记只需4个小时。企业开办从窗口正式受理起，税务、公章、社保、住房公积金、银行等业务穿插并联办理，企业领取营业执照在4小时内办结，企业开办各环节合计按工作时间“8小时”实现“一天办结”。</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3、</w:t>
            </w:r>
            <w:r>
              <w:rPr>
                <w:rFonts w:hint="default" w:ascii="仿宋_GB2312" w:hAnsi="仿宋_GB2312" w:eastAsia="仿宋_GB2312" w:cs="仿宋_GB2312"/>
                <w:color w:val="000000"/>
                <w:sz w:val="28"/>
                <w:szCs w:val="28"/>
                <w:lang w:val="en-US" w:eastAsia="zh-CN"/>
              </w:rPr>
              <w:t>在全省率先对3家学校跑道和农资生产企业开展“质量体检进企业”活动，出具质量体检报告，指导督促重点企业提升质量安全管理水平</w:t>
            </w:r>
            <w:r>
              <w:rPr>
                <w:rFonts w:hint="eastAsia" w:ascii="仿宋_GB2312" w:hAnsi="仿宋_GB2312" w:eastAsia="仿宋_GB2312" w:cs="仿宋_GB2312"/>
                <w:color w:val="000000"/>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4、在省质量强省政府质量工作考核通报中，岳阳市消费品质量合格率96.16%，比全省平均数高4.21%，领跑全省；政府质量工作满意度调查得分74.22，排名全省第二。平江县开设全国首个“辣条专业班”培训，首开辣条专业课，为辣条行业输送人才。</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5、有</w:t>
            </w:r>
            <w:r>
              <w:rPr>
                <w:rFonts w:hint="eastAsia" w:ascii="仿宋_GB2312" w:hAnsi="仿宋_GB2312" w:eastAsia="仿宋_GB2312" w:cs="仿宋_GB2312"/>
                <w:b w:val="0"/>
                <w:bCs w:val="0"/>
                <w:color w:val="auto"/>
                <w:sz w:val="28"/>
                <w:szCs w:val="28"/>
                <w:lang w:val="en-US" w:eastAsia="zh-CN"/>
              </w:rPr>
              <w:t>10家知识产权服务机构与各县市区市场监管部门正式签署共建知识产权综合服务平台协议，在全省率先实现知识产权综合服务平台全覆盖。</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6、在全省率先运用信息化手段，将食品安全监管搬上互联网，初步构建了“阳光监管、透明共治”新模式。十月底，岳阳县、华容县通过了省级食品安全示范县市级初评，汨罗市成功列入第三批省级食品安全示范县名单。</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default"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7、</w:t>
            </w:r>
            <w:r>
              <w:rPr>
                <w:rFonts w:hint="default" w:ascii="仿宋_GB2312" w:hAnsi="仿宋_GB2312" w:eastAsia="仿宋_GB2312" w:cs="仿宋_GB2312"/>
                <w:color w:val="000000"/>
                <w:sz w:val="28"/>
                <w:szCs w:val="28"/>
                <w:lang w:val="en-US" w:eastAsia="zh-CN"/>
              </w:rPr>
              <w:t>在全省地州市局中率先组织开展认证领域“双随机、一公开”监督检查。</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仿宋_GB2312" w:eastAsia="仿宋_GB2312" w:cs="仿宋_GB2312"/>
                <w:color w:val="333333"/>
                <w:kern w:val="0"/>
                <w:sz w:val="28"/>
                <w:szCs w:val="28"/>
              </w:rPr>
            </w:pPr>
            <w:r>
              <w:rPr>
                <w:rFonts w:hint="eastAsia" w:ascii="黑体" w:hAnsi="黑体" w:eastAsia="黑体" w:cs="黑体"/>
                <w:bCs/>
                <w:sz w:val="28"/>
                <w:szCs w:val="28"/>
              </w:rPr>
              <w:t>五、存在的主要问题</w:t>
            </w:r>
          </w:p>
          <w:p>
            <w:pPr>
              <w:widowControl/>
              <w:spacing w:line="480" w:lineRule="auto"/>
              <w:ind w:firstLine="560" w:firstLineChars="200"/>
              <w:rPr>
                <w:rFonts w:hint="eastAsia" w:ascii="仿宋_GB2312" w:hAnsi="仿宋_GB2312" w:eastAsia="仿宋_GB2312" w:cs="仿宋_GB2312"/>
                <w:color w:val="333333"/>
                <w:kern w:val="0"/>
                <w:sz w:val="28"/>
                <w:szCs w:val="28"/>
                <w:lang w:eastAsia="zh-CN"/>
              </w:rPr>
            </w:pPr>
            <w:r>
              <w:rPr>
                <w:rFonts w:hint="eastAsia" w:ascii="仿宋_GB2312" w:hAnsi="仿宋_GB2312" w:eastAsia="仿宋_GB2312" w:cs="仿宋_GB2312"/>
                <w:color w:val="333333"/>
                <w:kern w:val="0"/>
                <w:sz w:val="28"/>
                <w:szCs w:val="28"/>
                <w:lang w:val="en-US" w:eastAsia="zh-CN"/>
              </w:rPr>
              <w:t>1</w:t>
            </w:r>
            <w:r>
              <w:rPr>
                <w:rFonts w:hint="eastAsia" w:ascii="仿宋_GB2312" w:hAnsi="仿宋_GB2312" w:eastAsia="仿宋_GB2312" w:cs="仿宋_GB2312"/>
                <w:color w:val="333333"/>
                <w:kern w:val="0"/>
                <w:sz w:val="28"/>
                <w:szCs w:val="28"/>
              </w:rPr>
              <w:t>、</w:t>
            </w:r>
            <w:r>
              <w:rPr>
                <w:rFonts w:hint="eastAsia" w:ascii="仿宋_GB2312" w:hAnsi="仿宋_GB2312" w:eastAsia="仿宋_GB2312" w:cs="仿宋_GB2312"/>
                <w:color w:val="333333"/>
                <w:kern w:val="0"/>
                <w:sz w:val="28"/>
                <w:szCs w:val="28"/>
                <w:lang w:eastAsia="zh-CN"/>
              </w:rPr>
              <w:t>项目推进速度存在不及时，项目资金用款进度偏慢。</w:t>
            </w:r>
          </w:p>
          <w:p>
            <w:pPr>
              <w:widowControl/>
              <w:spacing w:line="480" w:lineRule="auto"/>
              <w:ind w:firstLine="560" w:firstLineChars="200"/>
              <w:rPr>
                <w:rFonts w:hint="default" w:ascii="仿宋_GB2312" w:hAnsi="仿宋_GB2312" w:eastAsia="仿宋_GB2312" w:cs="仿宋_GB2312"/>
                <w:color w:val="333333"/>
                <w:kern w:val="0"/>
                <w:sz w:val="28"/>
                <w:szCs w:val="28"/>
                <w:lang w:val="en-US" w:eastAsia="zh-CN"/>
              </w:rPr>
            </w:pPr>
            <w:r>
              <w:rPr>
                <w:rFonts w:hint="eastAsia" w:ascii="仿宋_GB2312" w:hAnsi="仿宋_GB2312" w:eastAsia="仿宋_GB2312" w:cs="仿宋_GB2312"/>
                <w:color w:val="333333"/>
                <w:kern w:val="0"/>
                <w:sz w:val="28"/>
                <w:szCs w:val="28"/>
                <w:lang w:val="en-US" w:eastAsia="zh-CN"/>
              </w:rPr>
              <w:t>2、固定资产管理不够规范，处置程序有待加强。</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黑体" w:hAnsi="黑体" w:eastAsia="黑体" w:cs="黑体"/>
                <w:bCs/>
                <w:sz w:val="28"/>
                <w:szCs w:val="28"/>
              </w:rPr>
            </w:pPr>
            <w:r>
              <w:rPr>
                <w:rFonts w:hint="eastAsia" w:ascii="黑体" w:hAnsi="黑体" w:eastAsia="黑体" w:cs="黑体"/>
                <w:bCs/>
                <w:sz w:val="28"/>
                <w:szCs w:val="28"/>
                <w:lang w:eastAsia="zh-CN"/>
              </w:rPr>
              <w:t>六、</w:t>
            </w:r>
            <w:r>
              <w:rPr>
                <w:rFonts w:hint="eastAsia" w:ascii="黑体" w:hAnsi="黑体" w:eastAsia="黑体" w:cs="黑体"/>
                <w:bCs/>
                <w:sz w:val="28"/>
                <w:szCs w:val="28"/>
              </w:rPr>
              <w:t>改进措施和建议</w:t>
            </w:r>
          </w:p>
          <w:p>
            <w:pPr>
              <w:widowControl/>
              <w:spacing w:line="48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针对上述存在的问题及我局整体支出管理工作的需要，拟实施的改进措施如下：</w:t>
            </w:r>
          </w:p>
          <w:p>
            <w:pPr>
              <w:widowControl/>
              <w:spacing w:line="48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1、细化预算编制工作，认真做好预算的编制。</w:t>
            </w:r>
          </w:p>
          <w:p>
            <w:pPr>
              <w:widowControl/>
              <w:spacing w:line="48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pPr>
              <w:numPr>
                <w:ilvl w:val="0"/>
                <w:numId w:val="0"/>
              </w:numPr>
              <w:ind w:leftChars="0" w:firstLine="560" w:firstLineChars="200"/>
              <w:rPr>
                <w:rFonts w:hint="eastAsia" w:ascii="仿宋_GB2312" w:hAnsi="仿宋_GB2312" w:eastAsia="仿宋_GB2312" w:cs="仿宋_GB2312"/>
                <w:color w:val="333333"/>
                <w:kern w:val="0"/>
                <w:sz w:val="28"/>
                <w:szCs w:val="28"/>
                <w:lang w:eastAsia="zh-CN"/>
              </w:rPr>
            </w:pPr>
            <w:r>
              <w:rPr>
                <w:rFonts w:hint="eastAsia" w:ascii="仿宋_GB2312" w:hAnsi="仿宋_GB2312" w:eastAsia="仿宋_GB2312" w:cs="仿宋_GB2312"/>
                <w:color w:val="333333"/>
                <w:kern w:val="0"/>
                <w:sz w:val="28"/>
                <w:szCs w:val="28"/>
                <w:lang w:val="en-US" w:eastAsia="zh-CN"/>
              </w:rPr>
              <w:t>2、</w:t>
            </w:r>
            <w:r>
              <w:rPr>
                <w:rFonts w:hint="eastAsia" w:ascii="仿宋_GB2312" w:hAnsi="仿宋_GB2312" w:eastAsia="仿宋_GB2312" w:cs="仿宋_GB2312"/>
                <w:color w:val="333333"/>
                <w:kern w:val="0"/>
                <w:sz w:val="28"/>
                <w:szCs w:val="28"/>
                <w:lang w:eastAsia="zh-CN"/>
              </w:rPr>
              <w:t>加强固定资产管理，提高固定资产利用率。</w:t>
            </w:r>
          </w:p>
          <w:p>
            <w:pPr>
              <w:numPr>
                <w:ilvl w:val="0"/>
                <w:numId w:val="0"/>
              </w:numPr>
              <w:ind w:leftChars="0" w:firstLine="560" w:firstLineChars="200"/>
              <w:rPr>
                <w:rFonts w:hint="default" w:ascii="仿宋_GB2312" w:hAnsi="仿宋_GB2312" w:eastAsia="仿宋_GB2312" w:cs="仿宋_GB2312"/>
                <w:color w:val="333333"/>
                <w:kern w:val="0"/>
                <w:sz w:val="28"/>
                <w:szCs w:val="28"/>
                <w:lang w:val="en-US" w:eastAsia="zh-CN"/>
              </w:rPr>
            </w:pPr>
            <w:r>
              <w:rPr>
                <w:rFonts w:hint="eastAsia" w:ascii="仿宋_GB2312" w:hAnsi="仿宋_GB2312" w:eastAsia="仿宋_GB2312" w:cs="仿宋_GB2312"/>
                <w:color w:val="333333"/>
                <w:kern w:val="0"/>
                <w:sz w:val="28"/>
                <w:szCs w:val="28"/>
                <w:lang w:val="en-US" w:eastAsia="zh-CN"/>
              </w:rPr>
              <w:t>3、严格项目支出管理，细化分解项目到月，确保按时按质完成绩效目标。</w:t>
            </w:r>
          </w:p>
          <w:p>
            <w:pPr>
              <w:ind w:firstLine="560" w:firstLineChars="200"/>
              <w:rPr>
                <w:rFonts w:hint="eastAsia" w:ascii="仿宋_GB2312" w:hAnsi="仿宋_GB2312" w:eastAsia="仿宋_GB2312" w:cs="仿宋_GB2312"/>
                <w:color w:val="333333"/>
                <w:kern w:val="0"/>
                <w:sz w:val="28"/>
                <w:szCs w:val="28"/>
                <w:lang w:val="en-US" w:eastAsia="zh-CN"/>
              </w:rPr>
            </w:pPr>
          </w:p>
          <w:p>
            <w:pPr>
              <w:spacing w:line="560" w:lineRule="exact"/>
              <w:ind w:firstLine="5880" w:firstLineChars="2100"/>
              <w:rPr>
                <w:rFonts w:hint="eastAsia" w:ascii="黑体" w:hAnsi="黑体" w:eastAsia="黑体" w:cs="黑体"/>
                <w:bCs/>
                <w:sz w:val="28"/>
                <w:szCs w:val="28"/>
              </w:rPr>
            </w:pPr>
            <w:r>
              <w:rPr>
                <w:rFonts w:hint="eastAsia" w:ascii="仿宋_GB2312" w:hAnsi="仿宋_GB2312" w:eastAsia="仿宋_GB2312" w:cs="仿宋_GB2312"/>
                <w:color w:val="333333"/>
                <w:kern w:val="0"/>
                <w:sz w:val="28"/>
                <w:szCs w:val="28"/>
                <w:lang w:val="en-US" w:eastAsia="zh-CN"/>
              </w:rPr>
              <w:t>二0二二年五月三十日</w:t>
            </w:r>
          </w:p>
          <w:p>
            <w:pPr>
              <w:spacing w:line="560" w:lineRule="exact"/>
              <w:ind w:firstLine="560" w:firstLineChars="200"/>
              <w:rPr>
                <w:rFonts w:ascii="黑体" w:hAnsi="黑体" w:eastAsia="黑体" w:cs="黑体"/>
                <w:bCs/>
                <w:sz w:val="28"/>
                <w:szCs w:val="28"/>
              </w:rPr>
            </w:pPr>
          </w:p>
          <w:p>
            <w:pPr>
              <w:rPr>
                <w:rFonts w:eastAsia="楷体_GB2312"/>
                <w:bCs/>
                <w:sz w:val="28"/>
                <w:szCs w:val="28"/>
              </w:rPr>
            </w:pPr>
          </w:p>
        </w:tc>
      </w:tr>
    </w:tbl>
    <w:p>
      <w:pPr>
        <w:spacing w:line="348" w:lineRule="auto"/>
        <w:rPr>
          <w:rFonts w:eastAsia="楷体_GB2312"/>
          <w:bCs/>
          <w:sz w:val="28"/>
          <w:szCs w:val="28"/>
        </w:rPr>
      </w:pPr>
    </w:p>
    <w:p>
      <w:pPr>
        <w:spacing w:line="348" w:lineRule="auto"/>
        <w:rPr>
          <w:rFonts w:eastAsia="黑体" w:cs="黑体"/>
          <w:bCs/>
          <w:sz w:val="32"/>
          <w:szCs w:val="32"/>
        </w:rPr>
      </w:pPr>
      <w:r>
        <w:rPr>
          <w:rFonts w:eastAsia="楷体_GB2312"/>
          <w:bCs/>
          <w:sz w:val="28"/>
          <w:szCs w:val="28"/>
        </w:rPr>
        <w:br w:type="page"/>
      </w:r>
    </w:p>
    <w:p>
      <w:pPr>
        <w:rPr>
          <w:rFonts w:ascii="黑体" w:hAnsi="黑体" w:eastAsia="黑体"/>
          <w:sz w:val="32"/>
          <w:szCs w:val="32"/>
        </w:rPr>
      </w:pPr>
    </w:p>
    <w:p>
      <w:pPr>
        <w:rPr>
          <w:rFonts w:ascii="黑体" w:hAnsi="黑体" w:eastAsia="黑体"/>
          <w:sz w:val="32"/>
          <w:szCs w:val="32"/>
        </w:rPr>
      </w:pPr>
      <w:r>
        <w:rPr>
          <w:rFonts w:ascii="黑体" w:hAnsi="黑体" w:eastAsia="黑体"/>
          <w:sz w:val="32"/>
          <w:szCs w:val="32"/>
        </w:rPr>
        <w:br w:type="page"/>
      </w:r>
      <w:r>
        <w:rPr>
          <w:rFonts w:hint="eastAsia" w:ascii="黑体" w:hAnsi="黑体" w:eastAsia="黑体"/>
          <w:sz w:val="32"/>
          <w:szCs w:val="32"/>
        </w:rPr>
        <w:t>附件3-1</w:t>
      </w:r>
    </w:p>
    <w:p>
      <w:pPr>
        <w:spacing w:beforeLines="100" w:afterLines="100"/>
        <w:jc w:val="center"/>
        <w:rPr>
          <w:rFonts w:ascii="方正小标宋简体" w:eastAsia="方正小标宋简体"/>
          <w:sz w:val="38"/>
          <w:szCs w:val="38"/>
        </w:rPr>
      </w:pPr>
      <w:r>
        <w:rPr>
          <w:rFonts w:hint="eastAsia" w:ascii="方正小标宋简体" w:eastAsia="方正小标宋简体"/>
          <w:sz w:val="38"/>
          <w:szCs w:val="38"/>
        </w:rPr>
        <w:t>部门整体支出绩效评价评分表（参考样表）</w:t>
      </w:r>
    </w:p>
    <w:tbl>
      <w:tblPr>
        <w:tblStyle w:val="7"/>
        <w:tblW w:w="0" w:type="auto"/>
        <w:jc w:val="center"/>
        <w:tblLayout w:type="fixed"/>
        <w:tblCellMar>
          <w:top w:w="0" w:type="dxa"/>
          <w:left w:w="108" w:type="dxa"/>
          <w:bottom w:w="0" w:type="dxa"/>
          <w:right w:w="108" w:type="dxa"/>
        </w:tblCellMar>
      </w:tblPr>
      <w:tblGrid>
        <w:gridCol w:w="976"/>
        <w:gridCol w:w="939"/>
        <w:gridCol w:w="1389"/>
        <w:gridCol w:w="4171"/>
        <w:gridCol w:w="619"/>
        <w:gridCol w:w="720"/>
        <w:gridCol w:w="1080"/>
      </w:tblGrid>
      <w:tr>
        <w:tblPrEx>
          <w:tblCellMar>
            <w:top w:w="0" w:type="dxa"/>
            <w:left w:w="108" w:type="dxa"/>
            <w:bottom w:w="0" w:type="dxa"/>
            <w:right w:w="108" w:type="dxa"/>
          </w:tblCellMar>
        </w:tblPrEx>
        <w:trPr>
          <w:trHeight w:val="525" w:hRule="atLeast"/>
          <w:jc w:val="center"/>
        </w:trPr>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一级指标</w:t>
            </w:r>
          </w:p>
        </w:tc>
        <w:tc>
          <w:tcPr>
            <w:tcW w:w="93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二级指标</w:t>
            </w:r>
          </w:p>
        </w:tc>
        <w:tc>
          <w:tcPr>
            <w:tcW w:w="138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三级指标</w:t>
            </w:r>
          </w:p>
        </w:tc>
        <w:tc>
          <w:tcPr>
            <w:tcW w:w="417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评分标准</w:t>
            </w:r>
          </w:p>
        </w:tc>
        <w:tc>
          <w:tcPr>
            <w:tcW w:w="61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2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自评得分</w:t>
            </w:r>
          </w:p>
        </w:tc>
        <w:tc>
          <w:tcPr>
            <w:tcW w:w="108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spacing w:val="-10"/>
                <w:kern w:val="0"/>
                <w:sz w:val="18"/>
                <w:szCs w:val="18"/>
              </w:rPr>
            </w:pPr>
            <w:r>
              <w:rPr>
                <w:rFonts w:hint="eastAsia" w:ascii="仿宋_GB2312" w:hAnsi="宋体" w:eastAsia="仿宋_GB2312" w:cs="宋体"/>
                <w:b/>
                <w:bCs/>
                <w:spacing w:val="-10"/>
                <w:kern w:val="0"/>
                <w:sz w:val="18"/>
                <w:szCs w:val="18"/>
              </w:rPr>
              <w:t>扣分原因和其他说明</w:t>
            </w:r>
          </w:p>
        </w:tc>
      </w:tr>
      <w:tr>
        <w:tblPrEx>
          <w:tblCellMar>
            <w:top w:w="0" w:type="dxa"/>
            <w:left w:w="108" w:type="dxa"/>
            <w:bottom w:w="0" w:type="dxa"/>
            <w:right w:w="108" w:type="dxa"/>
          </w:tblCellMar>
        </w:tblPrEx>
        <w:trPr>
          <w:trHeight w:val="559" w:hRule="atLeast"/>
          <w:jc w:val="center"/>
        </w:trPr>
        <w:tc>
          <w:tcPr>
            <w:tcW w:w="97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投入</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预算配置</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财政供养人员</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控制率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以100%为标准。在职人员控制率</w:t>
            </w:r>
            <w:r>
              <w:rPr>
                <w:rFonts w:hint="eastAsia" w:ascii="宋体" w:hAnsi="宋体" w:cs="宋体"/>
                <w:kern w:val="0"/>
                <w:sz w:val="18"/>
                <w:szCs w:val="18"/>
              </w:rPr>
              <w:t>≦</w:t>
            </w:r>
            <w:r>
              <w:rPr>
                <w:rFonts w:hint="eastAsia" w:ascii="仿宋_GB2312" w:hAnsi="宋体" w:eastAsia="仿宋_GB2312" w:cs="宋体"/>
                <w:kern w:val="0"/>
                <w:sz w:val="18"/>
                <w:szCs w:val="18"/>
              </w:rPr>
              <w:t>100%，计5分；每超过一个百分点扣0.5分，扣完为止。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5</w:t>
            </w:r>
          </w:p>
        </w:tc>
        <w:tc>
          <w:tcPr>
            <w:tcW w:w="108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78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“三公经费”</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变动率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“三公经费”变动率</w:t>
            </w:r>
            <w:r>
              <w:rPr>
                <w:rFonts w:hint="eastAsia" w:ascii="宋体" w:hAnsi="宋体" w:cs="宋体"/>
                <w:kern w:val="0"/>
                <w:sz w:val="18"/>
                <w:szCs w:val="18"/>
              </w:rPr>
              <w:t>≦</w:t>
            </w:r>
            <w:r>
              <w:rPr>
                <w:rFonts w:hint="eastAsia" w:ascii="仿宋_GB2312" w:hAnsi="宋体" w:eastAsia="仿宋_GB2312" w:cs="宋体"/>
                <w:kern w:val="0"/>
                <w:sz w:val="18"/>
                <w:szCs w:val="18"/>
              </w:rPr>
              <w:t>0,计5分；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“三公经费”＞0，每超过一个百分点扣0.5分，扣完为止。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5</w:t>
            </w:r>
          </w:p>
        </w:tc>
        <w:tc>
          <w:tcPr>
            <w:tcW w:w="108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737"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重点支出</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安排率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重点支出安排率≥90%，计5分；80%（含）-90%，计4分；70%（含）-80%，计3分；60%（含）-70%，计2分；低于60%不得分。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5</w:t>
            </w:r>
          </w:p>
        </w:tc>
        <w:tc>
          <w:tcPr>
            <w:tcW w:w="108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776" w:hRule="atLeast"/>
          <w:jc w:val="center"/>
        </w:trPr>
        <w:tc>
          <w:tcPr>
            <w:tcW w:w="97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过程</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（40分）</w:t>
            </w: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预算执行</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预算调整率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预算调整率=0，计3分；0-10%（含），计2分；10-20%（含），计1分；20-30%（含），计0.5分；大于30%不得分。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1039"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支付进度</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春节前下达全部专项资金的50%；6月底前所有专项资金指标全部下达完。</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每出现一个专项未按进度完成资金下达扣0.5分，扣完为止。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2</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619"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资金结余</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无结余，3分；有结余，但不超过上年结转，2分；结余超过上年结转，不得分。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2</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495"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“三公经费”</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控制率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以100%为标准。三公经费控制率</w:t>
            </w:r>
            <w:r>
              <w:rPr>
                <w:rFonts w:hint="eastAsia" w:ascii="宋体" w:hAnsi="宋体" w:cs="宋体"/>
                <w:kern w:val="0"/>
                <w:sz w:val="18"/>
                <w:szCs w:val="18"/>
              </w:rPr>
              <w:t>≦</w:t>
            </w:r>
            <w:r>
              <w:rPr>
                <w:rFonts w:hint="eastAsia" w:ascii="仿宋_GB2312" w:hAnsi="宋体" w:eastAsia="仿宋_GB2312" w:cs="宋体"/>
                <w:kern w:val="0"/>
                <w:sz w:val="18"/>
                <w:szCs w:val="18"/>
              </w:rPr>
              <w:t>100%，计6分；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每超过一个百分点扣1分，扣完为止。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6</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6</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915"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管理制度</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健全性</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①已制定或具有预算资金管理办法，内部财务管理制度、会计核算制度等管理制度，1分；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②相关管理制度合法、合规、完整，1分；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③相关管理制度得到有效执行，1分。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1802"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资金使用</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合规性</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①支出符合国家财经法规和财务管理制度规定以及有关专项资金管理办法的规定；</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②资金拨付有完整的审批程序和手续；</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③项目支出按规定经过评估论证；</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④支出符合部门预算批复的用途；</w:t>
            </w:r>
            <w:r>
              <w:rPr>
                <w:rFonts w:hint="eastAsia" w:ascii="仿宋_GB2312" w:hAnsi="宋体" w:eastAsia="仿宋_GB2312" w:cs="宋体"/>
                <w:kern w:val="0"/>
                <w:sz w:val="18"/>
                <w:szCs w:val="18"/>
              </w:rPr>
              <w:br w:type="textWrapping"/>
            </w:r>
            <w:r>
              <w:rPr>
                <w:rFonts w:hint="eastAsia" w:ascii="仿宋_GB2312" w:hAnsi="宋体" w:eastAsia="仿宋_GB2312" w:cs="宋体"/>
                <w:spacing w:val="-6"/>
                <w:kern w:val="0"/>
                <w:sz w:val="18"/>
                <w:szCs w:val="18"/>
              </w:rPr>
              <w:t>⑤资金使用无截留、挤占、挪用、虚列支出等情况。</w:t>
            </w:r>
            <w:r>
              <w:rPr>
                <w:rFonts w:hint="eastAsia" w:ascii="仿宋_GB2312" w:hAnsi="宋体" w:eastAsia="仿宋_GB2312" w:cs="宋体"/>
                <w:spacing w:val="-6"/>
                <w:kern w:val="0"/>
                <w:sz w:val="18"/>
                <w:szCs w:val="18"/>
              </w:rPr>
              <w:br w:type="textWrapping"/>
            </w:r>
            <w:r>
              <w:rPr>
                <w:rFonts w:hint="eastAsia" w:ascii="仿宋_GB2312" w:hAnsi="宋体" w:eastAsia="仿宋_GB2312" w:cs="宋体"/>
                <w:spacing w:val="-6"/>
                <w:kern w:val="0"/>
                <w:sz w:val="18"/>
                <w:szCs w:val="18"/>
              </w:rPr>
              <w:t>以上情况每出现一例不符合要求的扣1分，扣完为止。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2</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45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预决算信息公开性和完善性</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①按规定内容公开预决算信息，1分；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②按规定时限公开预决算信息，0.5分；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③基础数据信息和会计信息资料真实，0.5分；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④基础数据信息和会计信息资料完整，0.5分；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⑤基础数据信息和汇集信息资料准确，0.5分。</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57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政府采购</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执行率</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政府采购执行率等于100%的，得3分；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每减少一个百分点，扣0.2分，扣完为止。</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3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公务卡刷卡率</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公务卡刷卡率达50％以上的，得3分。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每减少一个百分点，扣0.2分，扣完为止。</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735"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（10分）</w:t>
            </w: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管理制度</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健全性</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①已制定或具有资产管理制度，且相关资产管理制度合法、合规、完整，2分；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②相关资产管理制度得到有效执行，1分。</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bl>
    <w:p/>
    <w:tbl>
      <w:tblPr>
        <w:tblStyle w:val="7"/>
        <w:tblW w:w="0" w:type="auto"/>
        <w:jc w:val="center"/>
        <w:tblLayout w:type="fixed"/>
        <w:tblCellMar>
          <w:top w:w="0" w:type="dxa"/>
          <w:left w:w="108" w:type="dxa"/>
          <w:bottom w:w="0" w:type="dxa"/>
          <w:right w:w="108" w:type="dxa"/>
        </w:tblCellMar>
      </w:tblPr>
      <w:tblGrid>
        <w:gridCol w:w="976"/>
        <w:gridCol w:w="939"/>
        <w:gridCol w:w="1389"/>
        <w:gridCol w:w="4171"/>
        <w:gridCol w:w="619"/>
        <w:gridCol w:w="720"/>
        <w:gridCol w:w="1080"/>
      </w:tblGrid>
      <w:tr>
        <w:tblPrEx>
          <w:tblCellMar>
            <w:top w:w="0" w:type="dxa"/>
            <w:left w:w="108" w:type="dxa"/>
            <w:bottom w:w="0" w:type="dxa"/>
            <w:right w:w="108" w:type="dxa"/>
          </w:tblCellMar>
        </w:tblPrEx>
        <w:trPr>
          <w:trHeight w:val="609" w:hRule="atLeast"/>
          <w:jc w:val="center"/>
        </w:trPr>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一级指标</w:t>
            </w:r>
          </w:p>
        </w:tc>
        <w:tc>
          <w:tcPr>
            <w:tcW w:w="93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二级指标</w:t>
            </w:r>
          </w:p>
        </w:tc>
        <w:tc>
          <w:tcPr>
            <w:tcW w:w="138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三级指标</w:t>
            </w:r>
          </w:p>
        </w:tc>
        <w:tc>
          <w:tcPr>
            <w:tcW w:w="417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评分标准</w:t>
            </w:r>
          </w:p>
        </w:tc>
        <w:tc>
          <w:tcPr>
            <w:tcW w:w="61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2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自评得分</w:t>
            </w:r>
          </w:p>
        </w:tc>
        <w:tc>
          <w:tcPr>
            <w:tcW w:w="108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spacing w:val="-12"/>
                <w:kern w:val="0"/>
                <w:sz w:val="18"/>
                <w:szCs w:val="18"/>
              </w:rPr>
            </w:pPr>
            <w:r>
              <w:rPr>
                <w:rFonts w:hint="eastAsia" w:ascii="仿宋_GB2312" w:hAnsi="宋体" w:eastAsia="仿宋_GB2312" w:cs="宋体"/>
                <w:b/>
                <w:bCs/>
                <w:spacing w:val="-12"/>
                <w:kern w:val="0"/>
                <w:sz w:val="18"/>
                <w:szCs w:val="18"/>
              </w:rPr>
              <w:t>扣分原因和其他说明</w:t>
            </w:r>
          </w:p>
        </w:tc>
      </w:tr>
      <w:tr>
        <w:tblPrEx>
          <w:tblCellMar>
            <w:top w:w="0" w:type="dxa"/>
            <w:left w:w="108" w:type="dxa"/>
            <w:bottom w:w="0" w:type="dxa"/>
            <w:right w:w="108" w:type="dxa"/>
          </w:tblCellMar>
        </w:tblPrEx>
        <w:trPr>
          <w:trHeight w:val="2011" w:hRule="atLeast"/>
          <w:jc w:val="center"/>
        </w:trPr>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过程</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（40分）</w:t>
            </w:r>
          </w:p>
        </w:tc>
        <w:tc>
          <w:tcPr>
            <w:tcW w:w="93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（10分）</w:t>
            </w:r>
          </w:p>
        </w:tc>
        <w:tc>
          <w:tcPr>
            <w:tcW w:w="138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安全性</w:t>
            </w:r>
          </w:p>
        </w:tc>
        <w:tc>
          <w:tcPr>
            <w:tcW w:w="417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①资产保存完整；</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②资产配置合理；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③资产处置规范；</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④资产账务管理合规，帐实相符；</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⑤资产有偿使用及处置收入及时足额上缴；</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以上情况每出现一例不符合有关要求的扣1分，扣完为止。</w:t>
            </w:r>
          </w:p>
        </w:tc>
        <w:tc>
          <w:tcPr>
            <w:tcW w:w="61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72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4</w:t>
            </w:r>
          </w:p>
        </w:tc>
        <w:tc>
          <w:tcPr>
            <w:tcW w:w="108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774"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固定资产</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利用率</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每低于100%一个百分点扣0.1分，扣完为止。</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产出（25分）</w:t>
            </w:r>
          </w:p>
        </w:tc>
        <w:tc>
          <w:tcPr>
            <w:tcW w:w="93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职责履行</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（25分）</w:t>
            </w: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推进全面小康建设指标任务完成情况</w:t>
            </w:r>
          </w:p>
        </w:tc>
        <w:tc>
          <w:tcPr>
            <w:tcW w:w="4171"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此项指标根据《中共岳阳市委岳阳市人民政府关于做好岳阳市加快推进湖南发展新增长极建设2015年度综合绩效考评工作的通知》（岳发〔2015〕11号）和《中共岳阳市委岳阳市人民政府关于做好2015年度综合绩效考评工作的补充通知》（岳发〔2015〕19号）附件2第一大项“工作实绩指标”（700分）考核内容设置。</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部门单位应根据部门实际进行调整，并将其细化成相应的个性化指标。</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建设湖南新增极目标任务完成情况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7</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7</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《政府工作报告》目标任务完成情况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8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省市重点民生实事完成情况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2</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省市重点工程和重大项目建设完成情况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2</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8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其他工作实绩指标完成情况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4</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97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效果</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（20分）</w:t>
            </w:r>
          </w:p>
        </w:tc>
        <w:tc>
          <w:tcPr>
            <w:tcW w:w="93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履职效益</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（20分）</w:t>
            </w: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经济效益</w:t>
            </w:r>
          </w:p>
        </w:tc>
        <w:tc>
          <w:tcPr>
            <w:tcW w:w="4171"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此三项指标为设置部门整体支出绩效评价指标时必须考虑的共性要素。</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部门单位应根据部门实际并结合部门整体支出绩效目标设立情况有选择的进行设置，并将其细化为相应的个性化指标。</w:t>
            </w:r>
          </w:p>
        </w:tc>
        <w:tc>
          <w:tcPr>
            <w:tcW w:w="61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15</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社会效益</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6</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生态效益</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4</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1113"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社会公众或服务对象满意度</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95%（含）以上计5分；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85%（含）-95%，计3分；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75%（含）-85%，计1分；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低于75%计0分。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70" w:hRule="atLeast"/>
          <w:jc w:val="center"/>
        </w:trPr>
        <w:tc>
          <w:tcPr>
            <w:tcW w:w="97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总分</w:t>
            </w:r>
          </w:p>
        </w:tc>
        <w:tc>
          <w:tcPr>
            <w:tcW w:w="93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c>
          <w:tcPr>
            <w:tcW w:w="417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spacing w:val="-8"/>
                <w:kern w:val="0"/>
                <w:sz w:val="18"/>
                <w:szCs w:val="18"/>
              </w:rPr>
            </w:pPr>
            <w:r>
              <w:rPr>
                <w:rFonts w:hint="eastAsia" w:ascii="仿宋_GB2312" w:hAnsi="宋体" w:eastAsia="仿宋_GB2312" w:cs="宋体"/>
                <w:b/>
                <w:bCs/>
                <w:spacing w:val="-8"/>
                <w:kern w:val="0"/>
                <w:sz w:val="18"/>
                <w:szCs w:val="18"/>
              </w:rPr>
              <w:t>100</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b/>
                <w:bCs/>
                <w:kern w:val="0"/>
                <w:sz w:val="18"/>
                <w:szCs w:val="18"/>
                <w:lang w:val="en-US" w:eastAsia="zh-CN"/>
              </w:rPr>
            </w:pPr>
            <w:r>
              <w:rPr>
                <w:rFonts w:hint="eastAsia" w:ascii="仿宋_GB2312" w:hAnsi="宋体" w:eastAsia="仿宋_GB2312" w:cs="宋体"/>
                <w:b/>
                <w:bCs/>
                <w:kern w:val="0"/>
                <w:sz w:val="18"/>
                <w:szCs w:val="18"/>
                <w:lang w:val="en-US" w:eastAsia="zh-CN"/>
              </w:rPr>
              <w:t>97</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r>
    </w:tbl>
    <w:p>
      <w:pPr>
        <w:spacing w:beforeLines="50"/>
        <w:rPr>
          <w:rFonts w:ascii="仿宋_GB2312" w:hAnsi="宋体" w:eastAsia="仿宋_GB2312" w:cs="宋体"/>
          <w:kern w:val="0"/>
          <w:szCs w:val="21"/>
        </w:rPr>
      </w:pPr>
      <w:r>
        <w:rPr>
          <w:rFonts w:hint="eastAsia" w:ascii="仿宋_GB2312" w:hAnsi="宋体" w:eastAsia="仿宋_GB2312" w:cs="宋体"/>
          <w:kern w:val="0"/>
          <w:szCs w:val="21"/>
        </w:rPr>
        <w:t>备注：如部门（单位）根据本部门实际情况修改调整了附件3《部门整体支出绩效评价指标体系（参考样表）》，须相应修改调整本表中的对应部分。</w:t>
      </w:r>
    </w:p>
    <w:p>
      <w:pPr>
        <w:spacing w:beforeLines="50" w:line="560" w:lineRule="exact"/>
        <w:rPr>
          <w:rFonts w:hint="eastAsia" w:ascii="黑体" w:hAnsi="黑体" w:eastAsia="黑体"/>
          <w:sz w:val="32"/>
          <w:szCs w:val="32"/>
        </w:rPr>
      </w:pPr>
    </w:p>
    <w:p/>
    <w:sectPr>
      <w:headerReference r:id="rId11" w:type="first"/>
      <w:footerReference r:id="rId14" w:type="first"/>
      <w:headerReference r:id="rId9" w:type="default"/>
      <w:footerReference r:id="rId12" w:type="default"/>
      <w:headerReference r:id="rId10" w:type="even"/>
      <w:footerReference r:id="rId13"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MingLiU">
    <w:panose1 w:val="02020509000000000000"/>
    <w:charset w:val="88"/>
    <w:family w:val="modern"/>
    <w:pitch w:val="default"/>
    <w:sig w:usb0="A00002FF" w:usb1="28CFFCFA" w:usb2="00000016" w:usb3="00000000" w:csb0="00100001" w:csb1="00000000"/>
  </w:font>
  <w:font w:name="方正小标宋简体">
    <w:altName w:val="方正舒体"/>
    <w:panose1 w:val="02000000000000000000"/>
    <w:charset w:val="86"/>
    <w:family w:val="auto"/>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9"/>
        <w:sz w:val="24"/>
        <w:szCs w:val="24"/>
      </w:rPr>
    </w:pPr>
    <w:r>
      <w:rPr>
        <w:rStyle w:val="9"/>
        <w:rFonts w:hint="eastAsia"/>
        <w:sz w:val="24"/>
        <w:szCs w:val="24"/>
      </w:rPr>
      <w:t>—</w:t>
    </w:r>
    <w:r>
      <w:rPr>
        <w:sz w:val="24"/>
        <w:szCs w:val="24"/>
      </w:rPr>
      <w:fldChar w:fldCharType="begin"/>
    </w:r>
    <w:r>
      <w:rPr>
        <w:rStyle w:val="9"/>
        <w:sz w:val="24"/>
        <w:szCs w:val="24"/>
      </w:rPr>
      <w:instrText xml:space="preserve">PAGE  </w:instrText>
    </w:r>
    <w:r>
      <w:rPr>
        <w:sz w:val="24"/>
        <w:szCs w:val="24"/>
      </w:rPr>
      <w:fldChar w:fldCharType="separate"/>
    </w:r>
    <w:r>
      <w:rPr>
        <w:rStyle w:val="9"/>
        <w:sz w:val="24"/>
        <w:szCs w:val="24"/>
      </w:rPr>
      <w:t>9</w:t>
    </w:r>
    <w:r>
      <w:rPr>
        <w:sz w:val="24"/>
        <w:szCs w:val="24"/>
      </w:rPr>
      <w:fldChar w:fldCharType="end"/>
    </w:r>
    <w:r>
      <w:rPr>
        <w:rStyle w:val="9"/>
        <w:rFonts w:hint="eastAsia"/>
        <w:sz w:val="24"/>
        <w:szCs w:val="24"/>
      </w:rPr>
      <w:t>—</w:t>
    </w:r>
  </w:p>
  <w:p>
    <w:pP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outside" w:y="1"/>
    </w:pPr>
    <w:r>
      <w:fldChar w:fldCharType="begin"/>
    </w:r>
    <w:r>
      <w:instrText xml:space="preserve">PAGE  </w:instrText>
    </w:r>
    <w:r>
      <w:fldChar w:fldCharType="separate"/>
    </w:r>
    <w:r>
      <w:t>-15-</w:t>
    </w:r>
    <w:r>
      <w:fldChar w:fldCharType="end"/>
    </w:r>
  </w:p>
  <w:p>
    <w:pP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6077715"/>
    <w:multiLevelType w:val="singleLevel"/>
    <w:tmpl w:val="D6077715"/>
    <w:lvl w:ilvl="0" w:tentative="0">
      <w:start w:val="2"/>
      <w:numFmt w:val="chineseCounting"/>
      <w:suff w:val="nothing"/>
      <w:lvlText w:val="（%1）"/>
      <w:lvlJc w:val="left"/>
      <w:rPr>
        <w:rFonts w:hint="eastAsia"/>
      </w:rPr>
    </w:lvl>
  </w:abstractNum>
  <w:abstractNum w:abstractNumId="1">
    <w:nsid w:val="FFFFFF7F"/>
    <w:multiLevelType w:val="singleLevel"/>
    <w:tmpl w:val="FFFFFF7F"/>
    <w:lvl w:ilvl="0" w:tentative="0">
      <w:start w:val="1"/>
      <w:numFmt w:val="decimal"/>
      <w:pStyle w:val="16"/>
      <w:lvlText w:val="%1."/>
      <w:lvlJc w:val="left"/>
      <w:pPr>
        <w:tabs>
          <w:tab w:val="left" w:pos="780"/>
        </w:tabs>
        <w:ind w:left="780" w:hanging="360"/>
      </w:pPr>
    </w:lvl>
  </w:abstractNum>
  <w:abstractNum w:abstractNumId="2">
    <w:nsid w:val="6D2F75CB"/>
    <w:multiLevelType w:val="singleLevel"/>
    <w:tmpl w:val="6D2F75CB"/>
    <w:lvl w:ilvl="0" w:tentative="0">
      <w:start w:val="2"/>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3"/>
  <w:drawingGridVerticalSpacing w:val="301"/>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YxM2IwZmE3NmViOTdkZmRlNTU4YTM5NjEyYWJkZGYifQ=="/>
  </w:docVars>
  <w:rsids>
    <w:rsidRoot w:val="00BB5306"/>
    <w:rsid w:val="00001D7D"/>
    <w:rsid w:val="00002B44"/>
    <w:rsid w:val="000058D1"/>
    <w:rsid w:val="00006387"/>
    <w:rsid w:val="0001044B"/>
    <w:rsid w:val="0001699C"/>
    <w:rsid w:val="00016D19"/>
    <w:rsid w:val="00017B32"/>
    <w:rsid w:val="00017CE5"/>
    <w:rsid w:val="00017F5B"/>
    <w:rsid w:val="0002003A"/>
    <w:rsid w:val="000269E0"/>
    <w:rsid w:val="0003152A"/>
    <w:rsid w:val="00032AC5"/>
    <w:rsid w:val="000352A8"/>
    <w:rsid w:val="000414CD"/>
    <w:rsid w:val="000471D1"/>
    <w:rsid w:val="0005025E"/>
    <w:rsid w:val="00050401"/>
    <w:rsid w:val="00050ABD"/>
    <w:rsid w:val="00051A4B"/>
    <w:rsid w:val="00052FB2"/>
    <w:rsid w:val="0005578D"/>
    <w:rsid w:val="00057E54"/>
    <w:rsid w:val="0006014D"/>
    <w:rsid w:val="00064585"/>
    <w:rsid w:val="0006597B"/>
    <w:rsid w:val="00066126"/>
    <w:rsid w:val="0006759F"/>
    <w:rsid w:val="000676EE"/>
    <w:rsid w:val="00067A1A"/>
    <w:rsid w:val="00071BA9"/>
    <w:rsid w:val="000732FC"/>
    <w:rsid w:val="0007515C"/>
    <w:rsid w:val="000755E9"/>
    <w:rsid w:val="00077DD8"/>
    <w:rsid w:val="000847C6"/>
    <w:rsid w:val="00084A6B"/>
    <w:rsid w:val="00085E11"/>
    <w:rsid w:val="0008705D"/>
    <w:rsid w:val="00094A1A"/>
    <w:rsid w:val="0009541C"/>
    <w:rsid w:val="00096A1A"/>
    <w:rsid w:val="000A1B62"/>
    <w:rsid w:val="000A1F4D"/>
    <w:rsid w:val="000A2B58"/>
    <w:rsid w:val="000A3CD5"/>
    <w:rsid w:val="000A62CB"/>
    <w:rsid w:val="000B1955"/>
    <w:rsid w:val="000B20D1"/>
    <w:rsid w:val="000B433E"/>
    <w:rsid w:val="000B4823"/>
    <w:rsid w:val="000B6B92"/>
    <w:rsid w:val="000C2BFF"/>
    <w:rsid w:val="000C3D7C"/>
    <w:rsid w:val="000D2269"/>
    <w:rsid w:val="000D2AED"/>
    <w:rsid w:val="000D38A1"/>
    <w:rsid w:val="000D5F58"/>
    <w:rsid w:val="000E06B9"/>
    <w:rsid w:val="000E08EC"/>
    <w:rsid w:val="000E1727"/>
    <w:rsid w:val="000E4939"/>
    <w:rsid w:val="000E5435"/>
    <w:rsid w:val="000E5B40"/>
    <w:rsid w:val="000F0217"/>
    <w:rsid w:val="000F083B"/>
    <w:rsid w:val="000F1727"/>
    <w:rsid w:val="000F1C29"/>
    <w:rsid w:val="000F345A"/>
    <w:rsid w:val="000F41F8"/>
    <w:rsid w:val="000F4D04"/>
    <w:rsid w:val="000F5FE0"/>
    <w:rsid w:val="000F66D4"/>
    <w:rsid w:val="000F72B2"/>
    <w:rsid w:val="001073B7"/>
    <w:rsid w:val="00112F29"/>
    <w:rsid w:val="00114E12"/>
    <w:rsid w:val="00115044"/>
    <w:rsid w:val="00115C77"/>
    <w:rsid w:val="001169AC"/>
    <w:rsid w:val="0012160F"/>
    <w:rsid w:val="00125DA1"/>
    <w:rsid w:val="0012601D"/>
    <w:rsid w:val="00131A96"/>
    <w:rsid w:val="00131F92"/>
    <w:rsid w:val="001347CC"/>
    <w:rsid w:val="001403A1"/>
    <w:rsid w:val="0014369C"/>
    <w:rsid w:val="00145559"/>
    <w:rsid w:val="00146AA7"/>
    <w:rsid w:val="001507F9"/>
    <w:rsid w:val="00150E9F"/>
    <w:rsid w:val="001515E1"/>
    <w:rsid w:val="00152C42"/>
    <w:rsid w:val="001537BA"/>
    <w:rsid w:val="001538AF"/>
    <w:rsid w:val="00155E57"/>
    <w:rsid w:val="0015664A"/>
    <w:rsid w:val="00161BD6"/>
    <w:rsid w:val="00161CAA"/>
    <w:rsid w:val="00170110"/>
    <w:rsid w:val="0017567A"/>
    <w:rsid w:val="001767DA"/>
    <w:rsid w:val="00176999"/>
    <w:rsid w:val="00177AAB"/>
    <w:rsid w:val="00177B4F"/>
    <w:rsid w:val="00180C85"/>
    <w:rsid w:val="00182471"/>
    <w:rsid w:val="0018432B"/>
    <w:rsid w:val="00184B97"/>
    <w:rsid w:val="00185ECC"/>
    <w:rsid w:val="001979FE"/>
    <w:rsid w:val="00197E5F"/>
    <w:rsid w:val="001A21AA"/>
    <w:rsid w:val="001A2732"/>
    <w:rsid w:val="001A2F0D"/>
    <w:rsid w:val="001A3B0D"/>
    <w:rsid w:val="001A66A4"/>
    <w:rsid w:val="001A7CFC"/>
    <w:rsid w:val="001B0285"/>
    <w:rsid w:val="001B15D1"/>
    <w:rsid w:val="001B19D0"/>
    <w:rsid w:val="001B34BA"/>
    <w:rsid w:val="001B70B8"/>
    <w:rsid w:val="001B7175"/>
    <w:rsid w:val="001B77FA"/>
    <w:rsid w:val="001B7D3C"/>
    <w:rsid w:val="001C015E"/>
    <w:rsid w:val="001C2413"/>
    <w:rsid w:val="001C4226"/>
    <w:rsid w:val="001C434C"/>
    <w:rsid w:val="001D02F5"/>
    <w:rsid w:val="001D1C45"/>
    <w:rsid w:val="001D41DE"/>
    <w:rsid w:val="001D6B97"/>
    <w:rsid w:val="001D781B"/>
    <w:rsid w:val="001E2EF2"/>
    <w:rsid w:val="001E55DD"/>
    <w:rsid w:val="001E5CAD"/>
    <w:rsid w:val="001E7711"/>
    <w:rsid w:val="001E7890"/>
    <w:rsid w:val="001F1534"/>
    <w:rsid w:val="001F26E0"/>
    <w:rsid w:val="001F4FB9"/>
    <w:rsid w:val="001F53D6"/>
    <w:rsid w:val="001F5EB0"/>
    <w:rsid w:val="001F6074"/>
    <w:rsid w:val="001F7BE4"/>
    <w:rsid w:val="00202878"/>
    <w:rsid w:val="00202925"/>
    <w:rsid w:val="00202C4D"/>
    <w:rsid w:val="00203959"/>
    <w:rsid w:val="00203DA5"/>
    <w:rsid w:val="0020691C"/>
    <w:rsid w:val="002079A4"/>
    <w:rsid w:val="002125D7"/>
    <w:rsid w:val="00213429"/>
    <w:rsid w:val="0021427E"/>
    <w:rsid w:val="00214659"/>
    <w:rsid w:val="00215498"/>
    <w:rsid w:val="00217512"/>
    <w:rsid w:val="00220FD4"/>
    <w:rsid w:val="0022118A"/>
    <w:rsid w:val="0022593B"/>
    <w:rsid w:val="0022649A"/>
    <w:rsid w:val="002268A6"/>
    <w:rsid w:val="00226F3D"/>
    <w:rsid w:val="00227CA0"/>
    <w:rsid w:val="00230AAD"/>
    <w:rsid w:val="00230D55"/>
    <w:rsid w:val="00231EF6"/>
    <w:rsid w:val="00233462"/>
    <w:rsid w:val="002335B2"/>
    <w:rsid w:val="00234E2D"/>
    <w:rsid w:val="0023598E"/>
    <w:rsid w:val="00235E64"/>
    <w:rsid w:val="00241479"/>
    <w:rsid w:val="00241A04"/>
    <w:rsid w:val="002434E9"/>
    <w:rsid w:val="0024403C"/>
    <w:rsid w:val="0024534C"/>
    <w:rsid w:val="00246DC8"/>
    <w:rsid w:val="00252F6F"/>
    <w:rsid w:val="0025448C"/>
    <w:rsid w:val="0025497E"/>
    <w:rsid w:val="00254FD7"/>
    <w:rsid w:val="00255504"/>
    <w:rsid w:val="00257A87"/>
    <w:rsid w:val="00263171"/>
    <w:rsid w:val="00263A4A"/>
    <w:rsid w:val="00263E7E"/>
    <w:rsid w:val="00264E50"/>
    <w:rsid w:val="002662B4"/>
    <w:rsid w:val="00267B0F"/>
    <w:rsid w:val="002719C2"/>
    <w:rsid w:val="00272C11"/>
    <w:rsid w:val="00273998"/>
    <w:rsid w:val="00274C45"/>
    <w:rsid w:val="002750DB"/>
    <w:rsid w:val="00281FBC"/>
    <w:rsid w:val="002825A0"/>
    <w:rsid w:val="00283D80"/>
    <w:rsid w:val="00290A4B"/>
    <w:rsid w:val="00293D68"/>
    <w:rsid w:val="002943DC"/>
    <w:rsid w:val="002969D9"/>
    <w:rsid w:val="0029749C"/>
    <w:rsid w:val="00297F2C"/>
    <w:rsid w:val="002A0EFD"/>
    <w:rsid w:val="002A1763"/>
    <w:rsid w:val="002A4163"/>
    <w:rsid w:val="002A4861"/>
    <w:rsid w:val="002A66DA"/>
    <w:rsid w:val="002A67B1"/>
    <w:rsid w:val="002A763D"/>
    <w:rsid w:val="002A79AA"/>
    <w:rsid w:val="002B2428"/>
    <w:rsid w:val="002B35A2"/>
    <w:rsid w:val="002B5B9D"/>
    <w:rsid w:val="002C0F44"/>
    <w:rsid w:val="002C1CC0"/>
    <w:rsid w:val="002C26F7"/>
    <w:rsid w:val="002D012B"/>
    <w:rsid w:val="002D0C45"/>
    <w:rsid w:val="002D196C"/>
    <w:rsid w:val="002D257D"/>
    <w:rsid w:val="002D4C75"/>
    <w:rsid w:val="002D7A7D"/>
    <w:rsid w:val="002E172A"/>
    <w:rsid w:val="002E4165"/>
    <w:rsid w:val="002E5BB6"/>
    <w:rsid w:val="002E5BF7"/>
    <w:rsid w:val="002E5EEA"/>
    <w:rsid w:val="002F1297"/>
    <w:rsid w:val="002F2089"/>
    <w:rsid w:val="002F4CEA"/>
    <w:rsid w:val="002F50F8"/>
    <w:rsid w:val="002F7533"/>
    <w:rsid w:val="002F7976"/>
    <w:rsid w:val="00300EFF"/>
    <w:rsid w:val="00305368"/>
    <w:rsid w:val="00305F50"/>
    <w:rsid w:val="00306F74"/>
    <w:rsid w:val="003104D2"/>
    <w:rsid w:val="00310D79"/>
    <w:rsid w:val="00311FCA"/>
    <w:rsid w:val="0031241D"/>
    <w:rsid w:val="00314362"/>
    <w:rsid w:val="00314E51"/>
    <w:rsid w:val="0031624E"/>
    <w:rsid w:val="00321818"/>
    <w:rsid w:val="00322908"/>
    <w:rsid w:val="00323587"/>
    <w:rsid w:val="00324C6F"/>
    <w:rsid w:val="003276EA"/>
    <w:rsid w:val="0033143D"/>
    <w:rsid w:val="00341977"/>
    <w:rsid w:val="00341EF7"/>
    <w:rsid w:val="00342F27"/>
    <w:rsid w:val="00343E6F"/>
    <w:rsid w:val="003543F8"/>
    <w:rsid w:val="003553B0"/>
    <w:rsid w:val="00356327"/>
    <w:rsid w:val="00356FB0"/>
    <w:rsid w:val="00364501"/>
    <w:rsid w:val="0036595A"/>
    <w:rsid w:val="0036651C"/>
    <w:rsid w:val="00371EDA"/>
    <w:rsid w:val="00373F8F"/>
    <w:rsid w:val="00375281"/>
    <w:rsid w:val="003757C5"/>
    <w:rsid w:val="00381DB2"/>
    <w:rsid w:val="0038399C"/>
    <w:rsid w:val="00385A6B"/>
    <w:rsid w:val="003865EB"/>
    <w:rsid w:val="003869A3"/>
    <w:rsid w:val="00387C03"/>
    <w:rsid w:val="00395C64"/>
    <w:rsid w:val="003960D7"/>
    <w:rsid w:val="003977CF"/>
    <w:rsid w:val="00397B9F"/>
    <w:rsid w:val="003A33EE"/>
    <w:rsid w:val="003A500F"/>
    <w:rsid w:val="003B22B9"/>
    <w:rsid w:val="003B255B"/>
    <w:rsid w:val="003B26E5"/>
    <w:rsid w:val="003B44C0"/>
    <w:rsid w:val="003B4B79"/>
    <w:rsid w:val="003B5458"/>
    <w:rsid w:val="003C1E98"/>
    <w:rsid w:val="003C2D84"/>
    <w:rsid w:val="003C2FD9"/>
    <w:rsid w:val="003C33CA"/>
    <w:rsid w:val="003C6CEB"/>
    <w:rsid w:val="003D1614"/>
    <w:rsid w:val="003D3670"/>
    <w:rsid w:val="003D43DB"/>
    <w:rsid w:val="003E0D5E"/>
    <w:rsid w:val="003E0F73"/>
    <w:rsid w:val="003E1DEE"/>
    <w:rsid w:val="003E3E09"/>
    <w:rsid w:val="003E46FE"/>
    <w:rsid w:val="003E6574"/>
    <w:rsid w:val="003F0CFE"/>
    <w:rsid w:val="003F11AA"/>
    <w:rsid w:val="003F272B"/>
    <w:rsid w:val="003F366A"/>
    <w:rsid w:val="003F4DA3"/>
    <w:rsid w:val="003F4ECC"/>
    <w:rsid w:val="003F5664"/>
    <w:rsid w:val="003F58DB"/>
    <w:rsid w:val="003F7910"/>
    <w:rsid w:val="003F7B27"/>
    <w:rsid w:val="003F7C23"/>
    <w:rsid w:val="003F7EFE"/>
    <w:rsid w:val="0040338F"/>
    <w:rsid w:val="00404403"/>
    <w:rsid w:val="0040744E"/>
    <w:rsid w:val="0041059D"/>
    <w:rsid w:val="004130C6"/>
    <w:rsid w:val="00414157"/>
    <w:rsid w:val="004202FA"/>
    <w:rsid w:val="00421DA8"/>
    <w:rsid w:val="004228A6"/>
    <w:rsid w:val="00426064"/>
    <w:rsid w:val="00430BBA"/>
    <w:rsid w:val="00435246"/>
    <w:rsid w:val="004424B0"/>
    <w:rsid w:val="00442DE9"/>
    <w:rsid w:val="00444828"/>
    <w:rsid w:val="00445F24"/>
    <w:rsid w:val="00452882"/>
    <w:rsid w:val="00455285"/>
    <w:rsid w:val="0045592D"/>
    <w:rsid w:val="00455EAF"/>
    <w:rsid w:val="00457154"/>
    <w:rsid w:val="00457553"/>
    <w:rsid w:val="00464364"/>
    <w:rsid w:val="004657EF"/>
    <w:rsid w:val="00465B2A"/>
    <w:rsid w:val="00467841"/>
    <w:rsid w:val="004741D7"/>
    <w:rsid w:val="00475E98"/>
    <w:rsid w:val="00480F04"/>
    <w:rsid w:val="00483309"/>
    <w:rsid w:val="0048529F"/>
    <w:rsid w:val="00487D33"/>
    <w:rsid w:val="00493027"/>
    <w:rsid w:val="004A05F6"/>
    <w:rsid w:val="004A15B0"/>
    <w:rsid w:val="004A2403"/>
    <w:rsid w:val="004A2DE4"/>
    <w:rsid w:val="004A5919"/>
    <w:rsid w:val="004A622D"/>
    <w:rsid w:val="004B073B"/>
    <w:rsid w:val="004B11C5"/>
    <w:rsid w:val="004B24ED"/>
    <w:rsid w:val="004B35F6"/>
    <w:rsid w:val="004B3FA1"/>
    <w:rsid w:val="004B7222"/>
    <w:rsid w:val="004C3B11"/>
    <w:rsid w:val="004C4724"/>
    <w:rsid w:val="004C532B"/>
    <w:rsid w:val="004C55A2"/>
    <w:rsid w:val="004C5D63"/>
    <w:rsid w:val="004C669C"/>
    <w:rsid w:val="004C6CBF"/>
    <w:rsid w:val="004D0306"/>
    <w:rsid w:val="004D0B47"/>
    <w:rsid w:val="004D0B9D"/>
    <w:rsid w:val="004D0EEF"/>
    <w:rsid w:val="004D3B49"/>
    <w:rsid w:val="004D4E78"/>
    <w:rsid w:val="004D5D9D"/>
    <w:rsid w:val="004D604E"/>
    <w:rsid w:val="004E010C"/>
    <w:rsid w:val="004E0D88"/>
    <w:rsid w:val="004F14C0"/>
    <w:rsid w:val="004F274C"/>
    <w:rsid w:val="004F2A04"/>
    <w:rsid w:val="004F3C76"/>
    <w:rsid w:val="004F4D46"/>
    <w:rsid w:val="004F6DF6"/>
    <w:rsid w:val="004F74FB"/>
    <w:rsid w:val="005009DA"/>
    <w:rsid w:val="00505358"/>
    <w:rsid w:val="005103FC"/>
    <w:rsid w:val="0051214D"/>
    <w:rsid w:val="005135F8"/>
    <w:rsid w:val="00520740"/>
    <w:rsid w:val="005224E5"/>
    <w:rsid w:val="00527DA0"/>
    <w:rsid w:val="005303A5"/>
    <w:rsid w:val="005307D8"/>
    <w:rsid w:val="00530C26"/>
    <w:rsid w:val="00530E24"/>
    <w:rsid w:val="005311DA"/>
    <w:rsid w:val="005320FC"/>
    <w:rsid w:val="00532ACB"/>
    <w:rsid w:val="00532F66"/>
    <w:rsid w:val="00534324"/>
    <w:rsid w:val="00535BEC"/>
    <w:rsid w:val="00536704"/>
    <w:rsid w:val="00540C9D"/>
    <w:rsid w:val="0054794C"/>
    <w:rsid w:val="005530D1"/>
    <w:rsid w:val="00556947"/>
    <w:rsid w:val="00560634"/>
    <w:rsid w:val="00560DAC"/>
    <w:rsid w:val="00560E4D"/>
    <w:rsid w:val="00565206"/>
    <w:rsid w:val="00571596"/>
    <w:rsid w:val="005761BC"/>
    <w:rsid w:val="0058157B"/>
    <w:rsid w:val="00585469"/>
    <w:rsid w:val="0058594A"/>
    <w:rsid w:val="00586143"/>
    <w:rsid w:val="005862BF"/>
    <w:rsid w:val="005929C4"/>
    <w:rsid w:val="00592A3A"/>
    <w:rsid w:val="005954E8"/>
    <w:rsid w:val="00596CC9"/>
    <w:rsid w:val="00597608"/>
    <w:rsid w:val="00597E90"/>
    <w:rsid w:val="005A1488"/>
    <w:rsid w:val="005A397F"/>
    <w:rsid w:val="005A4C92"/>
    <w:rsid w:val="005B0661"/>
    <w:rsid w:val="005B134D"/>
    <w:rsid w:val="005B515D"/>
    <w:rsid w:val="005B64C0"/>
    <w:rsid w:val="005C06C1"/>
    <w:rsid w:val="005C43DA"/>
    <w:rsid w:val="005C4EAD"/>
    <w:rsid w:val="005C5770"/>
    <w:rsid w:val="005C5E91"/>
    <w:rsid w:val="005D007E"/>
    <w:rsid w:val="005D04C8"/>
    <w:rsid w:val="005D4478"/>
    <w:rsid w:val="005D4A22"/>
    <w:rsid w:val="005D4CA4"/>
    <w:rsid w:val="005D5245"/>
    <w:rsid w:val="005D6D49"/>
    <w:rsid w:val="005D7087"/>
    <w:rsid w:val="005D765E"/>
    <w:rsid w:val="005E007B"/>
    <w:rsid w:val="005E0340"/>
    <w:rsid w:val="005E05F5"/>
    <w:rsid w:val="005E06BD"/>
    <w:rsid w:val="005E1CD1"/>
    <w:rsid w:val="005E2F06"/>
    <w:rsid w:val="005E38C4"/>
    <w:rsid w:val="005E44BD"/>
    <w:rsid w:val="005E4D75"/>
    <w:rsid w:val="005E59B8"/>
    <w:rsid w:val="005F11DF"/>
    <w:rsid w:val="005F18A6"/>
    <w:rsid w:val="005F1DAE"/>
    <w:rsid w:val="005F43C0"/>
    <w:rsid w:val="005F4703"/>
    <w:rsid w:val="005F6F5B"/>
    <w:rsid w:val="005F7A92"/>
    <w:rsid w:val="00603DB7"/>
    <w:rsid w:val="006045FB"/>
    <w:rsid w:val="006124FB"/>
    <w:rsid w:val="00612F8A"/>
    <w:rsid w:val="00612FB0"/>
    <w:rsid w:val="006178E0"/>
    <w:rsid w:val="0062051F"/>
    <w:rsid w:val="0062077E"/>
    <w:rsid w:val="00620A34"/>
    <w:rsid w:val="00621618"/>
    <w:rsid w:val="00623F5A"/>
    <w:rsid w:val="006249CC"/>
    <w:rsid w:val="006260D7"/>
    <w:rsid w:val="0063153E"/>
    <w:rsid w:val="00632761"/>
    <w:rsid w:val="00632D23"/>
    <w:rsid w:val="006426C9"/>
    <w:rsid w:val="006446A7"/>
    <w:rsid w:val="00646E20"/>
    <w:rsid w:val="00652B4E"/>
    <w:rsid w:val="00653E56"/>
    <w:rsid w:val="00655303"/>
    <w:rsid w:val="006608B5"/>
    <w:rsid w:val="006611AB"/>
    <w:rsid w:val="006630AF"/>
    <w:rsid w:val="00665073"/>
    <w:rsid w:val="00667221"/>
    <w:rsid w:val="006715F3"/>
    <w:rsid w:val="00671BD6"/>
    <w:rsid w:val="006737F0"/>
    <w:rsid w:val="00673EB3"/>
    <w:rsid w:val="00674208"/>
    <w:rsid w:val="00675EC8"/>
    <w:rsid w:val="00676B17"/>
    <w:rsid w:val="0067724B"/>
    <w:rsid w:val="00677514"/>
    <w:rsid w:val="00681610"/>
    <w:rsid w:val="00681EBB"/>
    <w:rsid w:val="006902DF"/>
    <w:rsid w:val="006903A8"/>
    <w:rsid w:val="0069079F"/>
    <w:rsid w:val="00691009"/>
    <w:rsid w:val="00697134"/>
    <w:rsid w:val="006A12EF"/>
    <w:rsid w:val="006A16B0"/>
    <w:rsid w:val="006A3BA9"/>
    <w:rsid w:val="006A4A94"/>
    <w:rsid w:val="006A5D87"/>
    <w:rsid w:val="006A5F04"/>
    <w:rsid w:val="006B2A3D"/>
    <w:rsid w:val="006B7806"/>
    <w:rsid w:val="006C0390"/>
    <w:rsid w:val="006C1FC4"/>
    <w:rsid w:val="006C28ED"/>
    <w:rsid w:val="006C35BF"/>
    <w:rsid w:val="006C49D8"/>
    <w:rsid w:val="006C646C"/>
    <w:rsid w:val="006D05A2"/>
    <w:rsid w:val="006D30B1"/>
    <w:rsid w:val="006D384A"/>
    <w:rsid w:val="006D6579"/>
    <w:rsid w:val="006E09A9"/>
    <w:rsid w:val="006E2301"/>
    <w:rsid w:val="006E23D9"/>
    <w:rsid w:val="006E2B71"/>
    <w:rsid w:val="006E2C64"/>
    <w:rsid w:val="006E62B6"/>
    <w:rsid w:val="006E6B11"/>
    <w:rsid w:val="006F0DEB"/>
    <w:rsid w:val="006F31FA"/>
    <w:rsid w:val="006F4251"/>
    <w:rsid w:val="006F503E"/>
    <w:rsid w:val="006F6464"/>
    <w:rsid w:val="006F76F4"/>
    <w:rsid w:val="006F7D2F"/>
    <w:rsid w:val="0070421D"/>
    <w:rsid w:val="0070445F"/>
    <w:rsid w:val="00705509"/>
    <w:rsid w:val="00707C81"/>
    <w:rsid w:val="00707D23"/>
    <w:rsid w:val="007110FB"/>
    <w:rsid w:val="007128A0"/>
    <w:rsid w:val="0071517A"/>
    <w:rsid w:val="00723F49"/>
    <w:rsid w:val="00725B5C"/>
    <w:rsid w:val="00732F18"/>
    <w:rsid w:val="00736A3F"/>
    <w:rsid w:val="00741B0F"/>
    <w:rsid w:val="007425CD"/>
    <w:rsid w:val="00742925"/>
    <w:rsid w:val="007464F7"/>
    <w:rsid w:val="0074697C"/>
    <w:rsid w:val="00751CAE"/>
    <w:rsid w:val="00754AE6"/>
    <w:rsid w:val="00757171"/>
    <w:rsid w:val="00763B43"/>
    <w:rsid w:val="00764956"/>
    <w:rsid w:val="00764D92"/>
    <w:rsid w:val="007657F5"/>
    <w:rsid w:val="00765C74"/>
    <w:rsid w:val="00766C08"/>
    <w:rsid w:val="00766F3A"/>
    <w:rsid w:val="00770C15"/>
    <w:rsid w:val="0077174A"/>
    <w:rsid w:val="007749BE"/>
    <w:rsid w:val="00777FF5"/>
    <w:rsid w:val="007848D7"/>
    <w:rsid w:val="00787416"/>
    <w:rsid w:val="00790480"/>
    <w:rsid w:val="00791532"/>
    <w:rsid w:val="007916A4"/>
    <w:rsid w:val="00794023"/>
    <w:rsid w:val="0079766E"/>
    <w:rsid w:val="007A10EC"/>
    <w:rsid w:val="007A29E2"/>
    <w:rsid w:val="007A3188"/>
    <w:rsid w:val="007A5A03"/>
    <w:rsid w:val="007A6B3C"/>
    <w:rsid w:val="007B089E"/>
    <w:rsid w:val="007C1182"/>
    <w:rsid w:val="007C17C4"/>
    <w:rsid w:val="007C32CB"/>
    <w:rsid w:val="007C37DB"/>
    <w:rsid w:val="007C4288"/>
    <w:rsid w:val="007C488F"/>
    <w:rsid w:val="007C581F"/>
    <w:rsid w:val="007D0E60"/>
    <w:rsid w:val="007D149B"/>
    <w:rsid w:val="007D2D82"/>
    <w:rsid w:val="007D2E62"/>
    <w:rsid w:val="007D6A2D"/>
    <w:rsid w:val="007D6DF8"/>
    <w:rsid w:val="007E0262"/>
    <w:rsid w:val="007E0A1F"/>
    <w:rsid w:val="007E583B"/>
    <w:rsid w:val="007E5C08"/>
    <w:rsid w:val="007F068E"/>
    <w:rsid w:val="007F08C7"/>
    <w:rsid w:val="007F2BE9"/>
    <w:rsid w:val="007F3A95"/>
    <w:rsid w:val="007F4269"/>
    <w:rsid w:val="007F4498"/>
    <w:rsid w:val="007F4880"/>
    <w:rsid w:val="007F76E8"/>
    <w:rsid w:val="00800186"/>
    <w:rsid w:val="00801857"/>
    <w:rsid w:val="0080259C"/>
    <w:rsid w:val="00803357"/>
    <w:rsid w:val="008071D4"/>
    <w:rsid w:val="008076D1"/>
    <w:rsid w:val="00812C9A"/>
    <w:rsid w:val="008148B7"/>
    <w:rsid w:val="00815E3B"/>
    <w:rsid w:val="008162B4"/>
    <w:rsid w:val="008172DC"/>
    <w:rsid w:val="00817FB7"/>
    <w:rsid w:val="008228CB"/>
    <w:rsid w:val="00823B8A"/>
    <w:rsid w:val="008256F2"/>
    <w:rsid w:val="00825D5B"/>
    <w:rsid w:val="00826475"/>
    <w:rsid w:val="00832833"/>
    <w:rsid w:val="008328AA"/>
    <w:rsid w:val="00837C17"/>
    <w:rsid w:val="00841862"/>
    <w:rsid w:val="00843511"/>
    <w:rsid w:val="008437FF"/>
    <w:rsid w:val="00846061"/>
    <w:rsid w:val="0084634E"/>
    <w:rsid w:val="0085215E"/>
    <w:rsid w:val="00852DC9"/>
    <w:rsid w:val="00853450"/>
    <w:rsid w:val="008537B7"/>
    <w:rsid w:val="00853B36"/>
    <w:rsid w:val="00854473"/>
    <w:rsid w:val="0086075A"/>
    <w:rsid w:val="008620D0"/>
    <w:rsid w:val="0086381F"/>
    <w:rsid w:val="00863984"/>
    <w:rsid w:val="0086557B"/>
    <w:rsid w:val="00865BD7"/>
    <w:rsid w:val="00865F4A"/>
    <w:rsid w:val="00870FD0"/>
    <w:rsid w:val="00872033"/>
    <w:rsid w:val="0087306C"/>
    <w:rsid w:val="008761D0"/>
    <w:rsid w:val="00876D44"/>
    <w:rsid w:val="00880428"/>
    <w:rsid w:val="008809FE"/>
    <w:rsid w:val="00880B6B"/>
    <w:rsid w:val="00882E96"/>
    <w:rsid w:val="00884E1A"/>
    <w:rsid w:val="008865FC"/>
    <w:rsid w:val="00890E92"/>
    <w:rsid w:val="00893D57"/>
    <w:rsid w:val="008955DC"/>
    <w:rsid w:val="00897FBF"/>
    <w:rsid w:val="008A0946"/>
    <w:rsid w:val="008A1DFB"/>
    <w:rsid w:val="008A37EF"/>
    <w:rsid w:val="008A3D61"/>
    <w:rsid w:val="008A4D06"/>
    <w:rsid w:val="008A545F"/>
    <w:rsid w:val="008A5AD3"/>
    <w:rsid w:val="008A6C14"/>
    <w:rsid w:val="008A785B"/>
    <w:rsid w:val="008B307E"/>
    <w:rsid w:val="008B3890"/>
    <w:rsid w:val="008B607B"/>
    <w:rsid w:val="008B7839"/>
    <w:rsid w:val="008C0026"/>
    <w:rsid w:val="008C1923"/>
    <w:rsid w:val="008C248C"/>
    <w:rsid w:val="008C6C53"/>
    <w:rsid w:val="008D106C"/>
    <w:rsid w:val="008D3A00"/>
    <w:rsid w:val="008D3DEB"/>
    <w:rsid w:val="008D4395"/>
    <w:rsid w:val="008D5085"/>
    <w:rsid w:val="008E0410"/>
    <w:rsid w:val="008E2BC7"/>
    <w:rsid w:val="008E3748"/>
    <w:rsid w:val="008E452C"/>
    <w:rsid w:val="008E6AA0"/>
    <w:rsid w:val="008F0863"/>
    <w:rsid w:val="008F0CAD"/>
    <w:rsid w:val="008F1DDF"/>
    <w:rsid w:val="008F1DF7"/>
    <w:rsid w:val="008F369A"/>
    <w:rsid w:val="008F5307"/>
    <w:rsid w:val="0090513D"/>
    <w:rsid w:val="009058A2"/>
    <w:rsid w:val="00911CE1"/>
    <w:rsid w:val="0092164C"/>
    <w:rsid w:val="0092366F"/>
    <w:rsid w:val="0092392B"/>
    <w:rsid w:val="00926C98"/>
    <w:rsid w:val="0093062A"/>
    <w:rsid w:val="0093298A"/>
    <w:rsid w:val="009364C1"/>
    <w:rsid w:val="00941AAB"/>
    <w:rsid w:val="00947481"/>
    <w:rsid w:val="0095061F"/>
    <w:rsid w:val="00950E5E"/>
    <w:rsid w:val="00951AC4"/>
    <w:rsid w:val="00951E00"/>
    <w:rsid w:val="00953D31"/>
    <w:rsid w:val="00954B1E"/>
    <w:rsid w:val="0095546E"/>
    <w:rsid w:val="00956669"/>
    <w:rsid w:val="00964E18"/>
    <w:rsid w:val="00967BF7"/>
    <w:rsid w:val="00972A72"/>
    <w:rsid w:val="00972CF9"/>
    <w:rsid w:val="009743C3"/>
    <w:rsid w:val="00977540"/>
    <w:rsid w:val="00977FB8"/>
    <w:rsid w:val="009808FA"/>
    <w:rsid w:val="00981489"/>
    <w:rsid w:val="009838CF"/>
    <w:rsid w:val="00983A3A"/>
    <w:rsid w:val="00983E70"/>
    <w:rsid w:val="00983F9B"/>
    <w:rsid w:val="00985F39"/>
    <w:rsid w:val="0098614B"/>
    <w:rsid w:val="00994650"/>
    <w:rsid w:val="009954D4"/>
    <w:rsid w:val="00997645"/>
    <w:rsid w:val="009A0D12"/>
    <w:rsid w:val="009A1F96"/>
    <w:rsid w:val="009A69A7"/>
    <w:rsid w:val="009A716C"/>
    <w:rsid w:val="009B0DF3"/>
    <w:rsid w:val="009B1039"/>
    <w:rsid w:val="009B1E67"/>
    <w:rsid w:val="009B2EEC"/>
    <w:rsid w:val="009B2F9A"/>
    <w:rsid w:val="009B3259"/>
    <w:rsid w:val="009B5BF6"/>
    <w:rsid w:val="009B6E0D"/>
    <w:rsid w:val="009C1EEB"/>
    <w:rsid w:val="009C24F2"/>
    <w:rsid w:val="009C2AF7"/>
    <w:rsid w:val="009C409F"/>
    <w:rsid w:val="009C5A5E"/>
    <w:rsid w:val="009C617F"/>
    <w:rsid w:val="009D18F0"/>
    <w:rsid w:val="009D2D29"/>
    <w:rsid w:val="009D330E"/>
    <w:rsid w:val="009D4A1F"/>
    <w:rsid w:val="009D5457"/>
    <w:rsid w:val="009D56A4"/>
    <w:rsid w:val="009D621D"/>
    <w:rsid w:val="009D7804"/>
    <w:rsid w:val="009D792C"/>
    <w:rsid w:val="009E56C9"/>
    <w:rsid w:val="009E780B"/>
    <w:rsid w:val="009F02C1"/>
    <w:rsid w:val="009F2416"/>
    <w:rsid w:val="009F2433"/>
    <w:rsid w:val="009F5799"/>
    <w:rsid w:val="00A008D1"/>
    <w:rsid w:val="00A01289"/>
    <w:rsid w:val="00A014F6"/>
    <w:rsid w:val="00A02A02"/>
    <w:rsid w:val="00A03E61"/>
    <w:rsid w:val="00A062A9"/>
    <w:rsid w:val="00A114D9"/>
    <w:rsid w:val="00A12317"/>
    <w:rsid w:val="00A14318"/>
    <w:rsid w:val="00A14376"/>
    <w:rsid w:val="00A24937"/>
    <w:rsid w:val="00A25015"/>
    <w:rsid w:val="00A256CB"/>
    <w:rsid w:val="00A26B82"/>
    <w:rsid w:val="00A27BEB"/>
    <w:rsid w:val="00A30DAC"/>
    <w:rsid w:val="00A3281C"/>
    <w:rsid w:val="00A329EC"/>
    <w:rsid w:val="00A348FD"/>
    <w:rsid w:val="00A34BC9"/>
    <w:rsid w:val="00A35550"/>
    <w:rsid w:val="00A36965"/>
    <w:rsid w:val="00A36B60"/>
    <w:rsid w:val="00A40079"/>
    <w:rsid w:val="00A416C4"/>
    <w:rsid w:val="00A43818"/>
    <w:rsid w:val="00A43933"/>
    <w:rsid w:val="00A439A9"/>
    <w:rsid w:val="00A45EED"/>
    <w:rsid w:val="00A469DF"/>
    <w:rsid w:val="00A51282"/>
    <w:rsid w:val="00A51FE7"/>
    <w:rsid w:val="00A52BFC"/>
    <w:rsid w:val="00A53520"/>
    <w:rsid w:val="00A548F8"/>
    <w:rsid w:val="00A54DE0"/>
    <w:rsid w:val="00A600AE"/>
    <w:rsid w:val="00A611B1"/>
    <w:rsid w:val="00A61A4C"/>
    <w:rsid w:val="00A61D98"/>
    <w:rsid w:val="00A62677"/>
    <w:rsid w:val="00A6405F"/>
    <w:rsid w:val="00A66342"/>
    <w:rsid w:val="00A71017"/>
    <w:rsid w:val="00A71859"/>
    <w:rsid w:val="00A74CE7"/>
    <w:rsid w:val="00A76A54"/>
    <w:rsid w:val="00A77408"/>
    <w:rsid w:val="00A8029A"/>
    <w:rsid w:val="00A80F53"/>
    <w:rsid w:val="00A90CE9"/>
    <w:rsid w:val="00A91970"/>
    <w:rsid w:val="00A941D3"/>
    <w:rsid w:val="00A9494B"/>
    <w:rsid w:val="00A96951"/>
    <w:rsid w:val="00A97FF9"/>
    <w:rsid w:val="00AA0A0B"/>
    <w:rsid w:val="00AA0F98"/>
    <w:rsid w:val="00AA150E"/>
    <w:rsid w:val="00AA1CB7"/>
    <w:rsid w:val="00AA1FCE"/>
    <w:rsid w:val="00AA32E7"/>
    <w:rsid w:val="00AA6299"/>
    <w:rsid w:val="00AA73FF"/>
    <w:rsid w:val="00AA7B72"/>
    <w:rsid w:val="00AB0F8F"/>
    <w:rsid w:val="00AB1926"/>
    <w:rsid w:val="00AB1B89"/>
    <w:rsid w:val="00AB228E"/>
    <w:rsid w:val="00AB244D"/>
    <w:rsid w:val="00AB32BB"/>
    <w:rsid w:val="00AB7205"/>
    <w:rsid w:val="00AB7C34"/>
    <w:rsid w:val="00AC20F0"/>
    <w:rsid w:val="00AC2884"/>
    <w:rsid w:val="00AC2AE6"/>
    <w:rsid w:val="00AC3C3A"/>
    <w:rsid w:val="00AC5C95"/>
    <w:rsid w:val="00AC5F8C"/>
    <w:rsid w:val="00AC68A9"/>
    <w:rsid w:val="00AD33F1"/>
    <w:rsid w:val="00AD77F0"/>
    <w:rsid w:val="00AE0986"/>
    <w:rsid w:val="00AE29E9"/>
    <w:rsid w:val="00AE391E"/>
    <w:rsid w:val="00AE552E"/>
    <w:rsid w:val="00AE68C4"/>
    <w:rsid w:val="00AF099A"/>
    <w:rsid w:val="00AF36B8"/>
    <w:rsid w:val="00AF3708"/>
    <w:rsid w:val="00AF65B7"/>
    <w:rsid w:val="00B0223F"/>
    <w:rsid w:val="00B05877"/>
    <w:rsid w:val="00B05EA2"/>
    <w:rsid w:val="00B07149"/>
    <w:rsid w:val="00B10D53"/>
    <w:rsid w:val="00B11056"/>
    <w:rsid w:val="00B112C3"/>
    <w:rsid w:val="00B11C82"/>
    <w:rsid w:val="00B12E4C"/>
    <w:rsid w:val="00B130EE"/>
    <w:rsid w:val="00B146B2"/>
    <w:rsid w:val="00B16BAB"/>
    <w:rsid w:val="00B17FCC"/>
    <w:rsid w:val="00B2041C"/>
    <w:rsid w:val="00B21FDE"/>
    <w:rsid w:val="00B22513"/>
    <w:rsid w:val="00B22C19"/>
    <w:rsid w:val="00B24491"/>
    <w:rsid w:val="00B255F9"/>
    <w:rsid w:val="00B26163"/>
    <w:rsid w:val="00B26904"/>
    <w:rsid w:val="00B2743A"/>
    <w:rsid w:val="00B27E3E"/>
    <w:rsid w:val="00B3092F"/>
    <w:rsid w:val="00B30E53"/>
    <w:rsid w:val="00B32CAF"/>
    <w:rsid w:val="00B40D1C"/>
    <w:rsid w:val="00B45DDA"/>
    <w:rsid w:val="00B47F8B"/>
    <w:rsid w:val="00B52C4D"/>
    <w:rsid w:val="00B53165"/>
    <w:rsid w:val="00B5611D"/>
    <w:rsid w:val="00B6150D"/>
    <w:rsid w:val="00B64A2E"/>
    <w:rsid w:val="00B65C9F"/>
    <w:rsid w:val="00B66199"/>
    <w:rsid w:val="00B67BA3"/>
    <w:rsid w:val="00B67CEC"/>
    <w:rsid w:val="00B67F73"/>
    <w:rsid w:val="00B73F44"/>
    <w:rsid w:val="00B73F4F"/>
    <w:rsid w:val="00B80ABA"/>
    <w:rsid w:val="00B837F5"/>
    <w:rsid w:val="00B86012"/>
    <w:rsid w:val="00B860D1"/>
    <w:rsid w:val="00B866D5"/>
    <w:rsid w:val="00B86D03"/>
    <w:rsid w:val="00B86D8C"/>
    <w:rsid w:val="00B92319"/>
    <w:rsid w:val="00B94D43"/>
    <w:rsid w:val="00B95B70"/>
    <w:rsid w:val="00B95C8D"/>
    <w:rsid w:val="00BA1B08"/>
    <w:rsid w:val="00BA1B51"/>
    <w:rsid w:val="00BA593B"/>
    <w:rsid w:val="00BA7952"/>
    <w:rsid w:val="00BB0914"/>
    <w:rsid w:val="00BB4BC9"/>
    <w:rsid w:val="00BB5306"/>
    <w:rsid w:val="00BB5618"/>
    <w:rsid w:val="00BB759B"/>
    <w:rsid w:val="00BB7FAC"/>
    <w:rsid w:val="00BC4FE3"/>
    <w:rsid w:val="00BD0EED"/>
    <w:rsid w:val="00BD1506"/>
    <w:rsid w:val="00BD1D1D"/>
    <w:rsid w:val="00BD3A4E"/>
    <w:rsid w:val="00BD3DAD"/>
    <w:rsid w:val="00BD48F3"/>
    <w:rsid w:val="00BD4B98"/>
    <w:rsid w:val="00BD53DF"/>
    <w:rsid w:val="00BD640A"/>
    <w:rsid w:val="00BD6893"/>
    <w:rsid w:val="00BE0431"/>
    <w:rsid w:val="00BE118E"/>
    <w:rsid w:val="00BE146B"/>
    <w:rsid w:val="00BE15FE"/>
    <w:rsid w:val="00BE2D83"/>
    <w:rsid w:val="00BF0854"/>
    <w:rsid w:val="00BF44F5"/>
    <w:rsid w:val="00BF63AE"/>
    <w:rsid w:val="00C01F4A"/>
    <w:rsid w:val="00C026C3"/>
    <w:rsid w:val="00C03B0B"/>
    <w:rsid w:val="00C06152"/>
    <w:rsid w:val="00C0747D"/>
    <w:rsid w:val="00C075AF"/>
    <w:rsid w:val="00C077A7"/>
    <w:rsid w:val="00C078E8"/>
    <w:rsid w:val="00C10374"/>
    <w:rsid w:val="00C109D7"/>
    <w:rsid w:val="00C1100C"/>
    <w:rsid w:val="00C1152B"/>
    <w:rsid w:val="00C140D4"/>
    <w:rsid w:val="00C2241C"/>
    <w:rsid w:val="00C22445"/>
    <w:rsid w:val="00C22F5B"/>
    <w:rsid w:val="00C23D42"/>
    <w:rsid w:val="00C26440"/>
    <w:rsid w:val="00C30131"/>
    <w:rsid w:val="00C35D38"/>
    <w:rsid w:val="00C35D9D"/>
    <w:rsid w:val="00C3778D"/>
    <w:rsid w:val="00C4168B"/>
    <w:rsid w:val="00C4231F"/>
    <w:rsid w:val="00C42C0F"/>
    <w:rsid w:val="00C44F7C"/>
    <w:rsid w:val="00C453ED"/>
    <w:rsid w:val="00C51945"/>
    <w:rsid w:val="00C51AF3"/>
    <w:rsid w:val="00C52A77"/>
    <w:rsid w:val="00C55928"/>
    <w:rsid w:val="00C5705C"/>
    <w:rsid w:val="00C64551"/>
    <w:rsid w:val="00C705D7"/>
    <w:rsid w:val="00C73925"/>
    <w:rsid w:val="00C7478F"/>
    <w:rsid w:val="00C747C8"/>
    <w:rsid w:val="00C7588A"/>
    <w:rsid w:val="00C768DA"/>
    <w:rsid w:val="00C80A86"/>
    <w:rsid w:val="00C87798"/>
    <w:rsid w:val="00C95085"/>
    <w:rsid w:val="00C95BB0"/>
    <w:rsid w:val="00C9770C"/>
    <w:rsid w:val="00CA0E84"/>
    <w:rsid w:val="00CA459F"/>
    <w:rsid w:val="00CA51B6"/>
    <w:rsid w:val="00CA69DC"/>
    <w:rsid w:val="00CA7D90"/>
    <w:rsid w:val="00CB207B"/>
    <w:rsid w:val="00CB22D4"/>
    <w:rsid w:val="00CB24FF"/>
    <w:rsid w:val="00CB2523"/>
    <w:rsid w:val="00CB28DC"/>
    <w:rsid w:val="00CC0815"/>
    <w:rsid w:val="00CC3C73"/>
    <w:rsid w:val="00CC3E2B"/>
    <w:rsid w:val="00CC5959"/>
    <w:rsid w:val="00CD06A9"/>
    <w:rsid w:val="00CD0BDB"/>
    <w:rsid w:val="00CD2365"/>
    <w:rsid w:val="00CD3341"/>
    <w:rsid w:val="00CD352E"/>
    <w:rsid w:val="00CD3D26"/>
    <w:rsid w:val="00CD4155"/>
    <w:rsid w:val="00CD520C"/>
    <w:rsid w:val="00CD64F3"/>
    <w:rsid w:val="00CD67B3"/>
    <w:rsid w:val="00CE2FA5"/>
    <w:rsid w:val="00CF275E"/>
    <w:rsid w:val="00CF28E1"/>
    <w:rsid w:val="00CF3282"/>
    <w:rsid w:val="00CF3790"/>
    <w:rsid w:val="00CF3B96"/>
    <w:rsid w:val="00CF72F1"/>
    <w:rsid w:val="00CF78B9"/>
    <w:rsid w:val="00D00EF3"/>
    <w:rsid w:val="00D01D95"/>
    <w:rsid w:val="00D0219E"/>
    <w:rsid w:val="00D02788"/>
    <w:rsid w:val="00D05897"/>
    <w:rsid w:val="00D068D9"/>
    <w:rsid w:val="00D06CB8"/>
    <w:rsid w:val="00D07EB0"/>
    <w:rsid w:val="00D11EAB"/>
    <w:rsid w:val="00D22386"/>
    <w:rsid w:val="00D25B53"/>
    <w:rsid w:val="00D25F51"/>
    <w:rsid w:val="00D3224C"/>
    <w:rsid w:val="00D3235C"/>
    <w:rsid w:val="00D3337B"/>
    <w:rsid w:val="00D33D3F"/>
    <w:rsid w:val="00D34E15"/>
    <w:rsid w:val="00D34EC0"/>
    <w:rsid w:val="00D355EB"/>
    <w:rsid w:val="00D356F8"/>
    <w:rsid w:val="00D41EBD"/>
    <w:rsid w:val="00D42696"/>
    <w:rsid w:val="00D43153"/>
    <w:rsid w:val="00D46A89"/>
    <w:rsid w:val="00D47B1F"/>
    <w:rsid w:val="00D533BC"/>
    <w:rsid w:val="00D53F3B"/>
    <w:rsid w:val="00D54AE2"/>
    <w:rsid w:val="00D55442"/>
    <w:rsid w:val="00D565E2"/>
    <w:rsid w:val="00D57CE5"/>
    <w:rsid w:val="00D608D8"/>
    <w:rsid w:val="00D67582"/>
    <w:rsid w:val="00D7011D"/>
    <w:rsid w:val="00D70652"/>
    <w:rsid w:val="00D71ABC"/>
    <w:rsid w:val="00D732D0"/>
    <w:rsid w:val="00D73BEB"/>
    <w:rsid w:val="00D750EC"/>
    <w:rsid w:val="00D768A5"/>
    <w:rsid w:val="00D824AD"/>
    <w:rsid w:val="00D972EE"/>
    <w:rsid w:val="00D976A4"/>
    <w:rsid w:val="00DA23FA"/>
    <w:rsid w:val="00DA4B3B"/>
    <w:rsid w:val="00DA56ED"/>
    <w:rsid w:val="00DB1E44"/>
    <w:rsid w:val="00DB30E6"/>
    <w:rsid w:val="00DB7F8A"/>
    <w:rsid w:val="00DC0174"/>
    <w:rsid w:val="00DC02CE"/>
    <w:rsid w:val="00DC3540"/>
    <w:rsid w:val="00DC4B75"/>
    <w:rsid w:val="00DC4D99"/>
    <w:rsid w:val="00DC55C5"/>
    <w:rsid w:val="00DC6593"/>
    <w:rsid w:val="00DC65D2"/>
    <w:rsid w:val="00DD25F6"/>
    <w:rsid w:val="00DD3053"/>
    <w:rsid w:val="00DD52A4"/>
    <w:rsid w:val="00DD69D4"/>
    <w:rsid w:val="00DE657A"/>
    <w:rsid w:val="00DF015D"/>
    <w:rsid w:val="00DF1132"/>
    <w:rsid w:val="00DF1322"/>
    <w:rsid w:val="00DF286F"/>
    <w:rsid w:val="00DF52C3"/>
    <w:rsid w:val="00DF6FA6"/>
    <w:rsid w:val="00DF76B2"/>
    <w:rsid w:val="00E00CF9"/>
    <w:rsid w:val="00E06053"/>
    <w:rsid w:val="00E07EA1"/>
    <w:rsid w:val="00E10C6D"/>
    <w:rsid w:val="00E12438"/>
    <w:rsid w:val="00E12E9C"/>
    <w:rsid w:val="00E1687A"/>
    <w:rsid w:val="00E17115"/>
    <w:rsid w:val="00E17E54"/>
    <w:rsid w:val="00E220E7"/>
    <w:rsid w:val="00E316F8"/>
    <w:rsid w:val="00E32974"/>
    <w:rsid w:val="00E331F9"/>
    <w:rsid w:val="00E33F21"/>
    <w:rsid w:val="00E37DC1"/>
    <w:rsid w:val="00E41285"/>
    <w:rsid w:val="00E43960"/>
    <w:rsid w:val="00E466E4"/>
    <w:rsid w:val="00E46FF3"/>
    <w:rsid w:val="00E51CA2"/>
    <w:rsid w:val="00E53278"/>
    <w:rsid w:val="00E5328E"/>
    <w:rsid w:val="00E55CE8"/>
    <w:rsid w:val="00E57083"/>
    <w:rsid w:val="00E57B64"/>
    <w:rsid w:val="00E6224F"/>
    <w:rsid w:val="00E6339D"/>
    <w:rsid w:val="00E656DE"/>
    <w:rsid w:val="00E67467"/>
    <w:rsid w:val="00E7262A"/>
    <w:rsid w:val="00E74FBE"/>
    <w:rsid w:val="00E770F6"/>
    <w:rsid w:val="00E84603"/>
    <w:rsid w:val="00E84697"/>
    <w:rsid w:val="00E86183"/>
    <w:rsid w:val="00E87764"/>
    <w:rsid w:val="00E908FE"/>
    <w:rsid w:val="00E91238"/>
    <w:rsid w:val="00E91BEB"/>
    <w:rsid w:val="00E9222A"/>
    <w:rsid w:val="00E9313F"/>
    <w:rsid w:val="00E96877"/>
    <w:rsid w:val="00E97E35"/>
    <w:rsid w:val="00EA4CE7"/>
    <w:rsid w:val="00EA5B90"/>
    <w:rsid w:val="00EA620C"/>
    <w:rsid w:val="00EA6B7D"/>
    <w:rsid w:val="00EA7C13"/>
    <w:rsid w:val="00EA7DBF"/>
    <w:rsid w:val="00EB0429"/>
    <w:rsid w:val="00EB044B"/>
    <w:rsid w:val="00EB4130"/>
    <w:rsid w:val="00EB47BD"/>
    <w:rsid w:val="00EB5AA5"/>
    <w:rsid w:val="00EC39B4"/>
    <w:rsid w:val="00EC47FE"/>
    <w:rsid w:val="00ED1216"/>
    <w:rsid w:val="00ED22E6"/>
    <w:rsid w:val="00ED5711"/>
    <w:rsid w:val="00ED5D51"/>
    <w:rsid w:val="00ED7041"/>
    <w:rsid w:val="00EE0EC3"/>
    <w:rsid w:val="00EE4F4D"/>
    <w:rsid w:val="00EF0C12"/>
    <w:rsid w:val="00EF231E"/>
    <w:rsid w:val="00EF294C"/>
    <w:rsid w:val="00EF3DA8"/>
    <w:rsid w:val="00EF77F1"/>
    <w:rsid w:val="00EF7F6D"/>
    <w:rsid w:val="00F030EE"/>
    <w:rsid w:val="00F051EF"/>
    <w:rsid w:val="00F063D9"/>
    <w:rsid w:val="00F102EF"/>
    <w:rsid w:val="00F1284B"/>
    <w:rsid w:val="00F134C1"/>
    <w:rsid w:val="00F13EA0"/>
    <w:rsid w:val="00F16154"/>
    <w:rsid w:val="00F16E9A"/>
    <w:rsid w:val="00F20C42"/>
    <w:rsid w:val="00F23E5E"/>
    <w:rsid w:val="00F25126"/>
    <w:rsid w:val="00F27B0F"/>
    <w:rsid w:val="00F30DDE"/>
    <w:rsid w:val="00F31816"/>
    <w:rsid w:val="00F3355E"/>
    <w:rsid w:val="00F3441D"/>
    <w:rsid w:val="00F350CA"/>
    <w:rsid w:val="00F369A7"/>
    <w:rsid w:val="00F4129D"/>
    <w:rsid w:val="00F44065"/>
    <w:rsid w:val="00F44173"/>
    <w:rsid w:val="00F45A56"/>
    <w:rsid w:val="00F46155"/>
    <w:rsid w:val="00F47BA8"/>
    <w:rsid w:val="00F47D50"/>
    <w:rsid w:val="00F54160"/>
    <w:rsid w:val="00F55D7F"/>
    <w:rsid w:val="00F56921"/>
    <w:rsid w:val="00F60DAA"/>
    <w:rsid w:val="00F620D2"/>
    <w:rsid w:val="00F63024"/>
    <w:rsid w:val="00F67451"/>
    <w:rsid w:val="00F74924"/>
    <w:rsid w:val="00F75464"/>
    <w:rsid w:val="00F76915"/>
    <w:rsid w:val="00F7710B"/>
    <w:rsid w:val="00F80802"/>
    <w:rsid w:val="00F81454"/>
    <w:rsid w:val="00F81CBB"/>
    <w:rsid w:val="00F853EC"/>
    <w:rsid w:val="00F8549E"/>
    <w:rsid w:val="00F87499"/>
    <w:rsid w:val="00F905B2"/>
    <w:rsid w:val="00F930C1"/>
    <w:rsid w:val="00FA1955"/>
    <w:rsid w:val="00FA1B97"/>
    <w:rsid w:val="00FA1E0B"/>
    <w:rsid w:val="00FA2E00"/>
    <w:rsid w:val="00FA6A7F"/>
    <w:rsid w:val="00FA6FA4"/>
    <w:rsid w:val="00FA7EF1"/>
    <w:rsid w:val="00FB03A9"/>
    <w:rsid w:val="00FB16DD"/>
    <w:rsid w:val="00FB3703"/>
    <w:rsid w:val="00FB3C30"/>
    <w:rsid w:val="00FB4DF7"/>
    <w:rsid w:val="00FB6D5F"/>
    <w:rsid w:val="00FB7907"/>
    <w:rsid w:val="00FC035B"/>
    <w:rsid w:val="00FC1B63"/>
    <w:rsid w:val="00FC1D95"/>
    <w:rsid w:val="00FC2426"/>
    <w:rsid w:val="00FC4EA9"/>
    <w:rsid w:val="00FC559C"/>
    <w:rsid w:val="00FC5B7E"/>
    <w:rsid w:val="00FD03BE"/>
    <w:rsid w:val="00FD6A5C"/>
    <w:rsid w:val="00FD6E97"/>
    <w:rsid w:val="00FE12FD"/>
    <w:rsid w:val="00FE14D3"/>
    <w:rsid w:val="00FE19EB"/>
    <w:rsid w:val="00FE3D9E"/>
    <w:rsid w:val="00FF1172"/>
    <w:rsid w:val="00FF3FE2"/>
    <w:rsid w:val="00FF4BBA"/>
    <w:rsid w:val="00FF6034"/>
    <w:rsid w:val="00FF7685"/>
    <w:rsid w:val="00FF774A"/>
    <w:rsid w:val="04C67B85"/>
    <w:rsid w:val="0FE70455"/>
    <w:rsid w:val="10DC34E6"/>
    <w:rsid w:val="11A55A2B"/>
    <w:rsid w:val="14D763F0"/>
    <w:rsid w:val="28EC1C18"/>
    <w:rsid w:val="29A6391D"/>
    <w:rsid w:val="2C9C3E1F"/>
    <w:rsid w:val="2F8F0500"/>
    <w:rsid w:val="3477629C"/>
    <w:rsid w:val="35DA180B"/>
    <w:rsid w:val="3DB24A63"/>
    <w:rsid w:val="406534E4"/>
    <w:rsid w:val="563E4221"/>
    <w:rsid w:val="5680032B"/>
    <w:rsid w:val="57D318AD"/>
    <w:rsid w:val="5FA765D1"/>
    <w:rsid w:val="63194D6A"/>
    <w:rsid w:val="63A32842"/>
    <w:rsid w:val="650A4240"/>
    <w:rsid w:val="65F230D2"/>
    <w:rsid w:val="6BDB2C0A"/>
    <w:rsid w:val="763653C6"/>
    <w:rsid w:val="79AE0AF8"/>
    <w:rsid w:val="7BCC1837"/>
    <w:rsid w:val="FEFF48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link w:val="14"/>
    <w:unhideWhenUsed/>
    <w:qFormat/>
    <w:uiPriority w:val="99"/>
    <w:pPr>
      <w:ind w:firstLine="588" w:firstLineChars="200"/>
    </w:pPr>
    <w:rPr>
      <w:rFonts w:ascii="仿宋_GB2312" w:hAnsi="Calibri" w:eastAsia="仿宋_GB2312"/>
      <w:sz w:val="32"/>
    </w:rPr>
  </w:style>
  <w:style w:type="paragraph" w:styleId="3">
    <w:name w:val="Balloon Text"/>
    <w:basedOn w:val="1"/>
    <w:link w:val="17"/>
    <w:semiHidden/>
    <w:qFormat/>
    <w:uiPriority w:val="0"/>
    <w:rPr>
      <w:sz w:val="18"/>
      <w:szCs w:val="18"/>
    </w:rPr>
  </w:style>
  <w:style w:type="paragraph" w:styleId="4">
    <w:name w:val="footer"/>
    <w:basedOn w:val="1"/>
    <w:link w:val="11"/>
    <w:unhideWhenUsed/>
    <w:qFormat/>
    <w:uiPriority w:val="0"/>
    <w:pPr>
      <w:tabs>
        <w:tab w:val="center" w:pos="4153"/>
        <w:tab w:val="right" w:pos="8306"/>
      </w:tabs>
      <w:snapToGrid w:val="0"/>
      <w:jc w:val="left"/>
    </w:pPr>
    <w:rPr>
      <w:sz w:val="18"/>
      <w:szCs w:val="18"/>
    </w:rPr>
  </w:style>
  <w:style w:type="paragraph" w:styleId="5">
    <w:name w:val="header"/>
    <w:basedOn w:val="1"/>
    <w:link w:val="10"/>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9">
    <w:name w:val="page number"/>
    <w:qFormat/>
    <w:uiPriority w:val="0"/>
  </w:style>
  <w:style w:type="character" w:customStyle="1" w:styleId="10">
    <w:name w:val="页眉 Char"/>
    <w:basedOn w:val="8"/>
    <w:link w:val="5"/>
    <w:semiHidden/>
    <w:qFormat/>
    <w:uiPriority w:val="99"/>
    <w:rPr>
      <w:sz w:val="18"/>
      <w:szCs w:val="18"/>
    </w:rPr>
  </w:style>
  <w:style w:type="character" w:customStyle="1" w:styleId="11">
    <w:name w:val="页脚 Char"/>
    <w:basedOn w:val="8"/>
    <w:link w:val="4"/>
    <w:qFormat/>
    <w:uiPriority w:val="0"/>
    <w:rPr>
      <w:sz w:val="18"/>
      <w:szCs w:val="18"/>
    </w:rPr>
  </w:style>
  <w:style w:type="character" w:customStyle="1" w:styleId="12">
    <w:name w:val="标题 3 Char Char"/>
    <w:qFormat/>
    <w:uiPriority w:val="0"/>
    <w:rPr>
      <w:rFonts w:eastAsia="楷体_GB2312"/>
      <w:b/>
      <w:kern w:val="2"/>
      <w:sz w:val="32"/>
      <w:szCs w:val="24"/>
      <w:lang w:val="en-US" w:eastAsia="zh-CN" w:bidi="ar-SA"/>
    </w:rPr>
  </w:style>
  <w:style w:type="paragraph" w:customStyle="1" w:styleId="13">
    <w:name w:val="Char"/>
    <w:basedOn w:val="1"/>
    <w:qFormat/>
    <w:uiPriority w:val="0"/>
    <w:pPr>
      <w:autoSpaceDE w:val="0"/>
      <w:autoSpaceDN w:val="0"/>
      <w:adjustRightInd w:val="0"/>
    </w:pPr>
    <w:rPr>
      <w:rFonts w:ascii="宋体" w:cs="宋体"/>
      <w:kern w:val="0"/>
      <w:sz w:val="20"/>
      <w:szCs w:val="20"/>
      <w:lang w:val="zh-CN"/>
    </w:rPr>
  </w:style>
  <w:style w:type="character" w:customStyle="1" w:styleId="14">
    <w:name w:val="正文文本缩进 2 Char"/>
    <w:basedOn w:val="8"/>
    <w:link w:val="2"/>
    <w:qFormat/>
    <w:uiPriority w:val="99"/>
    <w:rPr>
      <w:rFonts w:ascii="仿宋_GB2312" w:hAnsi="Calibri" w:eastAsia="仿宋_GB2312" w:cs="Times New Roman"/>
      <w:sz w:val="32"/>
      <w:szCs w:val="24"/>
    </w:rPr>
  </w:style>
  <w:style w:type="paragraph" w:customStyle="1" w:styleId="15">
    <w:name w:val="Char1"/>
    <w:basedOn w:val="1"/>
    <w:qFormat/>
    <w:uiPriority w:val="0"/>
    <w:rPr>
      <w:rFonts w:ascii="仿宋_GB2312" w:eastAsia="仿宋_GB2312"/>
      <w:sz w:val="32"/>
    </w:rPr>
  </w:style>
  <w:style w:type="paragraph" w:customStyle="1" w:styleId="16">
    <w:name w:val="Char Char Char Char Char Char Char Char Char Char Char Char1 Char Char Char Char"/>
    <w:basedOn w:val="1"/>
    <w:qFormat/>
    <w:uiPriority w:val="0"/>
    <w:pPr>
      <w:numPr>
        <w:ilvl w:val="0"/>
        <w:numId w:val="1"/>
      </w:numPr>
      <w:tabs>
        <w:tab w:val="left" w:pos="720"/>
      </w:tabs>
    </w:pPr>
    <w:rPr>
      <w:szCs w:val="20"/>
    </w:rPr>
  </w:style>
  <w:style w:type="character" w:customStyle="1" w:styleId="17">
    <w:name w:val="批注框文本 Char"/>
    <w:basedOn w:val="8"/>
    <w:link w:val="3"/>
    <w:semiHidden/>
    <w:qFormat/>
    <w:uiPriority w:val="0"/>
    <w:rPr>
      <w:rFonts w:ascii="Times New Roman" w:hAnsi="Times New Roman" w:eastAsia="宋体" w:cs="Times New Roman"/>
      <w:sz w:val="18"/>
      <w:szCs w:val="18"/>
    </w:rPr>
  </w:style>
  <w:style w:type="paragraph" w:customStyle="1" w:styleId="18">
    <w:name w:val="Normal (Web)"/>
    <w:basedOn w:val="1"/>
    <w:qFormat/>
    <w:uiPriority w:val="0"/>
    <w:pPr>
      <w:spacing w:before="100" w:beforeAutospacing="1" w:after="100" w:afterAutospacing="1"/>
    </w:pPr>
  </w:style>
  <w:style w:type="paragraph" w:customStyle="1" w:styleId="19">
    <w:name w:val="Body text|1"/>
    <w:basedOn w:val="1"/>
    <w:qFormat/>
    <w:uiPriority w:val="0"/>
    <w:pPr>
      <w:spacing w:line="441" w:lineRule="auto"/>
      <w:ind w:firstLine="400"/>
    </w:pPr>
    <w:rPr>
      <w:rFonts w:ascii="MingLiU" w:hAnsi="MingLiU" w:eastAsia="MingLiU" w:cs="宋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24</Pages>
  <Words>10253</Words>
  <Characters>10775</Characters>
  <Lines>78</Lines>
  <Paragraphs>21</Paragraphs>
  <TotalTime>24</TotalTime>
  <ScaleCrop>false</ScaleCrop>
  <LinksUpToDate>false</LinksUpToDate>
  <CharactersWithSpaces>10809</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2021-06-02T17:03:00Z</dcterms:created>
  <dc:creator>User</dc:creator>
  <cp:lastModifiedBy>冯晓燕</cp:lastModifiedBy>
  <cp:lastPrinted>2022-02-24T00:44:00Z</cp:lastPrinted>
  <dcterms:modified xsi:type="dcterms:W3CDTF">2022-05-31T02:46:45Z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B4A6D3E58D03457E834255F6092F5B89</vt:lpwstr>
  </property>
</Properties>
</file>