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cs="黑体"/>
          <w:bCs/>
          <w:sz w:val="32"/>
          <w:szCs w:val="32"/>
        </w:rPr>
      </w:pPr>
      <w:r>
        <w:rPr>
          <w:rFonts w:hint="eastAsia" w:ascii="黑体" w:hAnsi="黑体" w:eastAsia="黑体" w:cs="黑体"/>
          <w:bCs/>
          <w:sz w:val="32"/>
          <w:szCs w:val="32"/>
        </w:rPr>
        <w:t>附件2-1</w:t>
      </w:r>
    </w:p>
    <w:p>
      <w:pPr>
        <w:spacing w:line="348" w:lineRule="auto"/>
        <w:jc w:val="center"/>
        <w:rPr>
          <w:rFonts w:eastAsia="方正小标宋简体"/>
          <w:bCs/>
          <w:sz w:val="42"/>
          <w:szCs w:val="42"/>
        </w:rPr>
      </w:pPr>
    </w:p>
    <w:p>
      <w:pPr>
        <w:spacing w:line="800" w:lineRule="exact"/>
        <w:jc w:val="center"/>
        <w:rPr>
          <w:rFonts w:eastAsia="方正小标宋简体"/>
          <w:bCs/>
          <w:sz w:val="46"/>
          <w:szCs w:val="46"/>
        </w:rPr>
      </w:pPr>
      <w:r>
        <w:rPr>
          <w:rFonts w:hint="eastAsia" w:eastAsia="方正小标宋简体"/>
          <w:bCs/>
          <w:sz w:val="46"/>
          <w:szCs w:val="46"/>
        </w:rPr>
        <w:t>岳阳市202</w:t>
      </w:r>
      <w:r>
        <w:rPr>
          <w:rFonts w:hint="eastAsia" w:eastAsia="方正小标宋简体"/>
          <w:bCs/>
          <w:sz w:val="46"/>
          <w:szCs w:val="46"/>
          <w:lang w:val="en-US" w:eastAsia="zh-CN"/>
        </w:rPr>
        <w:t>1</w:t>
      </w:r>
      <w:r>
        <w:rPr>
          <w:rFonts w:hint="eastAsia" w:eastAsia="方正小标宋简体"/>
          <w:bCs/>
          <w:sz w:val="46"/>
          <w:szCs w:val="46"/>
        </w:rPr>
        <w:t>年度部门整体支出</w:t>
      </w:r>
    </w:p>
    <w:p>
      <w:pPr>
        <w:spacing w:line="800" w:lineRule="exact"/>
        <w:jc w:val="center"/>
        <w:rPr>
          <w:rFonts w:eastAsia="方正小标宋简体"/>
          <w:bCs/>
          <w:sz w:val="46"/>
          <w:szCs w:val="46"/>
        </w:rPr>
      </w:pPr>
      <w:r>
        <w:rPr>
          <w:rFonts w:hint="eastAsia" w:eastAsia="方正小标宋简体"/>
          <w:bCs/>
          <w:sz w:val="46"/>
          <w:szCs w:val="46"/>
        </w:rPr>
        <w:t>绩效评价自评报告</w:t>
      </w:r>
    </w:p>
    <w:p>
      <w:pPr>
        <w:rPr>
          <w:rFonts w:eastAsia="仿宋_GB2312"/>
          <w:b/>
          <w:sz w:val="32"/>
        </w:rPr>
      </w:pPr>
    </w:p>
    <w:p>
      <w:pPr>
        <w:rPr>
          <w:rFonts w:eastAsia="仿宋_GB2312"/>
          <w:b/>
          <w:sz w:val="32"/>
        </w:rPr>
      </w:pPr>
    </w:p>
    <w:p>
      <w:pPr>
        <w:rPr>
          <w:rFonts w:eastAsia="仿宋_GB2312"/>
          <w:b/>
          <w:sz w:val="32"/>
        </w:rPr>
      </w:pPr>
    </w:p>
    <w:p>
      <w:pPr>
        <w:spacing w:beforeLines="50" w:line="348" w:lineRule="auto"/>
        <w:ind w:firstLine="476" w:firstLineChars="150"/>
        <w:rPr>
          <w:rFonts w:hint="eastAsia" w:eastAsia="仿宋_GB2312"/>
          <w:sz w:val="32"/>
          <w:szCs w:val="32"/>
          <w:u w:val="single"/>
          <w:lang w:eastAsia="zh-CN"/>
        </w:rPr>
      </w:pPr>
      <w:r>
        <w:rPr>
          <w:rFonts w:hint="eastAsia" w:eastAsia="仿宋_GB2312"/>
          <w:sz w:val="32"/>
          <w:szCs w:val="32"/>
        </w:rPr>
        <w:t>部门(单位)名称：</w:t>
      </w:r>
      <w:r>
        <w:rPr>
          <w:rFonts w:hint="eastAsia" w:eastAsia="仿宋_GB2312"/>
          <w:sz w:val="32"/>
          <w:szCs w:val="32"/>
          <w:u w:val="single"/>
          <w:lang w:eastAsia="zh-CN"/>
        </w:rPr>
        <w:t>岳阳市市场监督管理局</w:t>
      </w:r>
    </w:p>
    <w:p>
      <w:pPr>
        <w:spacing w:beforeLines="50" w:line="348" w:lineRule="auto"/>
        <w:ind w:firstLine="476" w:firstLineChars="150"/>
        <w:rPr>
          <w:rFonts w:hint="default" w:eastAsia="仿宋_GB2312"/>
          <w:spacing w:val="20"/>
          <w:sz w:val="32"/>
          <w:szCs w:val="32"/>
          <w:lang w:val="en-US" w:eastAsia="zh-CN"/>
        </w:rPr>
      </w:pPr>
      <w:r>
        <w:rPr>
          <w:rFonts w:hint="eastAsia" w:eastAsia="仿宋_GB2312"/>
          <w:sz w:val="32"/>
          <w:szCs w:val="32"/>
        </w:rPr>
        <w:t>预</w:t>
      </w:r>
      <w:r>
        <w:rPr>
          <w:rFonts w:hint="eastAsia" w:eastAsia="仿宋_GB2312"/>
          <w:spacing w:val="30"/>
          <w:sz w:val="32"/>
          <w:szCs w:val="32"/>
        </w:rPr>
        <w:t>算编码：</w:t>
      </w:r>
      <w:r>
        <w:rPr>
          <w:rFonts w:hint="eastAsia" w:eastAsia="仿宋_GB2312"/>
          <w:spacing w:val="20"/>
          <w:sz w:val="32"/>
          <w:szCs w:val="32"/>
          <w:u w:val="single"/>
          <w:lang w:val="en-US" w:eastAsia="zh-CN"/>
        </w:rPr>
        <w:t>250001</w:t>
      </w:r>
    </w:p>
    <w:p>
      <w:pPr>
        <w:spacing w:before="301" w:beforeLines="50" w:line="348" w:lineRule="auto"/>
        <w:ind w:firstLine="476" w:firstLineChars="150"/>
        <w:rPr>
          <w:rFonts w:hint="eastAsia" w:eastAsia="仿宋_GB2312"/>
          <w:sz w:val="32"/>
          <w:szCs w:val="32"/>
        </w:rPr>
      </w:pPr>
      <w:r>
        <w:rPr>
          <w:rFonts w:hint="eastAsia" w:eastAsia="仿宋_GB2312"/>
          <w:sz w:val="32"/>
          <w:szCs w:val="32"/>
        </w:rPr>
        <w:t>评价方式：</w:t>
      </w:r>
      <w:r>
        <w:rPr>
          <w:rFonts w:hint="eastAsia" w:ascii="仿宋_GB2312" w:eastAsia="仿宋_GB2312"/>
          <w:sz w:val="32"/>
          <w:szCs w:val="32"/>
          <w:lang w:eastAsia="zh-CN"/>
        </w:rPr>
        <w:t>岳阳市市场监督管理局整体</w:t>
      </w:r>
      <w:r>
        <w:rPr>
          <w:rFonts w:hint="eastAsia" w:ascii="仿宋_GB2312" w:eastAsia="仿宋_GB2312"/>
          <w:sz w:val="32"/>
          <w:szCs w:val="32"/>
        </w:rPr>
        <w:t>绩效自评</w:t>
      </w:r>
    </w:p>
    <w:p>
      <w:pPr>
        <w:spacing w:beforeLines="50" w:line="348" w:lineRule="auto"/>
        <w:ind w:firstLine="476" w:firstLineChars="150"/>
        <w:rPr>
          <w:rFonts w:hint="eastAsia" w:eastAsia="仿宋_GB2312"/>
          <w:sz w:val="32"/>
          <w:szCs w:val="32"/>
          <w:lang w:eastAsia="zh-CN"/>
        </w:rPr>
      </w:pPr>
      <w:r>
        <w:rPr>
          <w:rFonts w:hint="eastAsia" w:eastAsia="仿宋_GB2312"/>
          <w:sz w:val="32"/>
          <w:szCs w:val="32"/>
        </w:rPr>
        <w:t>评价机构：</w:t>
      </w:r>
      <w:r>
        <w:rPr>
          <w:rFonts w:hint="eastAsia" w:ascii="仿宋_GB2312" w:eastAsia="仿宋_GB2312"/>
          <w:sz w:val="32"/>
          <w:szCs w:val="32"/>
          <w:lang w:eastAsia="zh-CN"/>
        </w:rPr>
        <w:t>岳阳市市场监督管理局绩效</w:t>
      </w:r>
      <w:r>
        <w:rPr>
          <w:rFonts w:hint="eastAsia" w:ascii="仿宋_GB2312" w:eastAsia="仿宋_GB2312"/>
          <w:sz w:val="32"/>
          <w:szCs w:val="32"/>
        </w:rPr>
        <w:t>评价组</w:t>
      </w:r>
    </w:p>
    <w:p>
      <w:pPr>
        <w:spacing w:line="720" w:lineRule="exact"/>
        <w:ind w:firstLine="2188" w:firstLineChars="690"/>
        <w:rPr>
          <w:rFonts w:eastAsia="仿宋_GB2312"/>
          <w:sz w:val="32"/>
        </w:rPr>
      </w:pPr>
    </w:p>
    <w:p>
      <w:pPr>
        <w:spacing w:line="720" w:lineRule="exact"/>
        <w:ind w:firstLine="2188" w:firstLineChars="690"/>
        <w:rPr>
          <w:rFonts w:eastAsia="仿宋_GB2312"/>
          <w:sz w:val="32"/>
        </w:rPr>
      </w:pPr>
    </w:p>
    <w:p>
      <w:pPr>
        <w:spacing w:line="720" w:lineRule="exact"/>
        <w:ind w:firstLine="2188" w:firstLineChars="690"/>
        <w:rPr>
          <w:rFonts w:eastAsia="仿宋_GB2312"/>
          <w:sz w:val="32"/>
        </w:rPr>
      </w:pPr>
    </w:p>
    <w:p>
      <w:pPr>
        <w:spacing w:line="348" w:lineRule="auto"/>
        <w:jc w:val="center"/>
        <w:rPr>
          <w:rFonts w:eastAsia="仿宋_GB2312"/>
          <w:sz w:val="32"/>
        </w:rPr>
      </w:pPr>
      <w:r>
        <w:rPr>
          <w:rFonts w:hint="eastAsia" w:eastAsia="仿宋_GB2312"/>
          <w:sz w:val="32"/>
        </w:rPr>
        <w:t>报告日期：</w:t>
      </w:r>
      <w:r>
        <w:rPr>
          <w:rFonts w:hint="eastAsia" w:eastAsia="仿宋_GB2312"/>
          <w:sz w:val="32"/>
          <w:lang w:val="en-US" w:eastAsia="zh-CN"/>
        </w:rPr>
        <w:t>2022</w:t>
      </w:r>
      <w:r>
        <w:rPr>
          <w:rFonts w:hint="eastAsia" w:eastAsia="仿宋_GB2312"/>
          <w:sz w:val="32"/>
        </w:rPr>
        <w:t>年</w:t>
      </w:r>
      <w:r>
        <w:rPr>
          <w:rFonts w:hint="eastAsia" w:eastAsia="仿宋_GB2312"/>
          <w:sz w:val="32"/>
          <w:lang w:val="en-US" w:eastAsia="zh-CN"/>
        </w:rPr>
        <w:t>5</w:t>
      </w:r>
      <w:r>
        <w:rPr>
          <w:rFonts w:hint="eastAsia" w:eastAsia="仿宋_GB2312"/>
          <w:sz w:val="32"/>
        </w:rPr>
        <w:t>月</w:t>
      </w:r>
      <w:r>
        <w:rPr>
          <w:rFonts w:hint="eastAsia" w:eastAsia="仿宋_GB2312"/>
          <w:sz w:val="32"/>
          <w:lang w:val="en-US" w:eastAsia="zh-CN"/>
        </w:rPr>
        <w:t>30</w:t>
      </w:r>
      <w:r>
        <w:rPr>
          <w:rFonts w:hint="eastAsia" w:eastAsia="仿宋_GB2312"/>
          <w:sz w:val="32"/>
        </w:rPr>
        <w:t>日</w:t>
      </w:r>
    </w:p>
    <w:p>
      <w:pPr>
        <w:autoSpaceDN w:val="0"/>
        <w:jc w:val="center"/>
        <w:textAlignment w:val="center"/>
        <w:rPr>
          <w:rFonts w:eastAsia="仿宋_GB2312"/>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247" w:right="1588" w:bottom="1247" w:left="1588" w:header="851" w:footer="992" w:gutter="0"/>
          <w:pgNumType w:start="1"/>
          <w:cols w:space="720" w:num="1"/>
          <w:docGrid w:type="linesAndChars" w:linePitch="602" w:charSpace="-782"/>
        </w:sectPr>
      </w:pPr>
      <w:r>
        <w:rPr>
          <w:rFonts w:hint="eastAsia" w:eastAsia="仿宋_GB2312"/>
          <w:sz w:val="32"/>
        </w:rPr>
        <w:t>岳阳市财政</w:t>
      </w:r>
      <w:r>
        <w:rPr>
          <w:rFonts w:hint="eastAsia" w:eastAsia="仿宋_GB2312"/>
          <w:sz w:val="32"/>
          <w:szCs w:val="32"/>
        </w:rPr>
        <w:t>局（制）</w:t>
      </w:r>
    </w:p>
    <w:tbl>
      <w:tblPr>
        <w:tblStyle w:val="7"/>
        <w:tblW w:w="999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
      <w:tblGrid>
        <w:gridCol w:w="1441"/>
        <w:gridCol w:w="213"/>
        <w:gridCol w:w="46"/>
        <w:gridCol w:w="1080"/>
        <w:gridCol w:w="210"/>
        <w:gridCol w:w="1145"/>
        <w:gridCol w:w="272"/>
        <w:gridCol w:w="808"/>
        <w:gridCol w:w="1479"/>
        <w:gridCol w:w="101"/>
        <w:gridCol w:w="125"/>
        <w:gridCol w:w="1060"/>
        <w:gridCol w:w="740"/>
        <w:gridCol w:w="139"/>
        <w:gridCol w:w="189"/>
        <w:gridCol w:w="885"/>
        <w:gridCol w:w="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993" w:type="dxa"/>
            <w:gridSpan w:val="1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一、部门（单位）基本概况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联系人</w:t>
            </w:r>
          </w:p>
        </w:tc>
        <w:tc>
          <w:tcPr>
            <w:tcW w:w="3561" w:type="dxa"/>
            <w:gridSpan w:val="6"/>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徐瑶</w:t>
            </w: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联络电话</w:t>
            </w:r>
          </w:p>
        </w:tc>
        <w:tc>
          <w:tcPr>
            <w:tcW w:w="3299" w:type="dxa"/>
            <w:gridSpan w:val="8"/>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0730-8224907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11"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人员编制</w:t>
            </w:r>
          </w:p>
        </w:tc>
        <w:tc>
          <w:tcPr>
            <w:tcW w:w="3561" w:type="dxa"/>
            <w:gridSpan w:val="6"/>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539</w:t>
            </w: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实有人数</w:t>
            </w:r>
          </w:p>
        </w:tc>
        <w:tc>
          <w:tcPr>
            <w:tcW w:w="3299" w:type="dxa"/>
            <w:gridSpan w:val="8"/>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551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500"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职能职责概述</w:t>
            </w:r>
          </w:p>
        </w:tc>
        <w:tc>
          <w:tcPr>
            <w:tcW w:w="8339" w:type="dxa"/>
            <w:gridSpan w:val="15"/>
            <w:vAlign w:val="center"/>
          </w:tcPr>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（一）</w:t>
            </w:r>
            <w:r>
              <w:rPr>
                <w:rFonts w:hint="eastAsia" w:ascii="仿宋_GB2312" w:hAnsi="仿宋_GB2312" w:eastAsia="仿宋_GB2312" w:cs="仿宋_GB2312"/>
                <w:color w:val="333333"/>
                <w:sz w:val="24"/>
                <w:szCs w:val="24"/>
              </w:rPr>
              <w:tab/>
            </w:r>
            <w:r>
              <w:rPr>
                <w:rFonts w:hint="eastAsia" w:ascii="仿宋_GB2312" w:hAnsi="仿宋_GB2312" w:eastAsia="仿宋_GB2312" w:cs="仿宋_GB2312"/>
                <w:color w:val="333333"/>
                <w:sz w:val="24"/>
                <w:szCs w:val="24"/>
              </w:rPr>
              <w:t>负责市场综合监督管理。</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（二）</w:t>
            </w:r>
            <w:r>
              <w:rPr>
                <w:rFonts w:hint="eastAsia" w:ascii="仿宋_GB2312" w:hAnsi="仿宋_GB2312" w:eastAsia="仿宋_GB2312" w:cs="仿宋_GB2312"/>
                <w:color w:val="333333"/>
                <w:sz w:val="24"/>
                <w:szCs w:val="24"/>
              </w:rPr>
              <w:tab/>
            </w:r>
            <w:r>
              <w:rPr>
                <w:rFonts w:hint="eastAsia" w:ascii="仿宋_GB2312" w:hAnsi="仿宋_GB2312" w:eastAsia="仿宋_GB2312" w:cs="仿宋_GB2312"/>
                <w:color w:val="333333"/>
                <w:sz w:val="24"/>
                <w:szCs w:val="24"/>
              </w:rPr>
              <w:t>负责市场主体统一登记注册工作。</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（三）</w:t>
            </w:r>
            <w:r>
              <w:rPr>
                <w:rFonts w:hint="eastAsia" w:ascii="仿宋_GB2312" w:hAnsi="仿宋_GB2312" w:eastAsia="仿宋_GB2312" w:cs="仿宋_GB2312"/>
                <w:color w:val="333333"/>
                <w:sz w:val="24"/>
                <w:szCs w:val="24"/>
              </w:rPr>
              <w:tab/>
            </w:r>
            <w:r>
              <w:rPr>
                <w:rFonts w:hint="eastAsia" w:ascii="仿宋_GB2312" w:hAnsi="仿宋_GB2312" w:eastAsia="仿宋_GB2312" w:cs="仿宋_GB2312"/>
                <w:color w:val="333333"/>
                <w:sz w:val="24"/>
                <w:szCs w:val="24"/>
              </w:rPr>
              <w:t>负责组织指导市场监管综合执法工作。</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（四）</w:t>
            </w:r>
            <w:r>
              <w:rPr>
                <w:rFonts w:hint="eastAsia" w:ascii="仿宋_GB2312" w:hAnsi="仿宋_GB2312" w:eastAsia="仿宋_GB2312" w:cs="仿宋_GB2312"/>
                <w:color w:val="333333"/>
                <w:sz w:val="24"/>
                <w:szCs w:val="24"/>
              </w:rPr>
              <w:tab/>
            </w:r>
            <w:r>
              <w:rPr>
                <w:rFonts w:hint="eastAsia" w:ascii="仿宋_GB2312" w:hAnsi="仿宋_GB2312" w:eastAsia="仿宋_GB2312" w:cs="仿宋_GB2312"/>
                <w:color w:val="333333"/>
                <w:sz w:val="24"/>
                <w:szCs w:val="24"/>
              </w:rPr>
              <w:t>依委托开展反垄断统一执法调查工作。</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（五）</w:t>
            </w:r>
            <w:r>
              <w:rPr>
                <w:rFonts w:hint="eastAsia" w:ascii="仿宋_GB2312" w:hAnsi="仿宋_GB2312" w:eastAsia="仿宋_GB2312" w:cs="仿宋_GB2312"/>
                <w:color w:val="333333"/>
                <w:sz w:val="24"/>
                <w:szCs w:val="24"/>
              </w:rPr>
              <w:tab/>
            </w:r>
            <w:r>
              <w:rPr>
                <w:rFonts w:hint="eastAsia" w:ascii="仿宋_GB2312" w:hAnsi="仿宋_GB2312" w:eastAsia="仿宋_GB2312" w:cs="仿宋_GB2312"/>
                <w:color w:val="333333"/>
                <w:sz w:val="24"/>
                <w:szCs w:val="24"/>
              </w:rPr>
              <w:t>负责监督管理市场秩序。</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（六）</w:t>
            </w:r>
            <w:r>
              <w:rPr>
                <w:rFonts w:hint="eastAsia" w:ascii="仿宋_GB2312" w:hAnsi="仿宋_GB2312" w:eastAsia="仿宋_GB2312" w:cs="仿宋_GB2312"/>
                <w:color w:val="333333"/>
                <w:sz w:val="24"/>
                <w:szCs w:val="24"/>
              </w:rPr>
              <w:tab/>
            </w:r>
            <w:r>
              <w:rPr>
                <w:rFonts w:hint="eastAsia" w:ascii="仿宋_GB2312" w:hAnsi="仿宋_GB2312" w:eastAsia="仿宋_GB2312" w:cs="仿宋_GB2312"/>
                <w:color w:val="333333"/>
                <w:sz w:val="24"/>
                <w:szCs w:val="24"/>
              </w:rPr>
              <w:t>负责宏观质量管理。</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（七）</w:t>
            </w:r>
            <w:r>
              <w:rPr>
                <w:rFonts w:hint="eastAsia" w:ascii="仿宋_GB2312" w:hAnsi="仿宋_GB2312" w:eastAsia="仿宋_GB2312" w:cs="仿宋_GB2312"/>
                <w:color w:val="333333"/>
                <w:sz w:val="24"/>
                <w:szCs w:val="24"/>
              </w:rPr>
              <w:tab/>
            </w:r>
            <w:r>
              <w:rPr>
                <w:rFonts w:hint="eastAsia" w:ascii="仿宋_GB2312" w:hAnsi="仿宋_GB2312" w:eastAsia="仿宋_GB2312" w:cs="仿宋_GB2312"/>
                <w:color w:val="333333"/>
                <w:sz w:val="24"/>
                <w:szCs w:val="24"/>
              </w:rPr>
              <w:t>负责产品质量安全监督管理。</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（八）负责特种设备安全监督管理。</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（九）负责食品安全监督管理综合协调。</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（十）负责食品安全监督管理。</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（十一）负责统一管理计量工作。</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（十二）负责统一管理标准化工作。</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（十三）负责统一管理检验检测工作。</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（十五）负责市场监督管理、知识产权领域科技和信息化建设、新闻宣传、对外交流与合作。按规定承担技术性贸易措施有关工作。</w:t>
            </w:r>
          </w:p>
          <w:p>
            <w:pPr>
              <w:spacing w:line="320" w:lineRule="exact"/>
              <w:jc w:val="left"/>
              <w:textAlignment w:val="center"/>
              <w:rPr>
                <w:rFonts w:hint="eastAsia" w:ascii="仿宋_GB2312" w:hAnsi="仿宋_GB2312" w:eastAsia="仿宋_GB2312" w:cs="仿宋_GB2312"/>
                <w:color w:val="333333"/>
                <w:sz w:val="24"/>
                <w:szCs w:val="24"/>
                <w:lang w:eastAsia="zh-CN"/>
              </w:rPr>
            </w:pPr>
            <w:r>
              <w:rPr>
                <w:rFonts w:hint="eastAsia" w:ascii="仿宋_GB2312" w:hAnsi="仿宋_GB2312" w:eastAsia="仿宋_GB2312" w:cs="仿宋_GB2312"/>
                <w:color w:val="333333"/>
                <w:sz w:val="24"/>
                <w:szCs w:val="24"/>
              </w:rPr>
              <w:t>（十六）负责实施知识产权战略，推进知识产权强市建设。</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（十七）负责保护知识产权。</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（十八）负责知识产权创造运用。</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（十九）负责组织开展有关商品和服务领域消费维权工作。</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（二十）负责药品（含中药、民族药，下同）、医疗器械和化妆品安全监督管理。</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（二十一）监督实施药品、医疗器械、化妆品标准和分类管理制度，配合有关部门实施国家基本药物制度。</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（二十二）负责权限范围内药品、医疗器械和化妆品质量管理。</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（二十三）负责权限范围内药品、医疗器械和化妆品上市后风险管理。</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（二十四）负责组织实施药品、医疗器械和化妆品监督检查。</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（二十五）负责指导市县市场监督管理部门承担的药品、医疗器械、化妆品有关监督管理工作。</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（二十六）按规定要求，承担对口事业服务机构业务工作的指导、协调和监督职责。</w:t>
            </w:r>
          </w:p>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333333"/>
                <w:sz w:val="24"/>
                <w:szCs w:val="24"/>
              </w:rPr>
              <w:t>（二十七）完成市委、市政府交办的其他任务。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914"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年度主要</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工作内容</w:t>
            </w:r>
          </w:p>
        </w:tc>
        <w:tc>
          <w:tcPr>
            <w:tcW w:w="8339" w:type="dxa"/>
            <w:gridSpan w:val="15"/>
            <w:vAlign w:val="center"/>
          </w:tcPr>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hint="eastAsia" w:ascii="仿宋_GB2312" w:hAnsi="楷体" w:eastAsia="仿宋_GB2312"/>
                <w:b w:val="0"/>
                <w:bCs/>
                <w:sz w:val="24"/>
                <w:szCs w:val="24"/>
              </w:rPr>
            </w:pPr>
            <w:r>
              <w:rPr>
                <w:rFonts w:hint="eastAsia" w:ascii="仿宋_GB2312" w:hAnsi="楷体" w:eastAsia="仿宋_GB2312"/>
                <w:b/>
                <w:bCs w:val="0"/>
                <w:sz w:val="24"/>
                <w:szCs w:val="24"/>
                <w:lang w:eastAsia="zh-CN"/>
              </w:rPr>
              <w:t>一是</w:t>
            </w:r>
            <w:r>
              <w:rPr>
                <w:rFonts w:hint="eastAsia" w:ascii="仿宋_GB2312" w:hAnsi="楷体" w:eastAsia="仿宋_GB2312"/>
                <w:b/>
                <w:bCs w:val="0"/>
                <w:sz w:val="24"/>
                <w:szCs w:val="24"/>
              </w:rPr>
              <w:t>突出主题</w:t>
            </w:r>
            <w:r>
              <w:rPr>
                <w:rFonts w:hint="eastAsia" w:ascii="仿宋_GB2312" w:hAnsi="楷体" w:eastAsia="仿宋_GB2312"/>
                <w:b/>
                <w:bCs w:val="0"/>
                <w:sz w:val="24"/>
                <w:szCs w:val="24"/>
                <w:lang w:eastAsia="zh-CN"/>
              </w:rPr>
              <w:t>。</w:t>
            </w:r>
            <w:r>
              <w:rPr>
                <w:rFonts w:hint="eastAsia" w:ascii="仿宋_GB2312" w:hAnsi="仿宋" w:eastAsia="仿宋_GB2312"/>
                <w:sz w:val="24"/>
                <w:szCs w:val="24"/>
              </w:rPr>
              <w:t>扎实开展“不忘初心、牢记使命”主题教育，</w:t>
            </w:r>
            <w:r>
              <w:rPr>
                <w:rFonts w:hint="eastAsia" w:ascii="仿宋_GB2312" w:hAnsi="仿宋" w:eastAsia="仿宋_GB2312"/>
                <w:sz w:val="24"/>
                <w:szCs w:val="24"/>
                <w:lang w:eastAsia="zh-CN"/>
              </w:rPr>
              <w:t>抓班子带队伍</w:t>
            </w:r>
            <w:r>
              <w:rPr>
                <w:rFonts w:hint="eastAsia" w:ascii="仿宋_GB2312" w:hAnsi="仿宋" w:eastAsia="仿宋_GB2312"/>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361" w:firstLineChars="150"/>
              <w:textAlignment w:val="auto"/>
              <w:rPr>
                <w:rFonts w:hint="eastAsia" w:ascii="仿宋_GB2312" w:hAnsi="楷体" w:eastAsia="仿宋_GB2312"/>
                <w:b w:val="0"/>
                <w:bCs/>
                <w:sz w:val="24"/>
                <w:szCs w:val="24"/>
              </w:rPr>
            </w:pPr>
            <w:r>
              <w:rPr>
                <w:rFonts w:hint="eastAsia" w:ascii="仿宋_GB2312" w:hAnsi="楷体" w:eastAsia="仿宋_GB2312"/>
                <w:b/>
                <w:bCs w:val="0"/>
                <w:sz w:val="24"/>
                <w:szCs w:val="24"/>
                <w:lang w:eastAsia="zh-CN"/>
              </w:rPr>
              <w:t>二是</w:t>
            </w:r>
            <w:r>
              <w:rPr>
                <w:rFonts w:hint="eastAsia" w:ascii="仿宋_GB2312" w:hAnsi="楷体" w:eastAsia="仿宋_GB2312"/>
                <w:b/>
                <w:bCs w:val="0"/>
                <w:sz w:val="24"/>
                <w:szCs w:val="24"/>
              </w:rPr>
              <w:t>突出主线</w:t>
            </w:r>
            <w:r>
              <w:rPr>
                <w:rFonts w:hint="eastAsia" w:ascii="仿宋_GB2312" w:hAnsi="楷体" w:eastAsia="仿宋_GB2312"/>
                <w:b/>
                <w:bCs w:val="0"/>
                <w:sz w:val="24"/>
                <w:szCs w:val="24"/>
                <w:lang w:eastAsia="zh-CN"/>
              </w:rPr>
              <w:t>。</w:t>
            </w:r>
            <w:r>
              <w:rPr>
                <w:rFonts w:hint="eastAsia" w:ascii="仿宋_GB2312" w:hAnsi="仿宋_GB2312" w:eastAsia="仿宋_GB2312" w:cs="仿宋_GB2312"/>
                <w:sz w:val="24"/>
                <w:szCs w:val="24"/>
                <w:lang w:eastAsia="zh-CN"/>
              </w:rPr>
              <w:t>进一步深化</w:t>
            </w:r>
            <w:r>
              <w:rPr>
                <w:rFonts w:hint="eastAsia" w:ascii="仿宋_GB2312" w:hAnsi="仿宋_GB2312" w:eastAsia="仿宋_GB2312" w:cs="仿宋_GB2312"/>
                <w:sz w:val="24"/>
                <w:szCs w:val="24"/>
              </w:rPr>
              <w:t>商事制度</w:t>
            </w:r>
            <w:r>
              <w:rPr>
                <w:rFonts w:hint="eastAsia" w:ascii="仿宋_GB2312" w:hAnsi="仿宋_GB2312" w:eastAsia="仿宋_GB2312" w:cs="仿宋_GB2312"/>
                <w:sz w:val="24"/>
                <w:szCs w:val="24"/>
                <w:lang w:eastAsia="zh-CN"/>
              </w:rPr>
              <w:t>“放管服”</w:t>
            </w:r>
            <w:r>
              <w:rPr>
                <w:rFonts w:hint="eastAsia" w:ascii="仿宋_GB2312" w:hAnsi="仿宋_GB2312" w:eastAsia="仿宋_GB2312" w:cs="仿宋_GB2312"/>
                <w:sz w:val="24"/>
                <w:szCs w:val="24"/>
              </w:rPr>
              <w:t>改革，落实</w:t>
            </w:r>
            <w:r>
              <w:rPr>
                <w:rFonts w:hint="eastAsia" w:ascii="仿宋_GB2312" w:hAnsi="仿宋_GB2312" w:eastAsia="仿宋_GB2312" w:cs="仿宋_GB2312"/>
                <w:sz w:val="24"/>
                <w:szCs w:val="24"/>
                <w:lang w:eastAsia="zh-CN"/>
              </w:rPr>
              <w:t>“最多跑一次”</w:t>
            </w:r>
            <w:r>
              <w:rPr>
                <w:rFonts w:hint="eastAsia" w:ascii="仿宋_GB2312" w:hAnsi="仿宋_GB2312" w:eastAsia="仿宋_GB2312" w:cs="仿宋_GB2312"/>
                <w:sz w:val="24"/>
                <w:szCs w:val="24"/>
              </w:rPr>
              <w:t>“一件事一次办”</w:t>
            </w:r>
            <w:r>
              <w:rPr>
                <w:rFonts w:hint="eastAsia" w:ascii="仿宋_GB2312" w:hAnsi="仿宋_GB2312" w:eastAsia="仿宋_GB2312" w:cs="仿宋_GB2312"/>
                <w:sz w:val="24"/>
                <w:szCs w:val="24"/>
                <w:lang w:eastAsia="zh-CN"/>
              </w:rPr>
              <w:t>改革，巩固成果，形成特色。</w:t>
            </w:r>
          </w:p>
          <w:p>
            <w:pPr>
              <w:keepNext w:val="0"/>
              <w:keepLines w:val="0"/>
              <w:pageBreakBefore w:val="0"/>
              <w:widowControl w:val="0"/>
              <w:kinsoku/>
              <w:wordWrap/>
              <w:overflowPunct/>
              <w:topLinePunct w:val="0"/>
              <w:autoSpaceDE/>
              <w:autoSpaceDN/>
              <w:bidi w:val="0"/>
              <w:adjustRightInd/>
              <w:snapToGrid/>
              <w:spacing w:line="360" w:lineRule="auto"/>
              <w:ind w:firstLine="361" w:firstLineChars="150"/>
              <w:textAlignment w:val="auto"/>
              <w:rPr>
                <w:rFonts w:hint="eastAsia" w:ascii="仿宋_GB2312" w:hAnsi="楷体" w:eastAsia="仿宋_GB2312"/>
                <w:b w:val="0"/>
                <w:bCs/>
                <w:sz w:val="24"/>
                <w:szCs w:val="24"/>
              </w:rPr>
            </w:pPr>
            <w:r>
              <w:rPr>
                <w:rFonts w:hint="eastAsia" w:ascii="仿宋_GB2312" w:hAnsi="楷体" w:eastAsia="仿宋_GB2312"/>
                <w:b/>
                <w:bCs w:val="0"/>
                <w:sz w:val="24"/>
                <w:szCs w:val="24"/>
                <w:lang w:eastAsia="zh-CN"/>
              </w:rPr>
              <w:t>三是突出主责。</w:t>
            </w:r>
            <w:r>
              <w:rPr>
                <w:rFonts w:hint="eastAsia" w:ascii="仿宋_GB2312" w:hAnsi="仿宋_GB2312" w:eastAsia="仿宋_GB2312" w:cs="仿宋_GB2312"/>
                <w:sz w:val="24"/>
                <w:szCs w:val="24"/>
                <w:lang w:eastAsia="zh-CN"/>
              </w:rPr>
              <w:t>聚焦食品药品、特种设备、重点工业产品</w:t>
            </w:r>
            <w:r>
              <w:rPr>
                <w:rFonts w:hint="eastAsia" w:ascii="仿宋_GB2312" w:hAnsi="仿宋_GB2312" w:eastAsia="仿宋_GB2312" w:cs="仿宋_GB2312"/>
                <w:sz w:val="24"/>
                <w:szCs w:val="24"/>
              </w:rPr>
              <w:t>监管，</w:t>
            </w:r>
            <w:r>
              <w:rPr>
                <w:rFonts w:hint="eastAsia" w:ascii="仿宋_GB2312" w:hAnsi="仿宋_GB2312" w:eastAsia="仿宋_GB2312" w:cs="仿宋_GB2312"/>
                <w:sz w:val="24"/>
                <w:szCs w:val="24"/>
                <w:lang w:eastAsia="zh-CN"/>
              </w:rPr>
              <w:t>防范风险，</w:t>
            </w:r>
            <w:r>
              <w:rPr>
                <w:rFonts w:hint="eastAsia" w:ascii="仿宋_GB2312" w:hAnsi="仿宋_GB2312" w:eastAsia="仿宋_GB2312" w:cs="仿宋_GB2312"/>
                <w:sz w:val="24"/>
                <w:szCs w:val="24"/>
              </w:rPr>
              <w:t>维护市场公平正义</w:t>
            </w:r>
            <w:r>
              <w:rPr>
                <w:rFonts w:hint="eastAsia" w:ascii="仿宋_GB2312" w:hAnsi="仿宋_GB2312" w:eastAsia="仿宋_GB2312" w:cs="仿宋_GB2312"/>
                <w:sz w:val="24"/>
                <w:szCs w:val="24"/>
                <w:lang w:eastAsia="zh-CN"/>
              </w:rPr>
              <w:t>，让群众买得放心、吃得放心、用得放心</w:t>
            </w:r>
            <w:r>
              <w:rPr>
                <w:rFonts w:hint="eastAsia" w:ascii="仿宋_GB2312" w:hAnsi="仿宋_GB2312" w:eastAsia="仿宋_GB2312" w:cs="仿宋_GB2312"/>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361" w:firstLineChars="150"/>
              <w:textAlignment w:val="auto"/>
              <w:rPr>
                <w:rFonts w:hint="default" w:ascii="仿宋_GB2312" w:hAnsi="楷体" w:eastAsia="仿宋_GB2312"/>
                <w:b w:val="0"/>
                <w:bCs/>
                <w:sz w:val="24"/>
                <w:szCs w:val="24"/>
                <w:lang w:val="en-US" w:eastAsia="zh-CN"/>
              </w:rPr>
            </w:pPr>
            <w:r>
              <w:rPr>
                <w:rFonts w:hint="eastAsia" w:ascii="仿宋_GB2312" w:hAnsi="楷体" w:eastAsia="仿宋_GB2312"/>
                <w:b/>
                <w:bCs w:val="0"/>
                <w:sz w:val="24"/>
                <w:szCs w:val="24"/>
                <w:lang w:eastAsia="zh-CN"/>
              </w:rPr>
              <w:t>四是</w:t>
            </w:r>
            <w:r>
              <w:rPr>
                <w:rFonts w:hint="eastAsia" w:ascii="仿宋_GB2312" w:hAnsi="楷体" w:eastAsia="仿宋_GB2312"/>
                <w:b/>
                <w:bCs w:val="0"/>
                <w:sz w:val="24"/>
                <w:szCs w:val="24"/>
              </w:rPr>
              <w:t>突出主业</w:t>
            </w:r>
            <w:r>
              <w:rPr>
                <w:rFonts w:hint="eastAsia" w:ascii="仿宋_GB2312" w:hAnsi="楷体" w:eastAsia="仿宋_GB2312"/>
                <w:b/>
                <w:bCs w:val="0"/>
                <w:sz w:val="24"/>
                <w:szCs w:val="24"/>
                <w:lang w:eastAsia="zh-CN"/>
              </w:rPr>
              <w:t>。</w:t>
            </w:r>
            <w:r>
              <w:rPr>
                <w:rFonts w:hint="eastAsia" w:ascii="仿宋_GB2312" w:hAnsi="楷体" w:eastAsia="仿宋_GB2312"/>
                <w:b w:val="0"/>
                <w:bCs/>
                <w:sz w:val="24"/>
                <w:szCs w:val="24"/>
                <w:lang w:val="en-US" w:eastAsia="zh-CN"/>
              </w:rPr>
              <w:t>提高服务水平，维护消费者合法权益。</w:t>
            </w:r>
          </w:p>
          <w:p>
            <w:pPr>
              <w:keepNext w:val="0"/>
              <w:keepLines w:val="0"/>
              <w:pageBreakBefore w:val="0"/>
              <w:widowControl w:val="0"/>
              <w:kinsoku/>
              <w:wordWrap/>
              <w:overflowPunct/>
              <w:topLinePunct w:val="0"/>
              <w:autoSpaceDE/>
              <w:autoSpaceDN/>
              <w:bidi w:val="0"/>
              <w:adjustRightInd/>
              <w:snapToGrid/>
              <w:spacing w:line="360" w:lineRule="auto"/>
              <w:ind w:firstLine="361" w:firstLineChars="150"/>
              <w:textAlignment w:val="auto"/>
              <w:rPr>
                <w:rFonts w:hint="eastAsia" w:ascii="仿宋_GB2312" w:hAnsi="楷体" w:eastAsia="仿宋_GB2312"/>
                <w:b w:val="0"/>
                <w:bCs/>
                <w:sz w:val="32"/>
                <w:szCs w:val="32"/>
                <w:lang w:val="en-US" w:eastAsia="zh-CN"/>
              </w:rPr>
            </w:pPr>
            <w:r>
              <w:rPr>
                <w:rFonts w:hint="eastAsia" w:ascii="仿宋_GB2312" w:hAnsi="楷体" w:eastAsia="仿宋_GB2312"/>
                <w:b/>
                <w:bCs w:val="0"/>
                <w:sz w:val="24"/>
                <w:szCs w:val="24"/>
                <w:lang w:eastAsia="zh-CN"/>
              </w:rPr>
              <w:t>五是</w:t>
            </w:r>
            <w:r>
              <w:rPr>
                <w:rFonts w:hint="eastAsia" w:ascii="仿宋_GB2312" w:hAnsi="楷体" w:eastAsia="仿宋_GB2312"/>
                <w:b/>
                <w:bCs w:val="0"/>
                <w:sz w:val="24"/>
                <w:szCs w:val="24"/>
              </w:rPr>
              <w:t>突出主调</w:t>
            </w:r>
            <w:r>
              <w:rPr>
                <w:rFonts w:hint="eastAsia" w:ascii="仿宋_GB2312" w:hAnsi="楷体" w:eastAsia="仿宋_GB2312"/>
                <w:b/>
                <w:bCs w:val="0"/>
                <w:sz w:val="24"/>
                <w:szCs w:val="24"/>
                <w:lang w:eastAsia="zh-CN"/>
              </w:rPr>
              <w:t>。</w:t>
            </w:r>
            <w:r>
              <w:rPr>
                <w:rFonts w:hint="eastAsia" w:ascii="仿宋_GB2312" w:hAnsi="楷体" w:eastAsia="仿宋_GB2312"/>
                <w:b w:val="0"/>
                <w:bCs/>
                <w:sz w:val="24"/>
                <w:szCs w:val="24"/>
              </w:rPr>
              <w:t>强基础、严执法、保安全、促稳定，打造一支忠诚可靠，</w:t>
            </w:r>
            <w:r>
              <w:rPr>
                <w:rFonts w:hint="eastAsia" w:ascii="仿宋_GB2312" w:hAnsi="楷体" w:eastAsia="仿宋_GB2312"/>
                <w:b w:val="0"/>
                <w:bCs/>
                <w:sz w:val="24"/>
                <w:szCs w:val="24"/>
                <w:lang w:eastAsia="zh-CN"/>
              </w:rPr>
              <w:t>本领高强，</w:t>
            </w:r>
            <w:r>
              <w:rPr>
                <w:rFonts w:hint="eastAsia" w:ascii="仿宋_GB2312" w:hAnsi="楷体" w:eastAsia="仿宋_GB2312"/>
                <w:b w:val="0"/>
                <w:bCs/>
                <w:sz w:val="24"/>
                <w:szCs w:val="24"/>
              </w:rPr>
              <w:t>能打胜仗的市场监管队伍。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260"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年度部门（单位）总体运行情况及取得的成绩</w:t>
            </w:r>
          </w:p>
        </w:tc>
        <w:tc>
          <w:tcPr>
            <w:tcW w:w="8339" w:type="dxa"/>
            <w:gridSpan w:val="15"/>
            <w:vAlign w:val="center"/>
          </w:tcPr>
          <w:p>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Style w:val="20"/>
                <w:rFonts w:hint="eastAsia" w:ascii="仿宋_GB2312" w:hAnsi="仿宋_GB2312" w:eastAsia="仿宋_GB2312"/>
                <w:kern w:val="2"/>
                <w:sz w:val="24"/>
                <w:szCs w:val="24"/>
                <w:lang w:val="en-US" w:eastAsia="zh-CN" w:bidi="ar-SA"/>
              </w:rPr>
            </w:pPr>
            <w:r>
              <w:rPr>
                <w:rStyle w:val="20"/>
                <w:rFonts w:hint="eastAsia" w:ascii="仿宋_GB2312" w:hAnsi="仿宋_GB2312" w:eastAsia="仿宋_GB2312"/>
                <w:kern w:val="2"/>
                <w:sz w:val="24"/>
                <w:szCs w:val="24"/>
                <w:lang w:val="en-US" w:eastAsia="zh-CN" w:bidi="ar-SA"/>
              </w:rPr>
              <w:t>1、全省首创推进企业住所（经营场所）登记承诺制改革。</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Style w:val="20"/>
                <w:rFonts w:hint="eastAsia" w:ascii="仿宋_GB2312" w:hAnsi="仿宋_GB2312" w:eastAsia="仿宋_GB2312"/>
                <w:kern w:val="2"/>
                <w:sz w:val="24"/>
                <w:szCs w:val="24"/>
                <w:lang w:val="en-US" w:eastAsia="zh-CN" w:bidi="ar-SA"/>
              </w:rPr>
            </w:pPr>
            <w:r>
              <w:rPr>
                <w:rStyle w:val="20"/>
                <w:rFonts w:hint="eastAsia" w:ascii="仿宋_GB2312" w:hAnsi="仿宋_GB2312" w:eastAsia="仿宋_GB2312"/>
                <w:kern w:val="2"/>
                <w:sz w:val="24"/>
                <w:szCs w:val="24"/>
                <w:lang w:val="en-US" w:eastAsia="zh-CN" w:bidi="ar-SA"/>
              </w:rPr>
              <w:t>2、截至11月底，全市新设市场主体90145家，增速全省第一，全市实有市场主体430677户，位居全省第二。</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Style w:val="20"/>
                <w:rFonts w:hint="eastAsia" w:ascii="仿宋_GB2312" w:hAnsi="仿宋_GB2312" w:eastAsia="仿宋_GB2312"/>
                <w:kern w:val="2"/>
                <w:sz w:val="24"/>
                <w:szCs w:val="24"/>
                <w:lang w:val="en-US" w:eastAsia="zh-CN" w:bidi="ar-SA"/>
              </w:rPr>
            </w:pPr>
            <w:r>
              <w:rPr>
                <w:rStyle w:val="20"/>
                <w:rFonts w:hint="eastAsia" w:ascii="仿宋_GB2312" w:hAnsi="仿宋_GB2312" w:eastAsia="仿宋_GB2312"/>
                <w:b w:val="0"/>
                <w:bCs w:val="0"/>
                <w:kern w:val="2"/>
                <w:sz w:val="24"/>
                <w:szCs w:val="24"/>
                <w:lang w:val="en-US" w:eastAsia="zh-CN" w:bidi="ar-SA"/>
              </w:rPr>
              <w:t>3、</w:t>
            </w:r>
            <w:r>
              <w:rPr>
                <w:rStyle w:val="20"/>
                <w:rFonts w:ascii="仿宋_GB2312" w:hAnsi="仿宋_GB2312" w:eastAsia="仿宋_GB2312"/>
                <w:b w:val="0"/>
                <w:bCs w:val="0"/>
                <w:kern w:val="2"/>
                <w:sz w:val="24"/>
                <w:szCs w:val="24"/>
                <w:lang w:val="en-US" w:eastAsia="zh-CN" w:bidi="ar-SA"/>
              </w:rPr>
              <w:t>药食同源备案通关新模式</w:t>
            </w:r>
            <w:r>
              <w:rPr>
                <w:rStyle w:val="20"/>
                <w:rFonts w:hint="eastAsia" w:ascii="仿宋_GB2312" w:hAnsi="仿宋_GB2312" w:eastAsia="仿宋_GB2312"/>
                <w:kern w:val="2"/>
                <w:sz w:val="24"/>
                <w:szCs w:val="24"/>
                <w:lang w:val="en-US" w:eastAsia="zh-CN" w:bidi="ar-SA"/>
              </w:rPr>
              <w:t>，被省自贸办推荐参评全省自贸区制度创新典型案例，并</w:t>
            </w:r>
            <w:r>
              <w:rPr>
                <w:rStyle w:val="20"/>
                <w:rFonts w:ascii="仿宋_GB2312" w:hAnsi="仿宋_GB2312" w:eastAsia="仿宋_GB2312"/>
                <w:kern w:val="2"/>
                <w:sz w:val="24"/>
                <w:szCs w:val="24"/>
                <w:lang w:val="en-US" w:eastAsia="zh-CN" w:bidi="ar-SA"/>
              </w:rPr>
              <w:t>在岳阳自贸片区成立一周年巡礼上</w:t>
            </w:r>
            <w:r>
              <w:rPr>
                <w:rStyle w:val="20"/>
                <w:rFonts w:hint="eastAsia" w:ascii="仿宋_GB2312" w:hAnsi="仿宋_GB2312" w:eastAsia="仿宋_GB2312"/>
                <w:kern w:val="2"/>
                <w:sz w:val="24"/>
                <w:szCs w:val="24"/>
                <w:lang w:val="en-US" w:eastAsia="zh-CN" w:bidi="ar-SA"/>
              </w:rPr>
              <w:t>作为</w:t>
            </w:r>
            <w:r>
              <w:rPr>
                <w:rStyle w:val="20"/>
                <w:rFonts w:ascii="仿宋_GB2312" w:hAnsi="仿宋_GB2312" w:eastAsia="仿宋_GB2312"/>
                <w:kern w:val="2"/>
                <w:sz w:val="24"/>
                <w:szCs w:val="24"/>
                <w:lang w:val="en-US" w:eastAsia="zh-CN" w:bidi="ar-SA"/>
              </w:rPr>
              <w:t>15项“首创性”创新成果之一</w:t>
            </w:r>
            <w:r>
              <w:rPr>
                <w:rStyle w:val="20"/>
                <w:rFonts w:hint="eastAsia" w:ascii="仿宋_GB2312" w:hAnsi="仿宋_GB2312" w:eastAsia="仿宋_GB2312"/>
                <w:kern w:val="2"/>
                <w:sz w:val="24"/>
                <w:szCs w:val="24"/>
                <w:lang w:val="en-US" w:eastAsia="zh-CN" w:bidi="ar-SA"/>
              </w:rPr>
              <w:t>获</w:t>
            </w:r>
            <w:r>
              <w:rPr>
                <w:rStyle w:val="20"/>
                <w:rFonts w:ascii="仿宋_GB2312" w:hAnsi="仿宋_GB2312" w:eastAsia="仿宋_GB2312"/>
                <w:kern w:val="2"/>
                <w:sz w:val="24"/>
                <w:szCs w:val="24"/>
                <w:lang w:val="en-US" w:eastAsia="zh-CN" w:bidi="ar-SA"/>
              </w:rPr>
              <w:t>报道</w:t>
            </w:r>
            <w:r>
              <w:rPr>
                <w:rStyle w:val="20"/>
                <w:rFonts w:hint="eastAsia" w:ascii="仿宋_GB2312" w:hAnsi="仿宋_GB2312" w:eastAsia="仿宋_GB2312"/>
                <w:kern w:val="2"/>
                <w:sz w:val="24"/>
                <w:szCs w:val="24"/>
                <w:lang w:val="en-US" w:eastAsia="zh-CN" w:bidi="ar-SA"/>
              </w:rPr>
              <w:t>。</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Style w:val="20"/>
                <w:rFonts w:hint="eastAsia" w:ascii="仿宋_GB2312" w:hAnsi="仿宋_GB2312" w:eastAsia="仿宋_GB2312"/>
                <w:kern w:val="2"/>
                <w:sz w:val="24"/>
                <w:szCs w:val="24"/>
                <w:lang w:val="en-US" w:eastAsia="zh-CN" w:bidi="ar-SA"/>
              </w:rPr>
            </w:pPr>
            <w:r>
              <w:rPr>
                <w:rStyle w:val="20"/>
                <w:rFonts w:hint="eastAsia" w:ascii="仿宋_GB2312" w:hAnsi="仿宋_GB2312" w:eastAsia="仿宋_GB2312"/>
                <w:kern w:val="2"/>
                <w:sz w:val="24"/>
                <w:szCs w:val="24"/>
                <w:lang w:val="en-US" w:eastAsia="zh-CN" w:bidi="ar-SA"/>
              </w:rPr>
              <w:t>4、颁发全省首张“食品经营（仅销售预包装食品）”备案制营业执照。</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Style w:val="20"/>
                <w:rFonts w:hint="eastAsia" w:ascii="仿宋_GB2312" w:hAnsi="仿宋_GB2312" w:eastAsia="仿宋_GB2312"/>
                <w:kern w:val="2"/>
                <w:sz w:val="24"/>
                <w:szCs w:val="24"/>
                <w:lang w:val="en-US" w:eastAsia="zh-CN" w:bidi="ar-SA"/>
              </w:rPr>
            </w:pPr>
            <w:r>
              <w:rPr>
                <w:rStyle w:val="20"/>
                <w:rFonts w:hint="eastAsia" w:ascii="仿宋_GB2312" w:hAnsi="仿宋_GB2312" w:eastAsia="仿宋_GB2312"/>
                <w:kern w:val="2"/>
                <w:sz w:val="24"/>
                <w:szCs w:val="24"/>
                <w:lang w:val="en-US" w:eastAsia="zh-CN" w:bidi="ar-SA"/>
              </w:rPr>
              <w:t>5、特种设备安全责任保险工作推进排名全省第一。</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ascii="仿宋_GB2312" w:hAnsi="仿宋_GB2312" w:eastAsia="仿宋_GB2312" w:cs="仿宋_GB2312"/>
                <w:color w:val="000000"/>
                <w:sz w:val="24"/>
              </w:rPr>
            </w:pPr>
            <w:r>
              <w:rPr>
                <w:rStyle w:val="20"/>
                <w:rFonts w:hint="eastAsia" w:ascii="仿宋_GB2312" w:hAnsi="仿宋_GB2312" w:eastAsia="仿宋_GB2312"/>
                <w:kern w:val="2"/>
                <w:sz w:val="24"/>
                <w:szCs w:val="24"/>
                <w:lang w:val="en-US" w:eastAsia="zh-CN" w:bidi="ar-SA"/>
              </w:rPr>
              <w:t>6、我市药品生产企业共取得药品注册批准文号11个，一致性评价证书8张，位居全省前列。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993" w:type="dxa"/>
            <w:gridSpan w:val="1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二、部门（单位）收支情况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993" w:type="dxa"/>
            <w:gridSpan w:val="1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年度收入情况（万元）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机构名称</w:t>
            </w:r>
          </w:p>
        </w:tc>
        <w:tc>
          <w:tcPr>
            <w:tcW w:w="1080" w:type="dxa"/>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收入合计</w:t>
            </w:r>
          </w:p>
        </w:tc>
        <w:tc>
          <w:tcPr>
            <w:tcW w:w="7213" w:type="dxa"/>
            <w:gridSpan w:val="13"/>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14" w:hRule="atLeast"/>
          <w:jc w:val="center"/>
        </w:trPr>
        <w:tc>
          <w:tcPr>
            <w:tcW w:w="1700" w:type="dxa"/>
            <w:gridSpan w:val="3"/>
            <w:vMerge w:val="continue"/>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上年结转</w:t>
            </w: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公共财</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政拨款</w:t>
            </w:r>
          </w:p>
        </w:tc>
        <w:tc>
          <w:tcPr>
            <w:tcW w:w="1705"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政府基金拨款</w:t>
            </w:r>
          </w:p>
        </w:tc>
        <w:tc>
          <w:tcPr>
            <w:tcW w:w="180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纳入专户管理的非税收入拨款</w:t>
            </w:r>
          </w:p>
        </w:tc>
        <w:tc>
          <w:tcPr>
            <w:tcW w:w="1273"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72" w:hRule="atLeast"/>
          <w:jc w:val="center"/>
        </w:trPr>
        <w:tc>
          <w:tcPr>
            <w:tcW w:w="1700"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局机关及二级机构汇总</w:t>
            </w:r>
          </w:p>
        </w:tc>
        <w:tc>
          <w:tcPr>
            <w:tcW w:w="1080" w:type="dxa"/>
            <w:tcBorders>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i w:val="0"/>
                <w:color w:val="000000"/>
                <w:kern w:val="0"/>
                <w:sz w:val="22"/>
                <w:szCs w:val="22"/>
                <w:u w:val="none"/>
                <w:lang w:val="en-US" w:eastAsia="zh-CN" w:bidi="ar"/>
              </w:rPr>
              <w:t>16943.96</w:t>
            </w:r>
          </w:p>
        </w:tc>
        <w:tc>
          <w:tcPr>
            <w:tcW w:w="1355" w:type="dxa"/>
            <w:gridSpan w:val="2"/>
            <w:tcBorders>
              <w:lef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i w:val="0"/>
                <w:color w:val="000000"/>
                <w:kern w:val="0"/>
                <w:sz w:val="22"/>
                <w:szCs w:val="22"/>
                <w:u w:val="none"/>
                <w:lang w:val="en-US" w:eastAsia="zh-CN" w:bidi="ar"/>
              </w:rPr>
              <w:t>1631.41</w:t>
            </w:r>
          </w:p>
        </w:tc>
        <w:tc>
          <w:tcPr>
            <w:tcW w:w="1080" w:type="dxa"/>
            <w:gridSpan w:val="2"/>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i w:val="0"/>
                <w:color w:val="000000"/>
                <w:kern w:val="0"/>
                <w:sz w:val="22"/>
                <w:szCs w:val="22"/>
                <w:u w:val="none"/>
                <w:lang w:val="en-US" w:eastAsia="zh-CN" w:bidi="ar"/>
              </w:rPr>
              <w:t>13345.68</w:t>
            </w:r>
          </w:p>
        </w:tc>
        <w:tc>
          <w:tcPr>
            <w:tcW w:w="1705" w:type="dxa"/>
            <w:gridSpan w:val="3"/>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4"/>
              </w:rPr>
            </w:pPr>
          </w:p>
        </w:tc>
        <w:tc>
          <w:tcPr>
            <w:tcW w:w="1800" w:type="dxa"/>
            <w:gridSpan w:val="2"/>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4"/>
              </w:rPr>
            </w:pPr>
          </w:p>
        </w:tc>
        <w:tc>
          <w:tcPr>
            <w:tcW w:w="1273" w:type="dxa"/>
            <w:gridSpan w:val="4"/>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i w:val="0"/>
                <w:color w:val="000000"/>
                <w:kern w:val="0"/>
                <w:sz w:val="22"/>
                <w:szCs w:val="22"/>
                <w:u w:val="none"/>
                <w:lang w:val="en-US" w:eastAsia="zh-CN" w:bidi="ar"/>
              </w:rPr>
              <w:t>1966.87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1、局机关</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6999.64</w:t>
            </w:r>
          </w:p>
        </w:tc>
        <w:tc>
          <w:tcPr>
            <w:tcW w:w="135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904.76</w:t>
            </w:r>
          </w:p>
        </w:tc>
        <w:tc>
          <w:tcPr>
            <w:tcW w:w="1080" w:type="dxa"/>
            <w:gridSpan w:val="2"/>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6053.63</w:t>
            </w:r>
          </w:p>
        </w:tc>
        <w:tc>
          <w:tcPr>
            <w:tcW w:w="1705" w:type="dxa"/>
            <w:gridSpan w:val="3"/>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800" w:type="dxa"/>
            <w:gridSpan w:val="2"/>
            <w:vAlign w:val="center"/>
          </w:tcPr>
          <w:p>
            <w:pPr>
              <w:autoSpaceDN w:val="0"/>
              <w:spacing w:line="320" w:lineRule="exact"/>
              <w:jc w:val="center"/>
              <w:textAlignment w:val="center"/>
              <w:rPr>
                <w:rFonts w:ascii="仿宋_GB2312" w:hAnsi="仿宋_GB2312" w:eastAsia="仿宋_GB2312" w:cs="仿宋_GB2312"/>
                <w:color w:val="000000"/>
                <w:kern w:val="2"/>
                <w:sz w:val="24"/>
                <w:szCs w:val="24"/>
                <w:lang w:val="en-US" w:eastAsia="zh-CN" w:bidi="ar-SA"/>
              </w:rPr>
            </w:pPr>
          </w:p>
        </w:tc>
        <w:tc>
          <w:tcPr>
            <w:tcW w:w="1273" w:type="dxa"/>
            <w:gridSpan w:val="4"/>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41.25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jc w:val="left"/>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sz w:val="24"/>
                <w:lang w:val="en-US" w:eastAsia="zh-CN"/>
              </w:rPr>
              <w:t>2</w:t>
            </w:r>
            <w:r>
              <w:rPr>
                <w:rFonts w:hint="eastAsia" w:ascii="仿宋_GB2312" w:hAnsi="仿宋_GB2312" w:eastAsia="仿宋_GB2312" w:cs="仿宋_GB2312"/>
                <w:sz w:val="24"/>
              </w:rPr>
              <w:t>、</w:t>
            </w:r>
            <w:r>
              <w:rPr>
                <w:rFonts w:hint="eastAsia" w:ascii="仿宋_GB2312" w:hAnsi="仿宋_GB2312" w:eastAsia="仿宋_GB2312" w:cs="仿宋_GB2312"/>
                <w:sz w:val="24"/>
                <w:lang w:eastAsia="zh-CN"/>
              </w:rPr>
              <w:t>经开区分局</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2464.92</w:t>
            </w:r>
          </w:p>
        </w:tc>
        <w:tc>
          <w:tcPr>
            <w:tcW w:w="135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161.29</w:t>
            </w:r>
          </w:p>
        </w:tc>
        <w:tc>
          <w:tcPr>
            <w:tcW w:w="1080" w:type="dxa"/>
            <w:gridSpan w:val="2"/>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1707.43</w:t>
            </w:r>
          </w:p>
        </w:tc>
        <w:tc>
          <w:tcPr>
            <w:tcW w:w="1705" w:type="dxa"/>
            <w:gridSpan w:val="3"/>
            <w:vAlign w:val="center"/>
          </w:tcPr>
          <w:p>
            <w:pPr>
              <w:autoSpaceDN w:val="0"/>
              <w:spacing w:line="320" w:lineRule="exact"/>
              <w:jc w:val="center"/>
              <w:textAlignment w:val="center"/>
              <w:rPr>
                <w:rFonts w:ascii="仿宋_GB2312" w:hAnsi="仿宋_GB2312" w:eastAsia="仿宋_GB2312" w:cs="仿宋_GB2312"/>
                <w:color w:val="000000"/>
                <w:kern w:val="2"/>
                <w:sz w:val="24"/>
                <w:szCs w:val="24"/>
                <w:lang w:val="en-US" w:eastAsia="zh-CN" w:bidi="ar-SA"/>
              </w:rPr>
            </w:pPr>
          </w:p>
        </w:tc>
        <w:tc>
          <w:tcPr>
            <w:tcW w:w="1800" w:type="dxa"/>
            <w:gridSpan w:val="2"/>
            <w:vAlign w:val="center"/>
          </w:tcPr>
          <w:p>
            <w:pPr>
              <w:autoSpaceDN w:val="0"/>
              <w:spacing w:line="320" w:lineRule="exact"/>
              <w:jc w:val="center"/>
              <w:textAlignment w:val="center"/>
              <w:rPr>
                <w:rFonts w:ascii="仿宋_GB2312" w:hAnsi="仿宋_GB2312" w:eastAsia="仿宋_GB2312" w:cs="仿宋_GB2312"/>
                <w:color w:val="000000"/>
                <w:kern w:val="2"/>
                <w:sz w:val="24"/>
                <w:szCs w:val="24"/>
                <w:lang w:val="en-US" w:eastAsia="zh-CN" w:bidi="ar-SA"/>
              </w:rPr>
            </w:pPr>
          </w:p>
        </w:tc>
        <w:tc>
          <w:tcPr>
            <w:tcW w:w="1273" w:type="dxa"/>
            <w:gridSpan w:val="4"/>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596.2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3、南湖分局</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1311.34</w:t>
            </w:r>
          </w:p>
        </w:tc>
        <w:tc>
          <w:tcPr>
            <w:tcW w:w="1355" w:type="dxa"/>
            <w:gridSpan w:val="2"/>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150.20</w:t>
            </w:r>
          </w:p>
        </w:tc>
        <w:tc>
          <w:tcPr>
            <w:tcW w:w="10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843.15</w:t>
            </w:r>
          </w:p>
        </w:tc>
        <w:tc>
          <w:tcPr>
            <w:tcW w:w="1705" w:type="dxa"/>
            <w:gridSpan w:val="3"/>
            <w:vAlign w:val="center"/>
          </w:tcPr>
          <w:p>
            <w:pPr>
              <w:autoSpaceDN w:val="0"/>
              <w:spacing w:line="320" w:lineRule="exact"/>
              <w:jc w:val="center"/>
              <w:textAlignment w:val="center"/>
              <w:rPr>
                <w:rFonts w:ascii="仿宋_GB2312" w:hAnsi="仿宋_GB2312" w:eastAsia="仿宋_GB2312" w:cs="仿宋_GB2312"/>
                <w:color w:val="000000"/>
                <w:kern w:val="2"/>
                <w:sz w:val="24"/>
                <w:szCs w:val="24"/>
                <w:lang w:val="en-US" w:eastAsia="zh-CN" w:bidi="ar-SA"/>
              </w:rPr>
            </w:pPr>
          </w:p>
        </w:tc>
        <w:tc>
          <w:tcPr>
            <w:tcW w:w="1800" w:type="dxa"/>
            <w:gridSpan w:val="2"/>
            <w:vAlign w:val="center"/>
          </w:tcPr>
          <w:p>
            <w:pPr>
              <w:autoSpaceDN w:val="0"/>
              <w:spacing w:line="320" w:lineRule="exact"/>
              <w:jc w:val="center"/>
              <w:textAlignment w:val="center"/>
              <w:rPr>
                <w:rFonts w:ascii="仿宋_GB2312" w:hAnsi="仿宋_GB2312" w:eastAsia="仿宋_GB2312" w:cs="仿宋_GB2312"/>
                <w:color w:val="000000"/>
                <w:kern w:val="2"/>
                <w:sz w:val="24"/>
                <w:szCs w:val="24"/>
                <w:lang w:val="en-US" w:eastAsia="zh-CN" w:bidi="ar-SA"/>
              </w:rPr>
            </w:pPr>
          </w:p>
        </w:tc>
        <w:tc>
          <w:tcPr>
            <w:tcW w:w="1273" w:type="dxa"/>
            <w:gridSpan w:val="4"/>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317.99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34" w:hRule="atLeast"/>
          <w:jc w:val="center"/>
        </w:trPr>
        <w:tc>
          <w:tcPr>
            <w:tcW w:w="1700" w:type="dxa"/>
            <w:gridSpan w:val="3"/>
            <w:vAlign w:val="center"/>
          </w:tcPr>
          <w:p>
            <w:pPr>
              <w:spacing w:line="320" w:lineRule="exact"/>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4、城陵矶新港区分局</w:t>
            </w:r>
          </w:p>
        </w:tc>
        <w:tc>
          <w:tcPr>
            <w:tcW w:w="1080" w:type="dxa"/>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3</w:t>
            </w:r>
            <w:r>
              <w:rPr>
                <w:rFonts w:ascii="仿宋_GB2312" w:hAnsi="仿宋_GB2312" w:eastAsia="仿宋_GB2312" w:cs="仿宋_GB2312"/>
                <w:color w:val="000000"/>
                <w:sz w:val="24"/>
              </w:rPr>
              <w:t>55.96</w:t>
            </w:r>
          </w:p>
        </w:tc>
        <w:tc>
          <w:tcPr>
            <w:tcW w:w="1355" w:type="dxa"/>
            <w:gridSpan w:val="2"/>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5</w:t>
            </w:r>
            <w:r>
              <w:rPr>
                <w:rFonts w:ascii="仿宋_GB2312" w:hAnsi="仿宋_GB2312" w:eastAsia="仿宋_GB2312" w:cs="仿宋_GB2312"/>
                <w:color w:val="000000"/>
                <w:sz w:val="24"/>
              </w:rPr>
              <w:t>6.33</w:t>
            </w:r>
          </w:p>
        </w:tc>
        <w:tc>
          <w:tcPr>
            <w:tcW w:w="10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2</w:t>
            </w:r>
            <w:r>
              <w:rPr>
                <w:rFonts w:ascii="仿宋_GB2312" w:hAnsi="仿宋_GB2312" w:eastAsia="仿宋_GB2312" w:cs="仿宋_GB2312"/>
                <w:color w:val="000000"/>
                <w:sz w:val="24"/>
              </w:rPr>
              <w:t>88.2</w:t>
            </w:r>
          </w:p>
        </w:tc>
        <w:tc>
          <w:tcPr>
            <w:tcW w:w="1705" w:type="dxa"/>
            <w:gridSpan w:val="3"/>
            <w:vAlign w:val="center"/>
          </w:tcPr>
          <w:p>
            <w:pPr>
              <w:autoSpaceDN w:val="0"/>
              <w:spacing w:line="320" w:lineRule="exact"/>
              <w:jc w:val="center"/>
              <w:textAlignment w:val="center"/>
              <w:rPr>
                <w:rFonts w:ascii="仿宋_GB2312" w:hAnsi="仿宋_GB2312" w:eastAsia="仿宋_GB2312" w:cs="仿宋_GB2312"/>
                <w:color w:val="000000"/>
                <w:kern w:val="2"/>
                <w:sz w:val="24"/>
                <w:szCs w:val="24"/>
                <w:lang w:val="en-US" w:eastAsia="zh-CN" w:bidi="ar-SA"/>
              </w:rPr>
            </w:pPr>
          </w:p>
        </w:tc>
        <w:tc>
          <w:tcPr>
            <w:tcW w:w="1800" w:type="dxa"/>
            <w:gridSpan w:val="2"/>
            <w:vAlign w:val="center"/>
          </w:tcPr>
          <w:p>
            <w:pPr>
              <w:autoSpaceDN w:val="0"/>
              <w:spacing w:line="320" w:lineRule="exact"/>
              <w:jc w:val="center"/>
              <w:textAlignment w:val="center"/>
              <w:rPr>
                <w:rFonts w:ascii="仿宋_GB2312" w:hAnsi="仿宋_GB2312" w:eastAsia="仿宋_GB2312" w:cs="仿宋_GB2312"/>
                <w:color w:val="000000"/>
                <w:kern w:val="2"/>
                <w:sz w:val="24"/>
                <w:szCs w:val="24"/>
                <w:lang w:val="en-US" w:eastAsia="zh-CN" w:bidi="ar-SA"/>
              </w:rPr>
            </w:pPr>
          </w:p>
        </w:tc>
        <w:tc>
          <w:tcPr>
            <w:tcW w:w="1273" w:type="dxa"/>
            <w:gridSpan w:val="4"/>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1</w:t>
            </w:r>
            <w:r>
              <w:rPr>
                <w:rFonts w:ascii="仿宋_GB2312" w:hAnsi="仿宋_GB2312" w:eastAsia="仿宋_GB2312" w:cs="仿宋_GB2312"/>
                <w:color w:val="000000"/>
                <w:sz w:val="24"/>
              </w:rPr>
              <w:t>1.43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5、综合行政执法支队</w:t>
            </w:r>
          </w:p>
        </w:tc>
        <w:tc>
          <w:tcPr>
            <w:tcW w:w="1080" w:type="dxa"/>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2</w:t>
            </w:r>
            <w:r>
              <w:rPr>
                <w:rFonts w:ascii="仿宋_GB2312" w:hAnsi="仿宋_GB2312" w:eastAsia="仿宋_GB2312" w:cs="仿宋_GB2312"/>
                <w:color w:val="000000"/>
                <w:sz w:val="24"/>
              </w:rPr>
              <w:t>012.14</w:t>
            </w:r>
          </w:p>
        </w:tc>
        <w:tc>
          <w:tcPr>
            <w:tcW w:w="1355" w:type="dxa"/>
            <w:gridSpan w:val="2"/>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ascii="仿宋_GB2312" w:hAnsi="仿宋_GB2312" w:eastAsia="仿宋_GB2312" w:cs="仿宋_GB2312"/>
                <w:color w:val="000000"/>
                <w:sz w:val="24"/>
              </w:rPr>
              <w:t>235.97</w:t>
            </w:r>
          </w:p>
        </w:tc>
        <w:tc>
          <w:tcPr>
            <w:tcW w:w="10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1</w:t>
            </w:r>
            <w:r>
              <w:rPr>
                <w:rFonts w:ascii="仿宋_GB2312" w:hAnsi="仿宋_GB2312" w:eastAsia="仿宋_GB2312" w:cs="仿宋_GB2312"/>
                <w:color w:val="000000"/>
                <w:sz w:val="24"/>
              </w:rPr>
              <w:t>776.17</w:t>
            </w:r>
          </w:p>
        </w:tc>
        <w:tc>
          <w:tcPr>
            <w:tcW w:w="1705" w:type="dxa"/>
            <w:gridSpan w:val="3"/>
            <w:vAlign w:val="center"/>
          </w:tcPr>
          <w:p>
            <w:pPr>
              <w:autoSpaceDN w:val="0"/>
              <w:spacing w:line="320" w:lineRule="exact"/>
              <w:jc w:val="center"/>
              <w:textAlignment w:val="center"/>
              <w:rPr>
                <w:rFonts w:ascii="仿宋_GB2312" w:hAnsi="仿宋_GB2312" w:eastAsia="仿宋_GB2312" w:cs="仿宋_GB2312"/>
                <w:color w:val="000000"/>
                <w:kern w:val="2"/>
                <w:sz w:val="24"/>
                <w:szCs w:val="24"/>
                <w:lang w:val="en-US" w:eastAsia="zh-CN" w:bidi="ar-SA"/>
              </w:rPr>
            </w:pPr>
          </w:p>
        </w:tc>
        <w:tc>
          <w:tcPr>
            <w:tcW w:w="1800" w:type="dxa"/>
            <w:gridSpan w:val="2"/>
            <w:vAlign w:val="center"/>
          </w:tcPr>
          <w:p>
            <w:pPr>
              <w:autoSpaceDN w:val="0"/>
              <w:spacing w:line="320" w:lineRule="exact"/>
              <w:jc w:val="center"/>
              <w:textAlignment w:val="center"/>
              <w:rPr>
                <w:rFonts w:ascii="仿宋_GB2312" w:hAnsi="仿宋_GB2312" w:eastAsia="仿宋_GB2312" w:cs="仿宋_GB2312"/>
                <w:color w:val="000000"/>
                <w:kern w:val="2"/>
                <w:sz w:val="24"/>
                <w:szCs w:val="24"/>
                <w:lang w:val="en-US" w:eastAsia="zh-CN" w:bidi="ar-SA"/>
              </w:rPr>
            </w:pPr>
          </w:p>
        </w:tc>
        <w:tc>
          <w:tcPr>
            <w:tcW w:w="1273" w:type="dxa"/>
            <w:gridSpan w:val="4"/>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6、检验检测中心</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3799.96</w:t>
            </w:r>
          </w:p>
        </w:tc>
        <w:tc>
          <w:tcPr>
            <w:tcW w:w="135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122.86</w:t>
            </w:r>
          </w:p>
        </w:tc>
        <w:tc>
          <w:tcPr>
            <w:tcW w:w="1080" w:type="dxa"/>
            <w:gridSpan w:val="2"/>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2677.1</w:t>
            </w:r>
          </w:p>
        </w:tc>
        <w:tc>
          <w:tcPr>
            <w:tcW w:w="1705" w:type="dxa"/>
            <w:gridSpan w:val="3"/>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1800" w:type="dxa"/>
            <w:gridSpan w:val="2"/>
            <w:vAlign w:val="center"/>
          </w:tcPr>
          <w:p>
            <w:pPr>
              <w:autoSpaceDN w:val="0"/>
              <w:spacing w:line="320" w:lineRule="exact"/>
              <w:jc w:val="center"/>
              <w:textAlignment w:val="center"/>
              <w:rPr>
                <w:rFonts w:ascii="仿宋_GB2312" w:hAnsi="仿宋_GB2312" w:eastAsia="仿宋_GB2312" w:cs="仿宋_GB2312"/>
                <w:color w:val="000000"/>
                <w:kern w:val="2"/>
                <w:sz w:val="24"/>
                <w:szCs w:val="24"/>
                <w:lang w:val="en-US" w:eastAsia="zh-CN" w:bidi="ar-SA"/>
              </w:rPr>
            </w:pPr>
          </w:p>
        </w:tc>
        <w:tc>
          <w:tcPr>
            <w:tcW w:w="1273" w:type="dxa"/>
            <w:gridSpan w:val="4"/>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9993" w:type="dxa"/>
            <w:gridSpan w:val="1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部门（单位）年度支出和结余情况（万元）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vAlign w:val="center"/>
          </w:tcPr>
          <w:p>
            <w:pPr>
              <w:snapToGrid w:val="0"/>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支出合计</w:t>
            </w:r>
          </w:p>
        </w:tc>
        <w:tc>
          <w:tcPr>
            <w:tcW w:w="5200" w:type="dxa"/>
            <w:gridSpan w:val="8"/>
            <w:tcBorders>
              <w:left w:val="single" w:color="auto" w:sz="4" w:space="0"/>
              <w:bottom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2013" w:type="dxa"/>
            <w:gridSpan w:val="5"/>
            <w:tcBorders>
              <w:left w:val="single" w:color="auto" w:sz="4" w:space="0"/>
              <w:bottom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vAlign w:val="center"/>
          </w:tcPr>
          <w:p>
            <w:pPr>
              <w:spacing w:line="320" w:lineRule="exact"/>
              <w:jc w:val="center"/>
              <w:rPr>
                <w:rFonts w:ascii="仿宋_GB2312" w:hAnsi="仿宋_GB2312" w:eastAsia="仿宋_GB2312" w:cs="仿宋_GB2312"/>
                <w:sz w:val="24"/>
              </w:rPr>
            </w:pPr>
          </w:p>
        </w:tc>
        <w:tc>
          <w:tcPr>
            <w:tcW w:w="1080"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vMerge w:val="restart"/>
            <w:tcBorders>
              <w:top w:val="single" w:color="auto" w:sz="4" w:space="0"/>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基本支出</w:t>
            </w:r>
          </w:p>
        </w:tc>
        <w:tc>
          <w:tcPr>
            <w:tcW w:w="2660" w:type="dxa"/>
            <w:gridSpan w:val="4"/>
            <w:tcBorders>
              <w:top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185" w:type="dxa"/>
            <w:gridSpan w:val="2"/>
            <w:vMerge w:val="restart"/>
            <w:tcBorders>
              <w:top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项目支出</w:t>
            </w:r>
          </w:p>
        </w:tc>
        <w:tc>
          <w:tcPr>
            <w:tcW w:w="1068" w:type="dxa"/>
            <w:gridSpan w:val="3"/>
            <w:vMerge w:val="restart"/>
            <w:tcBorders>
              <w:top w:val="single" w:color="auto" w:sz="4" w:space="0"/>
              <w:left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当年结余</w:t>
            </w:r>
          </w:p>
        </w:tc>
        <w:tc>
          <w:tcPr>
            <w:tcW w:w="945" w:type="dxa"/>
            <w:gridSpan w:val="2"/>
            <w:vMerge w:val="restart"/>
            <w:tcBorders>
              <w:top w:val="single" w:color="auto" w:sz="4" w:space="0"/>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累计结余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vAlign w:val="center"/>
          </w:tcPr>
          <w:p>
            <w:pPr>
              <w:spacing w:line="320" w:lineRule="exact"/>
              <w:jc w:val="center"/>
              <w:rPr>
                <w:rFonts w:ascii="仿宋_GB2312" w:hAnsi="仿宋_GB2312" w:eastAsia="仿宋_GB2312" w:cs="仿宋_GB2312"/>
                <w:sz w:val="24"/>
              </w:rPr>
            </w:pPr>
          </w:p>
        </w:tc>
        <w:tc>
          <w:tcPr>
            <w:tcW w:w="1080"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vMerge w:val="continue"/>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人员支出</w:t>
            </w:r>
          </w:p>
        </w:tc>
        <w:tc>
          <w:tcPr>
            <w:tcW w:w="15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公用支出</w:t>
            </w:r>
          </w:p>
        </w:tc>
        <w:tc>
          <w:tcPr>
            <w:tcW w:w="1185" w:type="dxa"/>
            <w:gridSpan w:val="2"/>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68" w:type="dxa"/>
            <w:gridSpan w:val="3"/>
            <w:vMerge w:val="continue"/>
            <w:tcBorders>
              <w:left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945" w:type="dxa"/>
            <w:gridSpan w:val="2"/>
            <w:vMerge w:val="continue"/>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77"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080" w:type="dxa"/>
            <w:tcBorders>
              <w:right w:val="single" w:color="auto" w:sz="4" w:space="0"/>
            </w:tcBorders>
            <w:vAlign w:val="center"/>
          </w:tcPr>
          <w:p>
            <w:pPr>
              <w:keepNext w:val="0"/>
              <w:keepLines w:val="0"/>
              <w:widowControl/>
              <w:suppressLineNumbers w:val="0"/>
              <w:jc w:val="righ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15835.73</w:t>
            </w:r>
          </w:p>
        </w:tc>
        <w:tc>
          <w:tcPr>
            <w:tcW w:w="1355" w:type="dxa"/>
            <w:gridSpan w:val="2"/>
            <w:tcBorders>
              <w:left w:val="single" w:color="auto" w:sz="4" w:space="0"/>
            </w:tcBorders>
            <w:vAlign w:val="center"/>
          </w:tcPr>
          <w:p>
            <w:pPr>
              <w:keepNext w:val="0"/>
              <w:keepLines w:val="0"/>
              <w:widowControl/>
              <w:suppressLineNumbers w:val="0"/>
              <w:jc w:val="righ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10464.41</w:t>
            </w:r>
          </w:p>
        </w:tc>
        <w:tc>
          <w:tcPr>
            <w:tcW w:w="1080" w:type="dxa"/>
            <w:gridSpan w:val="2"/>
            <w:vAlign w:val="center"/>
          </w:tcPr>
          <w:p>
            <w:pPr>
              <w:keepNext w:val="0"/>
              <w:keepLines w:val="0"/>
              <w:widowControl/>
              <w:suppressLineNumbers w:val="0"/>
              <w:jc w:val="righ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8987.32</w:t>
            </w:r>
          </w:p>
        </w:tc>
        <w:tc>
          <w:tcPr>
            <w:tcW w:w="1580" w:type="dxa"/>
            <w:gridSpan w:val="2"/>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1477.09</w:t>
            </w:r>
          </w:p>
        </w:tc>
        <w:tc>
          <w:tcPr>
            <w:tcW w:w="1185" w:type="dxa"/>
            <w:gridSpan w:val="2"/>
            <w:vAlign w:val="center"/>
          </w:tcPr>
          <w:p>
            <w:pPr>
              <w:keepNext w:val="0"/>
              <w:keepLines w:val="0"/>
              <w:widowControl/>
              <w:suppressLineNumbers w:val="0"/>
              <w:jc w:val="righ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5371.32</w:t>
            </w:r>
          </w:p>
        </w:tc>
        <w:tc>
          <w:tcPr>
            <w:tcW w:w="1068" w:type="dxa"/>
            <w:gridSpan w:val="3"/>
            <w:tcBorders>
              <w:right w:val="single" w:color="auto" w:sz="4" w:space="0"/>
            </w:tcBorders>
            <w:vAlign w:val="center"/>
          </w:tcPr>
          <w:p>
            <w:pPr>
              <w:keepNext w:val="0"/>
              <w:keepLines w:val="0"/>
              <w:widowControl/>
              <w:suppressLineNumbers w:val="0"/>
              <w:jc w:val="righ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-523.17</w:t>
            </w:r>
          </w:p>
        </w:tc>
        <w:tc>
          <w:tcPr>
            <w:tcW w:w="945" w:type="dxa"/>
            <w:gridSpan w:val="2"/>
            <w:tcBorders>
              <w:left w:val="single" w:color="auto" w:sz="4" w:space="0"/>
            </w:tcBorders>
            <w:vAlign w:val="center"/>
          </w:tcPr>
          <w:p>
            <w:pPr>
              <w:keepNext w:val="0"/>
              <w:keepLines w:val="0"/>
              <w:widowControl/>
              <w:suppressLineNumbers w:val="0"/>
              <w:jc w:val="righ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1108.23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ascii="仿宋_GB2312" w:hAnsi="仿宋_GB2312" w:eastAsia="仿宋_GB2312" w:cs="仿宋_GB2312"/>
                <w:color w:val="000000"/>
                <w:sz w:val="24"/>
              </w:rPr>
            </w:pPr>
            <w:r>
              <w:rPr>
                <w:rFonts w:hint="eastAsia" w:ascii="仿宋_GB2312" w:hAnsi="仿宋_GB2312" w:eastAsia="仿宋_GB2312" w:cs="仿宋_GB2312"/>
                <w:sz w:val="24"/>
              </w:rPr>
              <w:t>1、局机关</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6960.13</w:t>
            </w:r>
          </w:p>
        </w:tc>
        <w:tc>
          <w:tcPr>
            <w:tcW w:w="135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4904.64</w:t>
            </w:r>
          </w:p>
        </w:tc>
        <w:tc>
          <w:tcPr>
            <w:tcW w:w="1080" w:type="dxa"/>
            <w:gridSpan w:val="2"/>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4387.17</w:t>
            </w:r>
          </w:p>
        </w:tc>
        <w:tc>
          <w:tcPr>
            <w:tcW w:w="1580" w:type="dxa"/>
            <w:gridSpan w:val="2"/>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517.47</w:t>
            </w:r>
          </w:p>
        </w:tc>
        <w:tc>
          <w:tcPr>
            <w:tcW w:w="1185" w:type="dxa"/>
            <w:gridSpan w:val="2"/>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2055.49</w:t>
            </w:r>
          </w:p>
        </w:tc>
        <w:tc>
          <w:tcPr>
            <w:tcW w:w="1068" w:type="dxa"/>
            <w:gridSpan w:val="3"/>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-865.24</w:t>
            </w:r>
          </w:p>
        </w:tc>
        <w:tc>
          <w:tcPr>
            <w:tcW w:w="94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39.52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sz w:val="24"/>
                <w:lang w:val="en-US" w:eastAsia="zh-CN"/>
              </w:rPr>
              <w:t>2</w:t>
            </w:r>
            <w:r>
              <w:rPr>
                <w:rFonts w:hint="eastAsia" w:ascii="仿宋_GB2312" w:hAnsi="仿宋_GB2312" w:eastAsia="仿宋_GB2312" w:cs="仿宋_GB2312"/>
                <w:sz w:val="24"/>
              </w:rPr>
              <w:t>、</w:t>
            </w:r>
            <w:r>
              <w:rPr>
                <w:rFonts w:hint="eastAsia" w:ascii="仿宋_GB2312" w:hAnsi="仿宋_GB2312" w:eastAsia="仿宋_GB2312" w:cs="仿宋_GB2312"/>
                <w:sz w:val="24"/>
                <w:lang w:eastAsia="zh-CN"/>
              </w:rPr>
              <w:t>经开区分局</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2084.74</w:t>
            </w:r>
          </w:p>
        </w:tc>
        <w:tc>
          <w:tcPr>
            <w:tcW w:w="135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1659.66</w:t>
            </w:r>
          </w:p>
        </w:tc>
        <w:tc>
          <w:tcPr>
            <w:tcW w:w="1080" w:type="dxa"/>
            <w:gridSpan w:val="2"/>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1403.43</w:t>
            </w:r>
          </w:p>
        </w:tc>
        <w:tc>
          <w:tcPr>
            <w:tcW w:w="1580" w:type="dxa"/>
            <w:gridSpan w:val="2"/>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256.23</w:t>
            </w:r>
          </w:p>
        </w:tc>
        <w:tc>
          <w:tcPr>
            <w:tcW w:w="1185" w:type="dxa"/>
            <w:gridSpan w:val="2"/>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425.08</w:t>
            </w:r>
          </w:p>
        </w:tc>
        <w:tc>
          <w:tcPr>
            <w:tcW w:w="1068" w:type="dxa"/>
            <w:gridSpan w:val="3"/>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218.89</w:t>
            </w:r>
          </w:p>
        </w:tc>
        <w:tc>
          <w:tcPr>
            <w:tcW w:w="94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380.18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3、南湖分局</w:t>
            </w:r>
          </w:p>
        </w:tc>
        <w:tc>
          <w:tcPr>
            <w:tcW w:w="1080" w:type="dxa"/>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1156.32</w:t>
            </w:r>
          </w:p>
        </w:tc>
        <w:tc>
          <w:tcPr>
            <w:tcW w:w="1355" w:type="dxa"/>
            <w:gridSpan w:val="2"/>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640.23</w:t>
            </w:r>
          </w:p>
        </w:tc>
        <w:tc>
          <w:tcPr>
            <w:tcW w:w="10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535.77</w:t>
            </w:r>
          </w:p>
        </w:tc>
        <w:tc>
          <w:tcPr>
            <w:tcW w:w="15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104.46</w:t>
            </w:r>
          </w:p>
        </w:tc>
        <w:tc>
          <w:tcPr>
            <w:tcW w:w="1185"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516.09</w:t>
            </w:r>
          </w:p>
        </w:tc>
        <w:tc>
          <w:tcPr>
            <w:tcW w:w="1068" w:type="dxa"/>
            <w:gridSpan w:val="3"/>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4.81</w:t>
            </w:r>
          </w:p>
        </w:tc>
        <w:tc>
          <w:tcPr>
            <w:tcW w:w="94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155.01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Align w:val="center"/>
          </w:tcPr>
          <w:p>
            <w:pPr>
              <w:spacing w:line="320" w:lineRule="exact"/>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4、城陵矶新港区分局</w:t>
            </w:r>
          </w:p>
        </w:tc>
        <w:tc>
          <w:tcPr>
            <w:tcW w:w="1080" w:type="dxa"/>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3</w:t>
            </w:r>
            <w:r>
              <w:rPr>
                <w:rFonts w:ascii="仿宋_GB2312" w:hAnsi="仿宋_GB2312" w:eastAsia="仿宋_GB2312" w:cs="仿宋_GB2312"/>
                <w:color w:val="000000"/>
                <w:sz w:val="24"/>
              </w:rPr>
              <w:t>44.62</w:t>
            </w:r>
          </w:p>
        </w:tc>
        <w:tc>
          <w:tcPr>
            <w:tcW w:w="1355" w:type="dxa"/>
            <w:gridSpan w:val="2"/>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2</w:t>
            </w:r>
            <w:r>
              <w:rPr>
                <w:rFonts w:ascii="仿宋_GB2312" w:hAnsi="仿宋_GB2312" w:eastAsia="仿宋_GB2312" w:cs="仿宋_GB2312"/>
                <w:color w:val="000000"/>
                <w:sz w:val="24"/>
              </w:rPr>
              <w:t>42.5</w:t>
            </w:r>
          </w:p>
        </w:tc>
        <w:tc>
          <w:tcPr>
            <w:tcW w:w="10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1</w:t>
            </w:r>
            <w:r>
              <w:rPr>
                <w:rFonts w:ascii="仿宋_GB2312" w:hAnsi="仿宋_GB2312" w:eastAsia="仿宋_GB2312" w:cs="仿宋_GB2312"/>
                <w:color w:val="000000"/>
                <w:sz w:val="24"/>
              </w:rPr>
              <w:t>97.25</w:t>
            </w:r>
          </w:p>
        </w:tc>
        <w:tc>
          <w:tcPr>
            <w:tcW w:w="15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4</w:t>
            </w:r>
            <w:r>
              <w:rPr>
                <w:rFonts w:ascii="仿宋_GB2312" w:hAnsi="仿宋_GB2312" w:eastAsia="仿宋_GB2312" w:cs="仿宋_GB2312"/>
                <w:color w:val="000000"/>
                <w:sz w:val="24"/>
              </w:rPr>
              <w:t>5.25</w:t>
            </w:r>
          </w:p>
        </w:tc>
        <w:tc>
          <w:tcPr>
            <w:tcW w:w="1185"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1</w:t>
            </w:r>
            <w:r>
              <w:rPr>
                <w:rFonts w:ascii="仿宋_GB2312" w:hAnsi="仿宋_GB2312" w:eastAsia="仿宋_GB2312" w:cs="仿宋_GB2312"/>
                <w:color w:val="000000"/>
                <w:sz w:val="24"/>
              </w:rPr>
              <w:t>02.12</w:t>
            </w:r>
          </w:p>
        </w:tc>
        <w:tc>
          <w:tcPr>
            <w:tcW w:w="1068" w:type="dxa"/>
            <w:gridSpan w:val="3"/>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-44.99</w:t>
            </w:r>
          </w:p>
        </w:tc>
        <w:tc>
          <w:tcPr>
            <w:tcW w:w="885" w:type="dxa"/>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1</w:t>
            </w:r>
            <w:r>
              <w:rPr>
                <w:rFonts w:ascii="仿宋_GB2312" w:hAnsi="仿宋_GB2312" w:eastAsia="仿宋_GB2312" w:cs="仿宋_GB2312"/>
                <w:color w:val="000000"/>
                <w:sz w:val="24"/>
              </w:rPr>
              <w:t>1.3</w:t>
            </w:r>
            <w:r>
              <w:rPr>
                <w:rFonts w:hint="eastAsia" w:ascii="仿宋_GB2312" w:hAnsi="仿宋_GB2312" w:eastAsia="仿宋_GB2312" w:cs="仿宋_GB2312"/>
                <w:color w:val="000000"/>
                <w:sz w:val="24"/>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Align w:val="center"/>
          </w:tcPr>
          <w:p>
            <w:pPr>
              <w:spacing w:line="320" w:lineRule="exact"/>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5、综合行政执法支队</w:t>
            </w:r>
          </w:p>
        </w:tc>
        <w:tc>
          <w:tcPr>
            <w:tcW w:w="1080" w:type="dxa"/>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1</w:t>
            </w:r>
            <w:r>
              <w:rPr>
                <w:rFonts w:ascii="仿宋_GB2312" w:hAnsi="仿宋_GB2312" w:eastAsia="仿宋_GB2312" w:cs="仿宋_GB2312"/>
                <w:color w:val="000000"/>
                <w:sz w:val="24"/>
              </w:rPr>
              <w:t>946.80</w:t>
            </w:r>
          </w:p>
        </w:tc>
        <w:tc>
          <w:tcPr>
            <w:tcW w:w="1355" w:type="dxa"/>
            <w:gridSpan w:val="2"/>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1</w:t>
            </w:r>
            <w:r>
              <w:rPr>
                <w:rFonts w:ascii="仿宋_GB2312" w:hAnsi="仿宋_GB2312" w:eastAsia="仿宋_GB2312" w:cs="仿宋_GB2312"/>
                <w:color w:val="000000"/>
                <w:sz w:val="24"/>
              </w:rPr>
              <w:t>304.64</w:t>
            </w:r>
          </w:p>
        </w:tc>
        <w:tc>
          <w:tcPr>
            <w:tcW w:w="10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ascii="仿宋_GB2312" w:hAnsi="仿宋_GB2312" w:eastAsia="仿宋_GB2312" w:cs="仿宋_GB2312"/>
                <w:color w:val="000000"/>
                <w:sz w:val="24"/>
              </w:rPr>
              <w:t>1133.39</w:t>
            </w:r>
          </w:p>
        </w:tc>
        <w:tc>
          <w:tcPr>
            <w:tcW w:w="15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1</w:t>
            </w:r>
            <w:r>
              <w:rPr>
                <w:rFonts w:ascii="仿宋_GB2312" w:hAnsi="仿宋_GB2312" w:eastAsia="仿宋_GB2312" w:cs="仿宋_GB2312"/>
                <w:color w:val="000000"/>
                <w:sz w:val="24"/>
              </w:rPr>
              <w:t>71.25</w:t>
            </w:r>
          </w:p>
        </w:tc>
        <w:tc>
          <w:tcPr>
            <w:tcW w:w="1185"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ascii="仿宋_GB2312" w:hAnsi="仿宋_GB2312" w:eastAsia="仿宋_GB2312" w:cs="仿宋_GB2312"/>
                <w:color w:val="000000"/>
                <w:sz w:val="24"/>
              </w:rPr>
              <w:t>642.16</w:t>
            </w:r>
          </w:p>
        </w:tc>
        <w:tc>
          <w:tcPr>
            <w:tcW w:w="1068" w:type="dxa"/>
            <w:gridSpan w:val="3"/>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w:t>
            </w:r>
            <w:r>
              <w:rPr>
                <w:rFonts w:ascii="仿宋_GB2312" w:hAnsi="仿宋_GB2312" w:eastAsia="仿宋_GB2312" w:cs="仿宋_GB2312"/>
                <w:color w:val="000000"/>
                <w:sz w:val="24"/>
              </w:rPr>
              <w:t>170.63</w:t>
            </w:r>
          </w:p>
        </w:tc>
        <w:tc>
          <w:tcPr>
            <w:tcW w:w="885" w:type="dxa"/>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6</w:t>
            </w:r>
            <w:r>
              <w:rPr>
                <w:rFonts w:ascii="仿宋_GB2312" w:hAnsi="仿宋_GB2312" w:eastAsia="仿宋_GB2312" w:cs="仿宋_GB2312"/>
                <w:color w:val="000000"/>
                <w:sz w:val="24"/>
              </w:rPr>
              <w:t>5.34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Align w:val="center"/>
          </w:tcPr>
          <w:p>
            <w:pPr>
              <w:spacing w:line="320" w:lineRule="exact"/>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6、检验检测中心</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3343.12</w:t>
            </w:r>
          </w:p>
        </w:tc>
        <w:tc>
          <w:tcPr>
            <w:tcW w:w="135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1712.74</w:t>
            </w:r>
          </w:p>
        </w:tc>
        <w:tc>
          <w:tcPr>
            <w:tcW w:w="1080" w:type="dxa"/>
            <w:gridSpan w:val="2"/>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1330.31</w:t>
            </w:r>
          </w:p>
        </w:tc>
        <w:tc>
          <w:tcPr>
            <w:tcW w:w="1580" w:type="dxa"/>
            <w:gridSpan w:val="2"/>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382.43</w:t>
            </w:r>
          </w:p>
        </w:tc>
        <w:tc>
          <w:tcPr>
            <w:tcW w:w="1185" w:type="dxa"/>
            <w:gridSpan w:val="2"/>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1630.38</w:t>
            </w:r>
          </w:p>
        </w:tc>
        <w:tc>
          <w:tcPr>
            <w:tcW w:w="1068" w:type="dxa"/>
            <w:gridSpan w:val="3"/>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333.98</w:t>
            </w:r>
          </w:p>
        </w:tc>
        <w:tc>
          <w:tcPr>
            <w:tcW w:w="885" w:type="dxa"/>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456.84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Merge w:val="restart"/>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三公经费</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7153" w:type="dxa"/>
            <w:gridSpan w:val="1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Merge w:val="continue"/>
            <w:vAlign w:val="center"/>
          </w:tcPr>
          <w:p>
            <w:pPr>
              <w:spacing w:line="320" w:lineRule="exact"/>
              <w:jc w:val="center"/>
              <w:rPr>
                <w:rFonts w:ascii="仿宋_GB2312" w:hAnsi="仿宋_GB2312" w:eastAsia="仿宋_GB2312" w:cs="仿宋_GB2312"/>
                <w:sz w:val="24"/>
              </w:rPr>
            </w:pPr>
          </w:p>
        </w:tc>
        <w:tc>
          <w:tcPr>
            <w:tcW w:w="1080"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公务接待费</w:t>
            </w: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公务用车运维费</w:t>
            </w:r>
          </w:p>
        </w:tc>
        <w:tc>
          <w:tcPr>
            <w:tcW w:w="15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公务用车购置费</w:t>
            </w:r>
          </w:p>
        </w:tc>
        <w:tc>
          <w:tcPr>
            <w:tcW w:w="3138"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因公出国费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858"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080" w:type="dxa"/>
            <w:tcBorders>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2"/>
                <w:szCs w:val="22"/>
                <w:u w:val="none"/>
                <w:lang w:val="en-US" w:eastAsia="zh-CN" w:bidi="ar-SA"/>
              </w:rPr>
            </w:pPr>
            <w:r>
              <w:rPr>
                <w:rFonts w:hint="eastAsia" w:ascii="仿宋_GB2312" w:hAnsi="仿宋_GB2312" w:eastAsia="仿宋_GB2312" w:cs="仿宋_GB2312"/>
                <w:i w:val="0"/>
                <w:color w:val="000000"/>
                <w:kern w:val="0"/>
                <w:sz w:val="22"/>
                <w:szCs w:val="22"/>
                <w:u w:val="none"/>
                <w:lang w:val="en-US" w:eastAsia="zh-CN" w:bidi="ar"/>
              </w:rPr>
              <w:t>159.86</w:t>
            </w:r>
          </w:p>
        </w:tc>
        <w:tc>
          <w:tcPr>
            <w:tcW w:w="1355" w:type="dxa"/>
            <w:gridSpan w:val="2"/>
            <w:tcBorders>
              <w:lef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2"/>
                <w:szCs w:val="22"/>
                <w:u w:val="none"/>
                <w:lang w:val="en-US" w:eastAsia="zh-CN" w:bidi="ar-SA"/>
              </w:rPr>
            </w:pPr>
            <w:r>
              <w:rPr>
                <w:rFonts w:hint="eastAsia" w:ascii="仿宋_GB2312" w:hAnsi="仿宋_GB2312" w:eastAsia="仿宋_GB2312" w:cs="仿宋_GB2312"/>
                <w:i w:val="0"/>
                <w:color w:val="000000"/>
                <w:kern w:val="0"/>
                <w:sz w:val="22"/>
                <w:szCs w:val="22"/>
                <w:u w:val="none"/>
                <w:lang w:val="en-US" w:eastAsia="zh-CN" w:bidi="ar"/>
              </w:rPr>
              <w:t>28.64</w:t>
            </w:r>
          </w:p>
        </w:tc>
        <w:tc>
          <w:tcPr>
            <w:tcW w:w="1080" w:type="dxa"/>
            <w:gridSpan w:val="2"/>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2"/>
                <w:szCs w:val="22"/>
                <w:u w:val="none"/>
                <w:lang w:val="en-US" w:eastAsia="zh-CN" w:bidi="ar-SA"/>
              </w:rPr>
            </w:pPr>
            <w:r>
              <w:rPr>
                <w:rFonts w:hint="eastAsia" w:ascii="仿宋_GB2312" w:hAnsi="仿宋_GB2312" w:eastAsia="仿宋_GB2312" w:cs="仿宋_GB2312"/>
                <w:i w:val="0"/>
                <w:color w:val="000000"/>
                <w:kern w:val="0"/>
                <w:sz w:val="22"/>
                <w:szCs w:val="22"/>
                <w:u w:val="none"/>
                <w:lang w:val="en-US" w:eastAsia="zh-CN" w:bidi="ar"/>
              </w:rPr>
              <w:t>113.77</w:t>
            </w:r>
          </w:p>
        </w:tc>
        <w:tc>
          <w:tcPr>
            <w:tcW w:w="1580" w:type="dxa"/>
            <w:gridSpan w:val="2"/>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2"/>
                <w:szCs w:val="22"/>
                <w:u w:val="none"/>
                <w:lang w:val="en-US" w:eastAsia="zh-CN" w:bidi="ar-SA"/>
              </w:rPr>
            </w:pPr>
            <w:r>
              <w:rPr>
                <w:rFonts w:hint="eastAsia" w:ascii="仿宋_GB2312" w:hAnsi="仿宋_GB2312" w:eastAsia="仿宋_GB2312" w:cs="仿宋_GB2312"/>
                <w:i w:val="0"/>
                <w:color w:val="000000"/>
                <w:kern w:val="0"/>
                <w:sz w:val="22"/>
                <w:szCs w:val="22"/>
                <w:u w:val="none"/>
                <w:lang w:val="en-US" w:eastAsia="zh-CN" w:bidi="ar"/>
              </w:rPr>
              <w:t>17.44</w:t>
            </w:r>
          </w:p>
        </w:tc>
        <w:tc>
          <w:tcPr>
            <w:tcW w:w="3138" w:type="dxa"/>
            <w:gridSpan w:val="6"/>
            <w:vAlign w:val="center"/>
          </w:tcPr>
          <w:p>
            <w:pPr>
              <w:keepNext w:val="0"/>
              <w:keepLines w:val="0"/>
              <w:widowControl/>
              <w:suppressLineNumbers w:val="0"/>
              <w:jc w:val="right"/>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1、局机关</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68.24</w:t>
            </w:r>
          </w:p>
        </w:tc>
        <w:tc>
          <w:tcPr>
            <w:tcW w:w="135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15.07</w:t>
            </w:r>
          </w:p>
        </w:tc>
        <w:tc>
          <w:tcPr>
            <w:tcW w:w="1080" w:type="dxa"/>
            <w:gridSpan w:val="2"/>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35.72</w:t>
            </w:r>
          </w:p>
        </w:tc>
        <w:tc>
          <w:tcPr>
            <w:tcW w:w="1580" w:type="dxa"/>
            <w:gridSpan w:val="2"/>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17.44</w:t>
            </w:r>
          </w:p>
        </w:tc>
        <w:tc>
          <w:tcPr>
            <w:tcW w:w="3138" w:type="dxa"/>
            <w:gridSpan w:val="6"/>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lang w:val="en-US" w:eastAsia="zh-CN"/>
              </w:rPr>
              <w:t>2</w:t>
            </w:r>
            <w:r>
              <w:rPr>
                <w:rFonts w:hint="eastAsia" w:ascii="仿宋_GB2312" w:hAnsi="仿宋_GB2312" w:eastAsia="仿宋_GB2312" w:cs="仿宋_GB2312"/>
                <w:sz w:val="24"/>
              </w:rPr>
              <w:t>、</w:t>
            </w:r>
            <w:r>
              <w:rPr>
                <w:rFonts w:hint="eastAsia" w:ascii="仿宋_GB2312" w:hAnsi="仿宋_GB2312" w:eastAsia="仿宋_GB2312" w:cs="仿宋_GB2312"/>
                <w:sz w:val="24"/>
                <w:lang w:eastAsia="zh-CN"/>
              </w:rPr>
              <w:t>经开区分局</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27.42</w:t>
            </w:r>
          </w:p>
        </w:tc>
        <w:tc>
          <w:tcPr>
            <w:tcW w:w="135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3.69</w:t>
            </w:r>
          </w:p>
        </w:tc>
        <w:tc>
          <w:tcPr>
            <w:tcW w:w="1080" w:type="dxa"/>
            <w:gridSpan w:val="2"/>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23.73</w:t>
            </w:r>
          </w:p>
        </w:tc>
        <w:tc>
          <w:tcPr>
            <w:tcW w:w="15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3138" w:type="dxa"/>
            <w:gridSpan w:val="6"/>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Align w:val="center"/>
          </w:tcPr>
          <w:p>
            <w:pPr>
              <w:spacing w:line="320" w:lineRule="exact"/>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3、南湖分局</w:t>
            </w:r>
          </w:p>
        </w:tc>
        <w:tc>
          <w:tcPr>
            <w:tcW w:w="1080" w:type="dxa"/>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10.71</w:t>
            </w:r>
          </w:p>
        </w:tc>
        <w:tc>
          <w:tcPr>
            <w:tcW w:w="1355" w:type="dxa"/>
            <w:gridSpan w:val="2"/>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2.13</w:t>
            </w:r>
          </w:p>
        </w:tc>
        <w:tc>
          <w:tcPr>
            <w:tcW w:w="10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8.58</w:t>
            </w:r>
          </w:p>
        </w:tc>
        <w:tc>
          <w:tcPr>
            <w:tcW w:w="15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p>
        </w:tc>
        <w:tc>
          <w:tcPr>
            <w:tcW w:w="3138" w:type="dxa"/>
            <w:gridSpan w:val="6"/>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Align w:val="center"/>
          </w:tcPr>
          <w:p>
            <w:pPr>
              <w:spacing w:line="320" w:lineRule="exact"/>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4、城陵矶新港区分局</w:t>
            </w:r>
          </w:p>
        </w:tc>
        <w:tc>
          <w:tcPr>
            <w:tcW w:w="1080" w:type="dxa"/>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4</w:t>
            </w:r>
            <w:r>
              <w:rPr>
                <w:rFonts w:ascii="仿宋_GB2312" w:hAnsi="仿宋_GB2312" w:eastAsia="仿宋_GB2312" w:cs="仿宋_GB2312"/>
                <w:color w:val="000000"/>
                <w:sz w:val="24"/>
              </w:rPr>
              <w:t>.31</w:t>
            </w:r>
          </w:p>
        </w:tc>
        <w:tc>
          <w:tcPr>
            <w:tcW w:w="1355" w:type="dxa"/>
            <w:gridSpan w:val="2"/>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0</w:t>
            </w:r>
            <w:r>
              <w:rPr>
                <w:rFonts w:ascii="仿宋_GB2312" w:hAnsi="仿宋_GB2312" w:eastAsia="仿宋_GB2312" w:cs="仿宋_GB2312"/>
                <w:color w:val="000000"/>
                <w:sz w:val="24"/>
              </w:rPr>
              <w:t>.51</w:t>
            </w:r>
          </w:p>
        </w:tc>
        <w:tc>
          <w:tcPr>
            <w:tcW w:w="10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3</w:t>
            </w:r>
            <w:r>
              <w:rPr>
                <w:rFonts w:ascii="仿宋_GB2312" w:hAnsi="仿宋_GB2312" w:eastAsia="仿宋_GB2312" w:cs="仿宋_GB2312"/>
                <w:color w:val="000000"/>
                <w:sz w:val="24"/>
              </w:rPr>
              <w:t>.8</w:t>
            </w:r>
          </w:p>
        </w:tc>
        <w:tc>
          <w:tcPr>
            <w:tcW w:w="15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3138" w:type="dxa"/>
            <w:gridSpan w:val="6"/>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Align w:val="center"/>
          </w:tcPr>
          <w:p>
            <w:pPr>
              <w:spacing w:line="320" w:lineRule="exact"/>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5、综合行政执法支队</w:t>
            </w:r>
          </w:p>
        </w:tc>
        <w:tc>
          <w:tcPr>
            <w:tcW w:w="1080" w:type="dxa"/>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2</w:t>
            </w:r>
            <w:r>
              <w:rPr>
                <w:rFonts w:ascii="仿宋_GB2312" w:hAnsi="仿宋_GB2312" w:eastAsia="仿宋_GB2312" w:cs="仿宋_GB2312"/>
                <w:color w:val="000000"/>
                <w:sz w:val="24"/>
              </w:rPr>
              <w:t>1.93</w:t>
            </w:r>
          </w:p>
        </w:tc>
        <w:tc>
          <w:tcPr>
            <w:tcW w:w="1355" w:type="dxa"/>
            <w:gridSpan w:val="2"/>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4</w:t>
            </w:r>
            <w:r>
              <w:rPr>
                <w:rFonts w:ascii="仿宋_GB2312" w:hAnsi="仿宋_GB2312" w:eastAsia="仿宋_GB2312" w:cs="仿宋_GB2312"/>
                <w:color w:val="000000"/>
                <w:sz w:val="24"/>
              </w:rPr>
              <w:t>.87</w:t>
            </w:r>
          </w:p>
        </w:tc>
        <w:tc>
          <w:tcPr>
            <w:tcW w:w="10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1</w:t>
            </w:r>
            <w:r>
              <w:rPr>
                <w:rFonts w:ascii="仿宋_GB2312" w:hAnsi="仿宋_GB2312" w:eastAsia="仿宋_GB2312" w:cs="仿宋_GB2312"/>
                <w:color w:val="000000"/>
                <w:sz w:val="24"/>
              </w:rPr>
              <w:t>7.06</w:t>
            </w:r>
          </w:p>
        </w:tc>
        <w:tc>
          <w:tcPr>
            <w:tcW w:w="15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3138" w:type="dxa"/>
            <w:gridSpan w:val="6"/>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821" w:hRule="atLeast"/>
          <w:jc w:val="center"/>
        </w:trPr>
        <w:tc>
          <w:tcPr>
            <w:tcW w:w="1700" w:type="dxa"/>
            <w:gridSpan w:val="3"/>
            <w:vAlign w:val="center"/>
          </w:tcPr>
          <w:p>
            <w:pPr>
              <w:spacing w:line="320" w:lineRule="exact"/>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6、检验检测中心</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27.25</w:t>
            </w:r>
          </w:p>
        </w:tc>
        <w:tc>
          <w:tcPr>
            <w:tcW w:w="135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2.37</w:t>
            </w:r>
          </w:p>
        </w:tc>
        <w:tc>
          <w:tcPr>
            <w:tcW w:w="1080" w:type="dxa"/>
            <w:gridSpan w:val="2"/>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24.88</w:t>
            </w:r>
          </w:p>
        </w:tc>
        <w:tc>
          <w:tcPr>
            <w:tcW w:w="15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3138" w:type="dxa"/>
            <w:gridSpan w:val="6"/>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Merge w:val="restart"/>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固定资产</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6079" w:type="dxa"/>
            <w:gridSpan w:val="10"/>
            <w:tcBorders>
              <w:left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074" w:type="dxa"/>
            <w:gridSpan w:val="2"/>
            <w:vMerge w:val="restart"/>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Merge w:val="continue"/>
            <w:vAlign w:val="center"/>
          </w:tcPr>
          <w:p>
            <w:pPr>
              <w:spacing w:line="320" w:lineRule="exact"/>
              <w:jc w:val="center"/>
              <w:rPr>
                <w:rFonts w:ascii="仿宋_GB2312" w:hAnsi="仿宋_GB2312" w:eastAsia="仿宋_GB2312" w:cs="仿宋_GB2312"/>
                <w:sz w:val="24"/>
              </w:rPr>
            </w:pPr>
          </w:p>
        </w:tc>
        <w:tc>
          <w:tcPr>
            <w:tcW w:w="1080"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35" w:type="dxa"/>
            <w:gridSpan w:val="4"/>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在用固定资产</w:t>
            </w:r>
          </w:p>
        </w:tc>
        <w:tc>
          <w:tcPr>
            <w:tcW w:w="3644" w:type="dxa"/>
            <w:gridSpan w:val="6"/>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出租固定资产</w:t>
            </w:r>
          </w:p>
        </w:tc>
        <w:tc>
          <w:tcPr>
            <w:tcW w:w="1074" w:type="dxa"/>
            <w:gridSpan w:val="2"/>
            <w:vMerge w:val="continue"/>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855"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6533.32</w:t>
            </w:r>
          </w:p>
        </w:tc>
        <w:tc>
          <w:tcPr>
            <w:tcW w:w="2435" w:type="dxa"/>
            <w:gridSpan w:val="4"/>
            <w:tcBorders>
              <w:left w:val="single" w:color="auto" w:sz="4" w:space="0"/>
            </w:tcBorders>
            <w:vAlign w:val="center"/>
          </w:tcPr>
          <w:p>
            <w:pPr>
              <w:autoSpaceDN w:val="0"/>
              <w:spacing w:line="320" w:lineRule="exact"/>
              <w:ind w:firstLine="720" w:firstLineChars="300"/>
              <w:jc w:val="both"/>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6533.32</w:t>
            </w:r>
          </w:p>
        </w:tc>
        <w:tc>
          <w:tcPr>
            <w:tcW w:w="3644"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7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1、局机关</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2663.14</w:t>
            </w:r>
          </w:p>
        </w:tc>
        <w:tc>
          <w:tcPr>
            <w:tcW w:w="2435" w:type="dxa"/>
            <w:gridSpan w:val="4"/>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2663.14</w:t>
            </w:r>
          </w:p>
        </w:tc>
        <w:tc>
          <w:tcPr>
            <w:tcW w:w="3644" w:type="dxa"/>
            <w:gridSpan w:val="6"/>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1074"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lang w:val="en-US" w:eastAsia="zh-CN"/>
              </w:rPr>
              <w:t>2</w:t>
            </w:r>
            <w:r>
              <w:rPr>
                <w:rFonts w:hint="eastAsia" w:ascii="仿宋_GB2312" w:hAnsi="仿宋_GB2312" w:eastAsia="仿宋_GB2312" w:cs="仿宋_GB2312"/>
                <w:sz w:val="24"/>
              </w:rPr>
              <w:t>、</w:t>
            </w:r>
            <w:r>
              <w:rPr>
                <w:rFonts w:hint="eastAsia" w:ascii="仿宋_GB2312" w:hAnsi="仿宋_GB2312" w:eastAsia="仿宋_GB2312" w:cs="仿宋_GB2312"/>
                <w:sz w:val="24"/>
                <w:lang w:eastAsia="zh-CN"/>
              </w:rPr>
              <w:t>经开区分局</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570.82</w:t>
            </w:r>
          </w:p>
        </w:tc>
        <w:tc>
          <w:tcPr>
            <w:tcW w:w="2435" w:type="dxa"/>
            <w:gridSpan w:val="4"/>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570.82</w:t>
            </w:r>
          </w:p>
        </w:tc>
        <w:tc>
          <w:tcPr>
            <w:tcW w:w="3644" w:type="dxa"/>
            <w:gridSpan w:val="6"/>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1074"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Align w:val="center"/>
          </w:tcPr>
          <w:p>
            <w:pPr>
              <w:spacing w:line="320" w:lineRule="exact"/>
              <w:jc w:val="left"/>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3、南湖分局</w:t>
            </w:r>
          </w:p>
        </w:tc>
        <w:tc>
          <w:tcPr>
            <w:tcW w:w="1080" w:type="dxa"/>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36.48</w:t>
            </w:r>
          </w:p>
        </w:tc>
        <w:tc>
          <w:tcPr>
            <w:tcW w:w="2435" w:type="dxa"/>
            <w:gridSpan w:val="4"/>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36.48</w:t>
            </w:r>
          </w:p>
        </w:tc>
        <w:tc>
          <w:tcPr>
            <w:tcW w:w="3644" w:type="dxa"/>
            <w:gridSpan w:val="6"/>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1074"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Align w:val="center"/>
          </w:tcPr>
          <w:p>
            <w:pPr>
              <w:spacing w:line="320" w:lineRule="exact"/>
              <w:jc w:val="left"/>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4、城陵矶新港区分局</w:t>
            </w:r>
          </w:p>
        </w:tc>
        <w:tc>
          <w:tcPr>
            <w:tcW w:w="1080" w:type="dxa"/>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5</w:t>
            </w:r>
            <w:r>
              <w:rPr>
                <w:rFonts w:ascii="仿宋_GB2312" w:hAnsi="仿宋_GB2312" w:eastAsia="仿宋_GB2312" w:cs="仿宋_GB2312"/>
                <w:color w:val="000000"/>
                <w:sz w:val="24"/>
              </w:rPr>
              <w:t>5.52</w:t>
            </w:r>
          </w:p>
        </w:tc>
        <w:tc>
          <w:tcPr>
            <w:tcW w:w="2435" w:type="dxa"/>
            <w:gridSpan w:val="4"/>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5</w:t>
            </w:r>
            <w:r>
              <w:rPr>
                <w:rFonts w:ascii="仿宋_GB2312" w:hAnsi="仿宋_GB2312" w:eastAsia="仿宋_GB2312" w:cs="仿宋_GB2312"/>
                <w:color w:val="000000"/>
                <w:sz w:val="24"/>
              </w:rPr>
              <w:t>5.52</w:t>
            </w:r>
          </w:p>
        </w:tc>
        <w:tc>
          <w:tcPr>
            <w:tcW w:w="3644" w:type="dxa"/>
            <w:gridSpan w:val="6"/>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0</w:t>
            </w:r>
          </w:p>
        </w:tc>
        <w:tc>
          <w:tcPr>
            <w:tcW w:w="1074"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Align w:val="center"/>
          </w:tcPr>
          <w:p>
            <w:pPr>
              <w:spacing w:line="320" w:lineRule="exact"/>
              <w:jc w:val="left"/>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5、综合行政执法支队</w:t>
            </w:r>
          </w:p>
        </w:tc>
        <w:tc>
          <w:tcPr>
            <w:tcW w:w="1080" w:type="dxa"/>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8</w:t>
            </w:r>
            <w:r>
              <w:rPr>
                <w:rFonts w:ascii="仿宋_GB2312" w:hAnsi="仿宋_GB2312" w:eastAsia="仿宋_GB2312" w:cs="仿宋_GB2312"/>
                <w:color w:val="000000"/>
                <w:sz w:val="24"/>
              </w:rPr>
              <w:t>4.58</w:t>
            </w:r>
          </w:p>
        </w:tc>
        <w:tc>
          <w:tcPr>
            <w:tcW w:w="2435" w:type="dxa"/>
            <w:gridSpan w:val="4"/>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8</w:t>
            </w:r>
            <w:r>
              <w:rPr>
                <w:rFonts w:ascii="仿宋_GB2312" w:hAnsi="仿宋_GB2312" w:eastAsia="仿宋_GB2312" w:cs="仿宋_GB2312"/>
                <w:color w:val="000000"/>
                <w:sz w:val="24"/>
              </w:rPr>
              <w:t>4.58</w:t>
            </w:r>
          </w:p>
        </w:tc>
        <w:tc>
          <w:tcPr>
            <w:tcW w:w="3644" w:type="dxa"/>
            <w:gridSpan w:val="6"/>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0</w:t>
            </w:r>
          </w:p>
        </w:tc>
        <w:tc>
          <w:tcPr>
            <w:tcW w:w="1074"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Align w:val="center"/>
          </w:tcPr>
          <w:p>
            <w:pPr>
              <w:spacing w:line="320" w:lineRule="exact"/>
              <w:jc w:val="left"/>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6、检验检测中心</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3122.78</w:t>
            </w:r>
          </w:p>
        </w:tc>
        <w:tc>
          <w:tcPr>
            <w:tcW w:w="2435" w:type="dxa"/>
            <w:gridSpan w:val="4"/>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3122.78</w:t>
            </w:r>
          </w:p>
        </w:tc>
        <w:tc>
          <w:tcPr>
            <w:tcW w:w="3644"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7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567" w:hRule="atLeast"/>
          <w:jc w:val="center"/>
        </w:trPr>
        <w:tc>
          <w:tcPr>
            <w:tcW w:w="9933" w:type="dxa"/>
            <w:gridSpan w:val="1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三、部门（单位）整体支出绩效自评情况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567" w:hRule="atLeast"/>
          <w:jc w:val="center"/>
        </w:trPr>
        <w:tc>
          <w:tcPr>
            <w:tcW w:w="1441" w:type="dxa"/>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整体支出绩效定性目标及实施计划完成情况</w:t>
            </w:r>
          </w:p>
        </w:tc>
        <w:tc>
          <w:tcPr>
            <w:tcW w:w="3774"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预期目标</w:t>
            </w:r>
          </w:p>
        </w:tc>
        <w:tc>
          <w:tcPr>
            <w:tcW w:w="4718" w:type="dxa"/>
            <w:gridSpan w:val="8"/>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实际完成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2425"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3774"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hint="eastAsia" w:ascii="仿宋_GB2312" w:hAnsi="楷体" w:eastAsia="仿宋_GB2312"/>
                <w:b w:val="0"/>
                <w:bCs/>
                <w:sz w:val="24"/>
                <w:szCs w:val="24"/>
              </w:rPr>
            </w:pPr>
            <w:r>
              <w:rPr>
                <w:rFonts w:hint="eastAsia" w:ascii="仿宋_GB2312" w:hAnsi="楷体" w:eastAsia="仿宋_GB2312"/>
                <w:b/>
                <w:bCs w:val="0"/>
                <w:sz w:val="24"/>
                <w:szCs w:val="24"/>
                <w:lang w:eastAsia="zh-CN"/>
              </w:rPr>
              <w:t>一是</w:t>
            </w:r>
            <w:r>
              <w:rPr>
                <w:rFonts w:hint="eastAsia" w:ascii="仿宋_GB2312" w:hAnsi="楷体" w:eastAsia="仿宋_GB2312"/>
                <w:b/>
                <w:bCs w:val="0"/>
                <w:sz w:val="24"/>
                <w:szCs w:val="24"/>
              </w:rPr>
              <w:t>突出主题</w:t>
            </w:r>
            <w:r>
              <w:rPr>
                <w:rFonts w:hint="eastAsia" w:ascii="仿宋_GB2312" w:hAnsi="楷体" w:eastAsia="仿宋_GB2312"/>
                <w:b/>
                <w:bCs w:val="0"/>
                <w:sz w:val="24"/>
                <w:szCs w:val="24"/>
                <w:lang w:eastAsia="zh-CN"/>
              </w:rPr>
              <w:t>。</w:t>
            </w:r>
            <w:r>
              <w:rPr>
                <w:rFonts w:hint="eastAsia" w:ascii="仿宋_GB2312" w:hAnsi="仿宋" w:eastAsia="仿宋_GB2312"/>
                <w:sz w:val="24"/>
                <w:szCs w:val="24"/>
              </w:rPr>
              <w:t>扎实开展“不忘初心、牢记使命”主题教育，</w:t>
            </w:r>
            <w:r>
              <w:rPr>
                <w:rFonts w:hint="eastAsia" w:ascii="仿宋_GB2312" w:hAnsi="仿宋" w:eastAsia="仿宋_GB2312"/>
                <w:sz w:val="24"/>
                <w:szCs w:val="24"/>
                <w:lang w:eastAsia="zh-CN"/>
              </w:rPr>
              <w:t>抓班子带队伍</w:t>
            </w:r>
            <w:r>
              <w:rPr>
                <w:rFonts w:hint="eastAsia" w:ascii="仿宋_GB2312" w:hAnsi="仿宋" w:eastAsia="仿宋_GB2312"/>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361" w:firstLineChars="150"/>
              <w:textAlignment w:val="auto"/>
              <w:rPr>
                <w:rFonts w:hint="eastAsia" w:ascii="仿宋_GB2312" w:hAnsi="楷体" w:eastAsia="仿宋_GB2312"/>
                <w:b w:val="0"/>
                <w:bCs/>
                <w:sz w:val="24"/>
                <w:szCs w:val="24"/>
              </w:rPr>
            </w:pPr>
            <w:r>
              <w:rPr>
                <w:rFonts w:hint="eastAsia" w:ascii="仿宋_GB2312" w:hAnsi="楷体" w:eastAsia="仿宋_GB2312"/>
                <w:b/>
                <w:bCs w:val="0"/>
                <w:sz w:val="24"/>
                <w:szCs w:val="24"/>
                <w:lang w:eastAsia="zh-CN"/>
              </w:rPr>
              <w:t>二是</w:t>
            </w:r>
            <w:r>
              <w:rPr>
                <w:rFonts w:hint="eastAsia" w:ascii="仿宋_GB2312" w:hAnsi="楷体" w:eastAsia="仿宋_GB2312"/>
                <w:b/>
                <w:bCs w:val="0"/>
                <w:sz w:val="24"/>
                <w:szCs w:val="24"/>
              </w:rPr>
              <w:t>突出主线</w:t>
            </w:r>
            <w:r>
              <w:rPr>
                <w:rFonts w:hint="eastAsia" w:ascii="仿宋_GB2312" w:hAnsi="楷体" w:eastAsia="仿宋_GB2312"/>
                <w:b/>
                <w:bCs w:val="0"/>
                <w:sz w:val="24"/>
                <w:szCs w:val="24"/>
                <w:lang w:eastAsia="zh-CN"/>
              </w:rPr>
              <w:t>。</w:t>
            </w:r>
            <w:r>
              <w:rPr>
                <w:rFonts w:hint="eastAsia" w:ascii="仿宋_GB2312" w:hAnsi="仿宋_GB2312" w:eastAsia="仿宋_GB2312" w:cs="仿宋_GB2312"/>
                <w:sz w:val="24"/>
                <w:szCs w:val="24"/>
                <w:lang w:eastAsia="zh-CN"/>
              </w:rPr>
              <w:t>进一步深化</w:t>
            </w:r>
            <w:r>
              <w:rPr>
                <w:rFonts w:hint="eastAsia" w:ascii="仿宋_GB2312" w:hAnsi="仿宋_GB2312" w:eastAsia="仿宋_GB2312" w:cs="仿宋_GB2312"/>
                <w:sz w:val="24"/>
                <w:szCs w:val="24"/>
              </w:rPr>
              <w:t>商事制度</w:t>
            </w:r>
            <w:r>
              <w:rPr>
                <w:rFonts w:hint="eastAsia" w:ascii="仿宋_GB2312" w:hAnsi="仿宋_GB2312" w:eastAsia="仿宋_GB2312" w:cs="仿宋_GB2312"/>
                <w:sz w:val="24"/>
                <w:szCs w:val="24"/>
                <w:lang w:eastAsia="zh-CN"/>
              </w:rPr>
              <w:t>“放管服”</w:t>
            </w:r>
            <w:r>
              <w:rPr>
                <w:rFonts w:hint="eastAsia" w:ascii="仿宋_GB2312" w:hAnsi="仿宋_GB2312" w:eastAsia="仿宋_GB2312" w:cs="仿宋_GB2312"/>
                <w:sz w:val="24"/>
                <w:szCs w:val="24"/>
              </w:rPr>
              <w:t>改革，落实</w:t>
            </w:r>
            <w:r>
              <w:rPr>
                <w:rFonts w:hint="eastAsia" w:ascii="仿宋_GB2312" w:hAnsi="仿宋_GB2312" w:eastAsia="仿宋_GB2312" w:cs="仿宋_GB2312"/>
                <w:sz w:val="24"/>
                <w:szCs w:val="24"/>
                <w:lang w:eastAsia="zh-CN"/>
              </w:rPr>
              <w:t>“最多跑一次”</w:t>
            </w:r>
            <w:r>
              <w:rPr>
                <w:rFonts w:hint="eastAsia" w:ascii="仿宋_GB2312" w:hAnsi="仿宋_GB2312" w:eastAsia="仿宋_GB2312" w:cs="仿宋_GB2312"/>
                <w:sz w:val="24"/>
                <w:szCs w:val="24"/>
              </w:rPr>
              <w:t>“一件事一次办”</w:t>
            </w:r>
            <w:r>
              <w:rPr>
                <w:rFonts w:hint="eastAsia" w:ascii="仿宋_GB2312" w:hAnsi="仿宋_GB2312" w:eastAsia="仿宋_GB2312" w:cs="仿宋_GB2312"/>
                <w:sz w:val="24"/>
                <w:szCs w:val="24"/>
                <w:lang w:eastAsia="zh-CN"/>
              </w:rPr>
              <w:t>改革，巩固成果，形成特色。</w:t>
            </w:r>
          </w:p>
          <w:p>
            <w:pPr>
              <w:keepNext w:val="0"/>
              <w:keepLines w:val="0"/>
              <w:pageBreakBefore w:val="0"/>
              <w:widowControl w:val="0"/>
              <w:kinsoku/>
              <w:wordWrap/>
              <w:overflowPunct/>
              <w:topLinePunct w:val="0"/>
              <w:autoSpaceDE/>
              <w:autoSpaceDN/>
              <w:bidi w:val="0"/>
              <w:adjustRightInd/>
              <w:snapToGrid/>
              <w:spacing w:line="360" w:lineRule="auto"/>
              <w:ind w:firstLine="361" w:firstLineChars="150"/>
              <w:textAlignment w:val="auto"/>
              <w:rPr>
                <w:rFonts w:hint="eastAsia" w:ascii="仿宋_GB2312" w:hAnsi="楷体" w:eastAsia="仿宋_GB2312"/>
                <w:b w:val="0"/>
                <w:bCs/>
                <w:sz w:val="24"/>
                <w:szCs w:val="24"/>
              </w:rPr>
            </w:pPr>
            <w:r>
              <w:rPr>
                <w:rFonts w:hint="eastAsia" w:ascii="仿宋_GB2312" w:hAnsi="楷体" w:eastAsia="仿宋_GB2312"/>
                <w:b/>
                <w:bCs w:val="0"/>
                <w:sz w:val="24"/>
                <w:szCs w:val="24"/>
                <w:lang w:eastAsia="zh-CN"/>
              </w:rPr>
              <w:t>三是突出主责。</w:t>
            </w:r>
            <w:r>
              <w:rPr>
                <w:rFonts w:hint="eastAsia" w:ascii="仿宋_GB2312" w:hAnsi="仿宋_GB2312" w:eastAsia="仿宋_GB2312" w:cs="仿宋_GB2312"/>
                <w:sz w:val="24"/>
                <w:szCs w:val="24"/>
                <w:lang w:eastAsia="zh-CN"/>
              </w:rPr>
              <w:t>聚焦食品药品、特种设备、重点工业产品</w:t>
            </w:r>
            <w:r>
              <w:rPr>
                <w:rFonts w:hint="eastAsia" w:ascii="仿宋_GB2312" w:hAnsi="仿宋_GB2312" w:eastAsia="仿宋_GB2312" w:cs="仿宋_GB2312"/>
                <w:sz w:val="24"/>
                <w:szCs w:val="24"/>
              </w:rPr>
              <w:t>监管，</w:t>
            </w:r>
            <w:r>
              <w:rPr>
                <w:rFonts w:hint="eastAsia" w:ascii="仿宋_GB2312" w:hAnsi="仿宋_GB2312" w:eastAsia="仿宋_GB2312" w:cs="仿宋_GB2312"/>
                <w:sz w:val="24"/>
                <w:szCs w:val="24"/>
                <w:lang w:eastAsia="zh-CN"/>
              </w:rPr>
              <w:t>防范风险，</w:t>
            </w:r>
            <w:r>
              <w:rPr>
                <w:rFonts w:hint="eastAsia" w:ascii="仿宋_GB2312" w:hAnsi="仿宋_GB2312" w:eastAsia="仿宋_GB2312" w:cs="仿宋_GB2312"/>
                <w:sz w:val="24"/>
                <w:szCs w:val="24"/>
              </w:rPr>
              <w:t>维护市场公平正义</w:t>
            </w:r>
            <w:r>
              <w:rPr>
                <w:rFonts w:hint="eastAsia" w:ascii="仿宋_GB2312" w:hAnsi="仿宋_GB2312" w:eastAsia="仿宋_GB2312" w:cs="仿宋_GB2312"/>
                <w:sz w:val="24"/>
                <w:szCs w:val="24"/>
                <w:lang w:eastAsia="zh-CN"/>
              </w:rPr>
              <w:t>，让群众买得放心、吃得放心、用得放心</w:t>
            </w:r>
            <w:r>
              <w:rPr>
                <w:rFonts w:hint="eastAsia" w:ascii="仿宋_GB2312" w:hAnsi="仿宋_GB2312" w:eastAsia="仿宋_GB2312" w:cs="仿宋_GB2312"/>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361" w:firstLineChars="150"/>
              <w:textAlignment w:val="auto"/>
              <w:rPr>
                <w:rFonts w:hint="default" w:ascii="仿宋_GB2312" w:hAnsi="楷体" w:eastAsia="仿宋_GB2312"/>
                <w:b w:val="0"/>
                <w:bCs/>
                <w:sz w:val="24"/>
                <w:szCs w:val="24"/>
                <w:lang w:val="en-US" w:eastAsia="zh-CN"/>
              </w:rPr>
            </w:pPr>
            <w:r>
              <w:rPr>
                <w:rFonts w:hint="eastAsia" w:ascii="仿宋_GB2312" w:hAnsi="楷体" w:eastAsia="仿宋_GB2312"/>
                <w:b/>
                <w:bCs w:val="0"/>
                <w:sz w:val="24"/>
                <w:szCs w:val="24"/>
                <w:lang w:eastAsia="zh-CN"/>
              </w:rPr>
              <w:t>四是</w:t>
            </w:r>
            <w:r>
              <w:rPr>
                <w:rFonts w:hint="eastAsia" w:ascii="仿宋_GB2312" w:hAnsi="楷体" w:eastAsia="仿宋_GB2312"/>
                <w:b/>
                <w:bCs w:val="0"/>
                <w:sz w:val="24"/>
                <w:szCs w:val="24"/>
              </w:rPr>
              <w:t>突出主业</w:t>
            </w:r>
            <w:r>
              <w:rPr>
                <w:rFonts w:hint="eastAsia" w:ascii="仿宋_GB2312" w:hAnsi="楷体" w:eastAsia="仿宋_GB2312"/>
                <w:b/>
                <w:bCs w:val="0"/>
                <w:sz w:val="24"/>
                <w:szCs w:val="24"/>
                <w:lang w:eastAsia="zh-CN"/>
              </w:rPr>
              <w:t>。</w:t>
            </w:r>
            <w:r>
              <w:rPr>
                <w:rFonts w:hint="eastAsia" w:ascii="仿宋_GB2312" w:hAnsi="楷体" w:eastAsia="仿宋_GB2312"/>
                <w:b w:val="0"/>
                <w:bCs/>
                <w:sz w:val="24"/>
                <w:szCs w:val="24"/>
                <w:lang w:val="en-US" w:eastAsia="zh-CN"/>
              </w:rPr>
              <w:t>提高服务水平，维护消费者合法权益。</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楷体" w:eastAsia="仿宋_GB2312"/>
                <w:b/>
                <w:bCs w:val="0"/>
                <w:sz w:val="24"/>
                <w:szCs w:val="24"/>
                <w:lang w:eastAsia="zh-CN"/>
              </w:rPr>
              <w:t>五是</w:t>
            </w:r>
            <w:r>
              <w:rPr>
                <w:rFonts w:hint="eastAsia" w:ascii="仿宋_GB2312" w:hAnsi="楷体" w:eastAsia="仿宋_GB2312"/>
                <w:b/>
                <w:bCs w:val="0"/>
                <w:sz w:val="24"/>
                <w:szCs w:val="24"/>
              </w:rPr>
              <w:t>突出主调</w:t>
            </w:r>
            <w:r>
              <w:rPr>
                <w:rFonts w:hint="eastAsia" w:ascii="仿宋_GB2312" w:hAnsi="楷体" w:eastAsia="仿宋_GB2312"/>
                <w:b/>
                <w:bCs w:val="0"/>
                <w:sz w:val="24"/>
                <w:szCs w:val="24"/>
                <w:lang w:eastAsia="zh-CN"/>
              </w:rPr>
              <w:t>。</w:t>
            </w:r>
            <w:r>
              <w:rPr>
                <w:rFonts w:hint="eastAsia" w:ascii="仿宋_GB2312" w:hAnsi="楷体" w:eastAsia="仿宋_GB2312"/>
                <w:b w:val="0"/>
                <w:bCs/>
                <w:sz w:val="24"/>
                <w:szCs w:val="24"/>
              </w:rPr>
              <w:t>强基础、严执法、保安全、促稳定，打造一支忠诚可靠，</w:t>
            </w:r>
            <w:r>
              <w:rPr>
                <w:rFonts w:hint="eastAsia" w:ascii="仿宋_GB2312" w:hAnsi="楷体" w:eastAsia="仿宋_GB2312"/>
                <w:b w:val="0"/>
                <w:bCs/>
                <w:sz w:val="24"/>
                <w:szCs w:val="24"/>
                <w:lang w:eastAsia="zh-CN"/>
              </w:rPr>
              <w:t>本领高强，</w:t>
            </w:r>
            <w:r>
              <w:rPr>
                <w:rFonts w:hint="eastAsia" w:ascii="仿宋_GB2312" w:hAnsi="楷体" w:eastAsia="仿宋_GB2312"/>
                <w:b w:val="0"/>
                <w:bCs/>
                <w:sz w:val="24"/>
                <w:szCs w:val="24"/>
              </w:rPr>
              <w:t>能打胜仗的市场监管队伍。</w:t>
            </w:r>
          </w:p>
        </w:tc>
        <w:tc>
          <w:tcPr>
            <w:tcW w:w="4718" w:type="dxa"/>
            <w:gridSpan w:val="8"/>
            <w:vAlign w:val="center"/>
          </w:tcPr>
          <w:p>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Style w:val="20"/>
                <w:rFonts w:hint="eastAsia" w:ascii="仿宋_GB2312" w:hAnsi="仿宋_GB2312" w:eastAsia="仿宋_GB2312"/>
                <w:kern w:val="2"/>
                <w:sz w:val="24"/>
                <w:szCs w:val="24"/>
                <w:lang w:val="en-US" w:eastAsia="zh-CN" w:bidi="ar-SA"/>
              </w:rPr>
            </w:pPr>
            <w:r>
              <w:rPr>
                <w:rStyle w:val="20"/>
                <w:rFonts w:hint="eastAsia" w:ascii="仿宋_GB2312" w:hAnsi="仿宋_GB2312" w:eastAsia="仿宋_GB2312"/>
                <w:kern w:val="2"/>
                <w:sz w:val="24"/>
                <w:szCs w:val="24"/>
                <w:lang w:val="en-US" w:eastAsia="zh-CN" w:bidi="ar-SA"/>
              </w:rPr>
              <w:t>1、全省首创推进企业住所（经营场所）登记承诺制改革。</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Style w:val="20"/>
                <w:rFonts w:hint="eastAsia" w:ascii="仿宋_GB2312" w:hAnsi="仿宋_GB2312" w:eastAsia="仿宋_GB2312"/>
                <w:kern w:val="2"/>
                <w:sz w:val="24"/>
                <w:szCs w:val="24"/>
                <w:lang w:val="en-US" w:eastAsia="zh-CN" w:bidi="ar-SA"/>
              </w:rPr>
            </w:pPr>
            <w:r>
              <w:rPr>
                <w:rStyle w:val="20"/>
                <w:rFonts w:hint="eastAsia" w:ascii="仿宋_GB2312" w:hAnsi="仿宋_GB2312" w:eastAsia="仿宋_GB2312"/>
                <w:kern w:val="2"/>
                <w:sz w:val="24"/>
                <w:szCs w:val="24"/>
                <w:lang w:val="en-US" w:eastAsia="zh-CN" w:bidi="ar-SA"/>
              </w:rPr>
              <w:t>2、截至11月底，全市新设市场主体90145家，增速全省第一，全市实有市场主体430677户，位居全省第二。</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Style w:val="20"/>
                <w:rFonts w:hint="eastAsia" w:ascii="仿宋_GB2312" w:hAnsi="仿宋_GB2312" w:eastAsia="仿宋_GB2312"/>
                <w:kern w:val="2"/>
                <w:sz w:val="24"/>
                <w:szCs w:val="24"/>
                <w:lang w:val="en-US" w:eastAsia="zh-CN" w:bidi="ar-SA"/>
              </w:rPr>
            </w:pPr>
            <w:r>
              <w:rPr>
                <w:rStyle w:val="20"/>
                <w:rFonts w:hint="eastAsia" w:ascii="仿宋_GB2312" w:hAnsi="仿宋_GB2312" w:eastAsia="仿宋_GB2312"/>
                <w:b w:val="0"/>
                <w:bCs w:val="0"/>
                <w:kern w:val="2"/>
                <w:sz w:val="24"/>
                <w:szCs w:val="24"/>
                <w:lang w:val="en-US" w:eastAsia="zh-CN" w:bidi="ar-SA"/>
              </w:rPr>
              <w:t>3、</w:t>
            </w:r>
            <w:r>
              <w:rPr>
                <w:rStyle w:val="20"/>
                <w:rFonts w:ascii="仿宋_GB2312" w:hAnsi="仿宋_GB2312" w:eastAsia="仿宋_GB2312"/>
                <w:b w:val="0"/>
                <w:bCs w:val="0"/>
                <w:kern w:val="2"/>
                <w:sz w:val="24"/>
                <w:szCs w:val="24"/>
                <w:lang w:val="en-US" w:eastAsia="zh-CN" w:bidi="ar-SA"/>
              </w:rPr>
              <w:t>药食同源备案通关新模式</w:t>
            </w:r>
            <w:r>
              <w:rPr>
                <w:rStyle w:val="20"/>
                <w:rFonts w:hint="eastAsia" w:ascii="仿宋_GB2312" w:hAnsi="仿宋_GB2312" w:eastAsia="仿宋_GB2312"/>
                <w:kern w:val="2"/>
                <w:sz w:val="24"/>
                <w:szCs w:val="24"/>
                <w:lang w:val="en-US" w:eastAsia="zh-CN" w:bidi="ar-SA"/>
              </w:rPr>
              <w:t>，被省自贸办推荐参评全省自贸区制度创新典型案例，并</w:t>
            </w:r>
            <w:r>
              <w:rPr>
                <w:rStyle w:val="20"/>
                <w:rFonts w:ascii="仿宋_GB2312" w:hAnsi="仿宋_GB2312" w:eastAsia="仿宋_GB2312"/>
                <w:kern w:val="2"/>
                <w:sz w:val="24"/>
                <w:szCs w:val="24"/>
                <w:lang w:val="en-US" w:eastAsia="zh-CN" w:bidi="ar-SA"/>
              </w:rPr>
              <w:t>在岳阳自贸片区成立一周年巡礼上</w:t>
            </w:r>
            <w:r>
              <w:rPr>
                <w:rStyle w:val="20"/>
                <w:rFonts w:hint="eastAsia" w:ascii="仿宋_GB2312" w:hAnsi="仿宋_GB2312" w:eastAsia="仿宋_GB2312"/>
                <w:kern w:val="2"/>
                <w:sz w:val="24"/>
                <w:szCs w:val="24"/>
                <w:lang w:val="en-US" w:eastAsia="zh-CN" w:bidi="ar-SA"/>
              </w:rPr>
              <w:t>作为</w:t>
            </w:r>
            <w:r>
              <w:rPr>
                <w:rStyle w:val="20"/>
                <w:rFonts w:ascii="仿宋_GB2312" w:hAnsi="仿宋_GB2312" w:eastAsia="仿宋_GB2312"/>
                <w:kern w:val="2"/>
                <w:sz w:val="24"/>
                <w:szCs w:val="24"/>
                <w:lang w:val="en-US" w:eastAsia="zh-CN" w:bidi="ar-SA"/>
              </w:rPr>
              <w:t>15项“首创性”创新成果之一</w:t>
            </w:r>
            <w:r>
              <w:rPr>
                <w:rStyle w:val="20"/>
                <w:rFonts w:hint="eastAsia" w:ascii="仿宋_GB2312" w:hAnsi="仿宋_GB2312" w:eastAsia="仿宋_GB2312"/>
                <w:kern w:val="2"/>
                <w:sz w:val="24"/>
                <w:szCs w:val="24"/>
                <w:lang w:val="en-US" w:eastAsia="zh-CN" w:bidi="ar-SA"/>
              </w:rPr>
              <w:t>获</w:t>
            </w:r>
            <w:r>
              <w:rPr>
                <w:rStyle w:val="20"/>
                <w:rFonts w:ascii="仿宋_GB2312" w:hAnsi="仿宋_GB2312" w:eastAsia="仿宋_GB2312"/>
                <w:kern w:val="2"/>
                <w:sz w:val="24"/>
                <w:szCs w:val="24"/>
                <w:lang w:val="en-US" w:eastAsia="zh-CN" w:bidi="ar-SA"/>
              </w:rPr>
              <w:t>报道</w:t>
            </w:r>
            <w:r>
              <w:rPr>
                <w:rStyle w:val="20"/>
                <w:rFonts w:hint="eastAsia" w:ascii="仿宋_GB2312" w:hAnsi="仿宋_GB2312" w:eastAsia="仿宋_GB2312"/>
                <w:kern w:val="2"/>
                <w:sz w:val="24"/>
                <w:szCs w:val="24"/>
                <w:lang w:val="en-US" w:eastAsia="zh-CN" w:bidi="ar-SA"/>
              </w:rPr>
              <w:t>。</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Style w:val="20"/>
                <w:rFonts w:hint="eastAsia" w:ascii="仿宋_GB2312" w:hAnsi="仿宋_GB2312" w:eastAsia="仿宋_GB2312"/>
                <w:kern w:val="2"/>
                <w:sz w:val="24"/>
                <w:szCs w:val="24"/>
                <w:lang w:val="en-US" w:eastAsia="zh-CN" w:bidi="ar-SA"/>
              </w:rPr>
            </w:pPr>
            <w:r>
              <w:rPr>
                <w:rStyle w:val="20"/>
                <w:rFonts w:hint="eastAsia" w:ascii="仿宋_GB2312" w:hAnsi="仿宋_GB2312" w:eastAsia="仿宋_GB2312"/>
                <w:kern w:val="2"/>
                <w:sz w:val="24"/>
                <w:szCs w:val="24"/>
                <w:lang w:val="en-US" w:eastAsia="zh-CN" w:bidi="ar-SA"/>
              </w:rPr>
              <w:t>4、颁发全省首张“食品经营（仅销售预包装食品）”备案制营业执照。</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Style w:val="20"/>
                <w:rFonts w:hint="eastAsia" w:ascii="仿宋_GB2312" w:hAnsi="仿宋_GB2312" w:eastAsia="仿宋_GB2312"/>
                <w:kern w:val="2"/>
                <w:sz w:val="24"/>
                <w:szCs w:val="24"/>
                <w:lang w:val="en-US" w:eastAsia="zh-CN" w:bidi="ar-SA"/>
              </w:rPr>
            </w:pPr>
            <w:r>
              <w:rPr>
                <w:rStyle w:val="20"/>
                <w:rFonts w:hint="eastAsia" w:ascii="仿宋_GB2312" w:hAnsi="仿宋_GB2312" w:eastAsia="仿宋_GB2312"/>
                <w:kern w:val="2"/>
                <w:sz w:val="24"/>
                <w:szCs w:val="24"/>
                <w:lang w:val="en-US" w:eastAsia="zh-CN" w:bidi="ar-SA"/>
              </w:rPr>
              <w:t>5、特种设备安全责任保险工作推进排名全省第一。</w:t>
            </w:r>
          </w:p>
          <w:p>
            <w:pPr>
              <w:numPr>
                <w:ilvl w:val="0"/>
                <w:numId w:val="0"/>
              </w:numPr>
              <w:autoSpaceDN w:val="0"/>
              <w:spacing w:line="320" w:lineRule="exact"/>
              <w:ind w:leftChars="0"/>
              <w:jc w:val="both"/>
              <w:textAlignment w:val="center"/>
              <w:rPr>
                <w:rFonts w:hint="eastAsia" w:ascii="仿宋_GB2312" w:hAnsi="仿宋_GB2312" w:eastAsia="仿宋_GB2312" w:cs="仿宋_GB2312"/>
                <w:color w:val="auto"/>
                <w:sz w:val="24"/>
                <w:szCs w:val="24"/>
                <w:lang w:val="en-US" w:eastAsia="zh-CN"/>
              </w:rPr>
            </w:pPr>
            <w:r>
              <w:rPr>
                <w:rStyle w:val="20"/>
                <w:rFonts w:hint="eastAsia" w:ascii="仿宋_GB2312" w:hAnsi="仿宋_GB2312" w:eastAsia="仿宋_GB2312"/>
                <w:kern w:val="2"/>
                <w:sz w:val="24"/>
                <w:szCs w:val="24"/>
                <w:lang w:val="en-US" w:eastAsia="zh-CN" w:bidi="ar-SA"/>
              </w:rPr>
              <w:t>6、我市药品生产企业共取得药品注册批准文号11个，一致性评价证书8张，位居全省前列。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567" w:hRule="atLeast"/>
          <w:jc w:val="center"/>
        </w:trPr>
        <w:tc>
          <w:tcPr>
            <w:tcW w:w="1441" w:type="dxa"/>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整体支出</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绩效定量目标及实施计划完成情况</w:t>
            </w:r>
          </w:p>
        </w:tc>
        <w:tc>
          <w:tcPr>
            <w:tcW w:w="2966"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评价内容</w:t>
            </w:r>
          </w:p>
        </w:tc>
        <w:tc>
          <w:tcPr>
            <w:tcW w:w="2388"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绩效目标</w:t>
            </w:r>
          </w:p>
        </w:tc>
        <w:tc>
          <w:tcPr>
            <w:tcW w:w="3138"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产出目标</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（部门工作实绩，包含上级部门和市委市政府布置的重点工作、实事任务等，根据部门实际进行调整细化）</w:t>
            </w:r>
          </w:p>
        </w:tc>
        <w:tc>
          <w:tcPr>
            <w:tcW w:w="1417" w:type="dxa"/>
            <w:gridSpan w:val="2"/>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质量指标</w:t>
            </w:r>
          </w:p>
        </w:tc>
        <w:tc>
          <w:tcPr>
            <w:tcW w:w="2388" w:type="dxa"/>
            <w:gridSpan w:val="3"/>
            <w:vAlign w:val="center"/>
          </w:tcPr>
          <w:p>
            <w:pPr>
              <w:spacing w:line="360" w:lineRule="exact"/>
              <w:jc w:val="center"/>
              <w:rPr>
                <w:rFonts w:hint="default" w:ascii="Times New Roman" w:hAnsi="Times New Roman" w:eastAsia="仿宋_GB2312" w:cs="Times New Roman"/>
                <w:kern w:val="2"/>
                <w:sz w:val="24"/>
                <w:szCs w:val="24"/>
                <w:lang w:val="en-US" w:eastAsia="zh-CN" w:bidi="ar-SA"/>
              </w:rPr>
            </w:pPr>
            <w:r>
              <w:rPr>
                <w:rFonts w:hint="eastAsia" w:eastAsia="仿宋_GB2312"/>
                <w:sz w:val="24"/>
                <w:lang w:eastAsia="zh-CN"/>
              </w:rPr>
              <w:t>指标</w:t>
            </w:r>
            <w:r>
              <w:rPr>
                <w:rFonts w:hint="eastAsia" w:eastAsia="仿宋_GB2312"/>
                <w:sz w:val="24"/>
                <w:lang w:val="en-US" w:eastAsia="zh-CN"/>
              </w:rPr>
              <w:t>1：企业设立登记全程电子化使用率达到50%以上</w:t>
            </w:r>
          </w:p>
        </w:tc>
        <w:tc>
          <w:tcPr>
            <w:tcW w:w="3138" w:type="dxa"/>
            <w:gridSpan w:val="6"/>
            <w:vAlign w:val="center"/>
          </w:tcPr>
          <w:p>
            <w:pPr>
              <w:autoSpaceDN w:val="0"/>
              <w:spacing w:line="320" w:lineRule="exact"/>
              <w:jc w:val="center"/>
              <w:textAlignment w:val="center"/>
              <w:rPr>
                <w:rFonts w:hint="default" w:ascii="仿宋_GB2312" w:hAnsi="仿宋_GB2312" w:eastAsia="仿宋_GB2312" w:cs="仿宋_GB2312"/>
                <w:b w:val="0"/>
                <w:bCs/>
                <w:color w:val="000000"/>
                <w:sz w:val="24"/>
                <w:lang w:val="en-US" w:eastAsia="zh-CN"/>
              </w:rPr>
            </w:pPr>
            <w:r>
              <w:rPr>
                <w:rFonts w:hint="eastAsia" w:ascii="仿宋_GB2312" w:hAnsi="仿宋_GB2312" w:eastAsia="仿宋_GB2312" w:cs="仿宋_GB2312"/>
                <w:b w:val="0"/>
                <w:bCs/>
                <w:color w:val="000000"/>
                <w:sz w:val="24"/>
                <w:lang w:val="en-US" w:eastAsia="zh-CN"/>
              </w:rPr>
              <w:t>超过50%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spacing w:line="320" w:lineRule="exact"/>
              <w:rPr>
                <w:rFonts w:ascii="仿宋_GB2312" w:hAnsi="仿宋_GB2312" w:eastAsia="仿宋_GB2312" w:cs="仿宋_GB2312"/>
                <w:sz w:val="24"/>
              </w:rPr>
            </w:pPr>
          </w:p>
        </w:tc>
        <w:tc>
          <w:tcPr>
            <w:tcW w:w="2388" w:type="dxa"/>
            <w:gridSpan w:val="3"/>
            <w:vAlign w:val="center"/>
          </w:tcPr>
          <w:p>
            <w:pPr>
              <w:spacing w:line="360" w:lineRule="exact"/>
              <w:jc w:val="center"/>
              <w:rPr>
                <w:rFonts w:hint="default" w:ascii="Times New Roman" w:hAnsi="Times New Roman" w:eastAsia="仿宋_GB2312" w:cs="Times New Roman"/>
                <w:kern w:val="2"/>
                <w:sz w:val="24"/>
                <w:szCs w:val="24"/>
                <w:lang w:val="en-US" w:eastAsia="zh-CN" w:bidi="ar-SA"/>
              </w:rPr>
            </w:pPr>
            <w:r>
              <w:rPr>
                <w:rFonts w:hint="eastAsia" w:ascii="仿宋_GB2312" w:hAnsi="仿宋_GB2312" w:eastAsia="仿宋_GB2312" w:cs="仿宋_GB2312"/>
                <w:i w:val="0"/>
                <w:caps w:val="0"/>
                <w:color w:val="333333"/>
                <w:spacing w:val="0"/>
                <w:sz w:val="24"/>
                <w:szCs w:val="24"/>
                <w:highlight w:val="none"/>
                <w:lang w:val="en-US" w:eastAsia="zh-CN"/>
              </w:rPr>
              <w:t>指标2：投诉举报回访率100%</w:t>
            </w:r>
          </w:p>
        </w:tc>
        <w:tc>
          <w:tcPr>
            <w:tcW w:w="3138" w:type="dxa"/>
            <w:gridSpan w:val="6"/>
            <w:vAlign w:val="center"/>
          </w:tcPr>
          <w:p>
            <w:pPr>
              <w:autoSpaceDN w:val="0"/>
              <w:spacing w:line="320" w:lineRule="exact"/>
              <w:jc w:val="center"/>
              <w:textAlignment w:val="center"/>
              <w:rPr>
                <w:rFonts w:hint="default" w:ascii="仿宋_GB2312" w:hAnsi="仿宋_GB2312" w:eastAsia="仿宋_GB2312" w:cs="仿宋_GB2312"/>
                <w:b w:val="0"/>
                <w:bCs/>
                <w:color w:val="000000"/>
                <w:sz w:val="24"/>
                <w:lang w:val="en-US" w:eastAsia="zh-CN"/>
              </w:rPr>
            </w:pPr>
            <w:r>
              <w:rPr>
                <w:rFonts w:hint="eastAsia" w:ascii="仿宋_GB2312" w:hAnsi="仿宋_GB2312" w:eastAsia="仿宋_GB2312" w:cs="仿宋_GB2312"/>
                <w:b w:val="0"/>
                <w:bCs/>
                <w:color w:val="000000"/>
                <w:sz w:val="24"/>
                <w:lang w:eastAsia="zh-CN"/>
              </w:rPr>
              <w:t>回访率</w:t>
            </w:r>
            <w:r>
              <w:rPr>
                <w:rFonts w:hint="eastAsia" w:ascii="仿宋_GB2312" w:hAnsi="仿宋_GB2312" w:eastAsia="仿宋_GB2312" w:cs="仿宋_GB2312"/>
                <w:b w:val="0"/>
                <w:bCs/>
                <w:color w:val="000000"/>
                <w:sz w:val="24"/>
                <w:lang w:val="en-US"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spacing w:line="320" w:lineRule="exact"/>
              <w:rPr>
                <w:rFonts w:ascii="仿宋_GB2312" w:hAnsi="仿宋_GB2312" w:eastAsia="仿宋_GB2312" w:cs="仿宋_GB2312"/>
                <w:sz w:val="24"/>
              </w:rPr>
            </w:pPr>
          </w:p>
        </w:tc>
        <w:tc>
          <w:tcPr>
            <w:tcW w:w="2388" w:type="dxa"/>
            <w:gridSpan w:val="3"/>
            <w:vAlign w:val="center"/>
          </w:tcPr>
          <w:p>
            <w:pPr>
              <w:spacing w:line="360" w:lineRule="exact"/>
              <w:jc w:val="center"/>
              <w:rPr>
                <w:rFonts w:hint="default" w:ascii="Times New Roman" w:hAnsi="Times New Roman" w:eastAsia="仿宋_GB2312" w:cs="Times New Roman"/>
                <w:kern w:val="2"/>
                <w:sz w:val="24"/>
                <w:szCs w:val="24"/>
                <w:lang w:val="en-US" w:eastAsia="zh-CN" w:bidi="ar-SA"/>
              </w:rPr>
            </w:pPr>
            <w:r>
              <w:rPr>
                <w:rFonts w:hint="eastAsia" w:eastAsia="仿宋_GB2312"/>
                <w:sz w:val="24"/>
                <w:lang w:eastAsia="zh-CN"/>
              </w:rPr>
              <w:t>指标</w:t>
            </w:r>
            <w:r>
              <w:rPr>
                <w:rFonts w:hint="eastAsia" w:eastAsia="仿宋_GB2312"/>
                <w:sz w:val="24"/>
                <w:lang w:val="en-US" w:eastAsia="zh-CN"/>
              </w:rPr>
              <w:t>3：计量标准合格率达到90%以上</w:t>
            </w:r>
          </w:p>
        </w:tc>
        <w:tc>
          <w:tcPr>
            <w:tcW w:w="3138" w:type="dxa"/>
            <w:gridSpan w:val="6"/>
            <w:vAlign w:val="center"/>
          </w:tcPr>
          <w:p>
            <w:pPr>
              <w:autoSpaceDN w:val="0"/>
              <w:spacing w:line="320" w:lineRule="exact"/>
              <w:jc w:val="center"/>
              <w:textAlignment w:val="center"/>
              <w:rPr>
                <w:rFonts w:hint="default" w:ascii="仿宋_GB2312" w:hAnsi="仿宋_GB2312" w:eastAsia="仿宋_GB2312" w:cs="仿宋_GB2312"/>
                <w:b w:val="0"/>
                <w:bCs/>
                <w:color w:val="000000"/>
                <w:sz w:val="24"/>
                <w:lang w:val="en-US" w:eastAsia="zh-CN"/>
              </w:rPr>
            </w:pPr>
            <w:r>
              <w:rPr>
                <w:rFonts w:hint="eastAsia" w:ascii="仿宋_GB2312" w:hAnsi="仿宋_GB2312" w:eastAsia="仿宋_GB2312" w:cs="仿宋_GB2312"/>
                <w:b w:val="0"/>
                <w:bCs/>
                <w:color w:val="000000"/>
                <w:sz w:val="24"/>
                <w:lang w:val="en-US" w:eastAsia="zh-CN"/>
              </w:rPr>
              <w:t>达到92%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数量指标</w:t>
            </w:r>
          </w:p>
        </w:tc>
        <w:tc>
          <w:tcPr>
            <w:tcW w:w="2388" w:type="dxa"/>
            <w:gridSpan w:val="3"/>
            <w:vAlign w:val="center"/>
          </w:tcPr>
          <w:p>
            <w:pPr>
              <w:spacing w:line="360" w:lineRule="exact"/>
              <w:jc w:val="center"/>
              <w:rPr>
                <w:rFonts w:hint="default" w:ascii="仿宋_GB2312" w:hAnsi="仿宋_GB2312" w:eastAsia="仿宋_GB2312" w:cs="仿宋_GB2312"/>
                <w:color w:val="000000"/>
                <w:sz w:val="24"/>
                <w:lang w:val="en-US"/>
              </w:rPr>
            </w:pPr>
            <w:r>
              <w:rPr>
                <w:rFonts w:hint="eastAsia" w:eastAsia="仿宋_GB2312"/>
                <w:sz w:val="24"/>
                <w:lang w:eastAsia="zh-CN"/>
              </w:rPr>
              <w:t>指标</w:t>
            </w:r>
            <w:r>
              <w:rPr>
                <w:rFonts w:hint="eastAsia" w:eastAsia="仿宋_GB2312"/>
                <w:sz w:val="24"/>
                <w:lang w:val="en-US" w:eastAsia="zh-CN"/>
              </w:rPr>
              <w:t>1：抽查特种设备使用家数大于1000家</w:t>
            </w:r>
          </w:p>
        </w:tc>
        <w:tc>
          <w:tcPr>
            <w:tcW w:w="3138" w:type="dxa"/>
            <w:gridSpan w:val="6"/>
            <w:vAlign w:val="center"/>
          </w:tcPr>
          <w:p>
            <w:pPr>
              <w:autoSpaceDN w:val="0"/>
              <w:spacing w:line="320" w:lineRule="exact"/>
              <w:jc w:val="center"/>
              <w:textAlignment w:val="center"/>
              <w:rPr>
                <w:rFonts w:hint="default" w:ascii="仿宋_GB2312" w:hAnsi="仿宋_GB2312" w:eastAsia="仿宋_GB2312" w:cs="仿宋_GB2312"/>
                <w:b w:val="0"/>
                <w:bCs/>
                <w:color w:val="000000"/>
                <w:sz w:val="24"/>
                <w:lang w:val="en-US" w:eastAsia="zh-CN"/>
              </w:rPr>
            </w:pPr>
            <w:r>
              <w:rPr>
                <w:rFonts w:hint="eastAsia" w:ascii="仿宋_GB2312" w:hAnsi="仿宋_GB2312" w:eastAsia="仿宋_GB2312" w:cs="仿宋_GB2312"/>
                <w:b w:val="0"/>
                <w:bCs/>
                <w:color w:val="000000"/>
                <w:sz w:val="24"/>
                <w:lang w:val="en-US" w:eastAsia="zh-CN"/>
              </w:rPr>
              <w:t>完成1000家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61"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sz w:val="24"/>
              </w:rPr>
            </w:pPr>
          </w:p>
        </w:tc>
        <w:tc>
          <w:tcPr>
            <w:tcW w:w="2388" w:type="dxa"/>
            <w:gridSpan w:val="3"/>
            <w:vAlign w:val="center"/>
          </w:tcPr>
          <w:p>
            <w:pPr>
              <w:spacing w:line="360" w:lineRule="exact"/>
              <w:jc w:val="center"/>
              <w:rPr>
                <w:rFonts w:hint="default" w:ascii="仿宋_GB2312" w:hAnsi="仿宋_GB2312" w:eastAsia="仿宋_GB2312" w:cs="仿宋_GB2312"/>
                <w:color w:val="000000"/>
                <w:sz w:val="24"/>
                <w:lang w:val="en-US"/>
              </w:rPr>
            </w:pPr>
            <w:r>
              <w:rPr>
                <w:rFonts w:hint="eastAsia" w:eastAsia="仿宋_GB2312"/>
                <w:sz w:val="24"/>
                <w:lang w:eastAsia="zh-CN"/>
              </w:rPr>
              <w:t>指标</w:t>
            </w:r>
            <w:r>
              <w:rPr>
                <w:rFonts w:hint="eastAsia" w:eastAsia="仿宋_GB2312"/>
                <w:sz w:val="24"/>
                <w:lang w:val="en-US" w:eastAsia="zh-CN"/>
              </w:rPr>
              <w:t xml:space="preserve">2：集贸市场衡器检定数2000台              </w:t>
            </w:r>
          </w:p>
        </w:tc>
        <w:tc>
          <w:tcPr>
            <w:tcW w:w="3138" w:type="dxa"/>
            <w:gridSpan w:val="6"/>
            <w:vAlign w:val="center"/>
          </w:tcPr>
          <w:p>
            <w:pPr>
              <w:autoSpaceDN w:val="0"/>
              <w:spacing w:line="320" w:lineRule="exact"/>
              <w:jc w:val="center"/>
              <w:textAlignment w:val="center"/>
              <w:rPr>
                <w:rFonts w:hint="default" w:ascii="仿宋_GB2312" w:hAnsi="仿宋_GB2312" w:eastAsia="仿宋_GB2312" w:cs="仿宋_GB2312"/>
                <w:b w:val="0"/>
                <w:bCs/>
                <w:color w:val="000000"/>
                <w:sz w:val="24"/>
                <w:lang w:val="en-US" w:eastAsia="zh-CN"/>
              </w:rPr>
            </w:pPr>
            <w:r>
              <w:rPr>
                <w:rFonts w:hint="eastAsia" w:ascii="仿宋_GB2312" w:hAnsi="仿宋_GB2312" w:eastAsia="仿宋_GB2312" w:cs="仿宋_GB2312"/>
                <w:b w:val="0"/>
                <w:bCs/>
                <w:color w:val="000000"/>
                <w:sz w:val="24"/>
                <w:lang w:val="en-US" w:eastAsia="zh-CN"/>
              </w:rPr>
              <w:t>完成2000台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61"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sz w:val="24"/>
              </w:rPr>
            </w:pPr>
          </w:p>
        </w:tc>
        <w:tc>
          <w:tcPr>
            <w:tcW w:w="2388" w:type="dxa"/>
            <w:gridSpan w:val="3"/>
            <w:vAlign w:val="center"/>
          </w:tcPr>
          <w:p>
            <w:pPr>
              <w:spacing w:line="360" w:lineRule="exact"/>
              <w:jc w:val="center"/>
              <w:rPr>
                <w:rFonts w:hint="default" w:ascii="仿宋_GB2312" w:hAnsi="仿宋_GB2312" w:eastAsia="仿宋_GB2312" w:cs="仿宋_GB2312"/>
                <w:color w:val="000000"/>
                <w:sz w:val="24"/>
                <w:lang w:val="en-US"/>
              </w:rPr>
            </w:pPr>
            <w:r>
              <w:rPr>
                <w:rFonts w:hint="eastAsia" w:eastAsia="仿宋_GB2312"/>
                <w:sz w:val="24"/>
                <w:lang w:eastAsia="zh-CN"/>
              </w:rPr>
              <w:t>指标</w:t>
            </w:r>
            <w:r>
              <w:rPr>
                <w:rFonts w:hint="eastAsia" w:eastAsia="仿宋_GB2312"/>
                <w:sz w:val="24"/>
                <w:lang w:val="en-US" w:eastAsia="zh-CN"/>
              </w:rPr>
              <w:t xml:space="preserve">3：食品、食用农产品、药品、化妆品抽检2430批次               </w:t>
            </w:r>
          </w:p>
        </w:tc>
        <w:tc>
          <w:tcPr>
            <w:tcW w:w="3138" w:type="dxa"/>
            <w:gridSpan w:val="6"/>
            <w:vAlign w:val="center"/>
          </w:tcPr>
          <w:p>
            <w:pPr>
              <w:autoSpaceDN w:val="0"/>
              <w:spacing w:line="320" w:lineRule="exact"/>
              <w:jc w:val="center"/>
              <w:textAlignment w:val="center"/>
              <w:rPr>
                <w:rFonts w:hint="default" w:ascii="仿宋_GB2312" w:hAnsi="仿宋_GB2312" w:eastAsia="仿宋_GB2312" w:cs="仿宋_GB2312"/>
                <w:b w:val="0"/>
                <w:bCs/>
                <w:color w:val="000000"/>
                <w:sz w:val="24"/>
                <w:lang w:val="en-US" w:eastAsia="zh-CN"/>
              </w:rPr>
            </w:pPr>
            <w:r>
              <w:rPr>
                <w:rFonts w:hint="eastAsia" w:ascii="仿宋_GB2312" w:hAnsi="仿宋_GB2312" w:eastAsia="仿宋_GB2312" w:cs="仿宋_GB2312"/>
                <w:b w:val="0"/>
                <w:bCs/>
                <w:color w:val="000000"/>
                <w:sz w:val="24"/>
                <w:lang w:val="en-US" w:eastAsia="zh-CN"/>
              </w:rPr>
              <w:t>完成食品抽检1400批次、食用农产品600批次、药品360批次、化妆品70批次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61"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sz w:val="24"/>
              </w:rPr>
            </w:pPr>
          </w:p>
        </w:tc>
        <w:tc>
          <w:tcPr>
            <w:tcW w:w="2388" w:type="dxa"/>
            <w:gridSpan w:val="3"/>
            <w:vAlign w:val="center"/>
          </w:tcPr>
          <w:p>
            <w:pPr>
              <w:spacing w:line="360" w:lineRule="exact"/>
              <w:jc w:val="center"/>
              <w:rPr>
                <w:rFonts w:hint="default" w:ascii="仿宋_GB2312" w:hAnsi="仿宋_GB2312" w:eastAsia="仿宋_GB2312" w:cs="仿宋_GB2312"/>
                <w:color w:val="000000"/>
                <w:sz w:val="24"/>
                <w:lang w:val="en-US"/>
              </w:rPr>
            </w:pPr>
            <w:r>
              <w:rPr>
                <w:rFonts w:hint="eastAsia" w:eastAsia="仿宋_GB2312"/>
                <w:sz w:val="24"/>
                <w:lang w:eastAsia="zh-CN"/>
              </w:rPr>
              <w:t>指标</w:t>
            </w:r>
            <w:r>
              <w:rPr>
                <w:rFonts w:hint="eastAsia" w:eastAsia="仿宋_GB2312"/>
                <w:sz w:val="24"/>
                <w:lang w:val="en-US" w:eastAsia="zh-CN"/>
              </w:rPr>
              <w:t>4：抽查工业产品类别20类</w:t>
            </w:r>
          </w:p>
        </w:tc>
        <w:tc>
          <w:tcPr>
            <w:tcW w:w="3138" w:type="dxa"/>
            <w:gridSpan w:val="6"/>
            <w:vAlign w:val="center"/>
          </w:tcPr>
          <w:p>
            <w:pPr>
              <w:autoSpaceDN w:val="0"/>
              <w:spacing w:line="320" w:lineRule="exact"/>
              <w:jc w:val="center"/>
              <w:textAlignment w:val="center"/>
              <w:rPr>
                <w:rFonts w:hint="default" w:ascii="仿宋_GB2312" w:hAnsi="仿宋_GB2312" w:eastAsia="仿宋_GB2312" w:cs="仿宋_GB2312"/>
                <w:b w:val="0"/>
                <w:bCs/>
                <w:color w:val="000000"/>
                <w:sz w:val="24"/>
                <w:lang w:val="en-US" w:eastAsia="zh-CN"/>
              </w:rPr>
            </w:pPr>
            <w:r>
              <w:rPr>
                <w:rFonts w:hint="eastAsia" w:ascii="仿宋_GB2312" w:hAnsi="仿宋_GB2312" w:eastAsia="仿宋_GB2312" w:cs="仿宋_GB2312"/>
                <w:b w:val="0"/>
                <w:bCs/>
                <w:color w:val="000000"/>
                <w:sz w:val="24"/>
                <w:lang w:val="en-US" w:eastAsia="zh-CN"/>
              </w:rPr>
              <w:t>完成20个类别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时效指标</w:t>
            </w:r>
          </w:p>
        </w:tc>
        <w:tc>
          <w:tcPr>
            <w:tcW w:w="2388" w:type="dxa"/>
            <w:gridSpan w:val="3"/>
            <w:vAlign w:val="center"/>
          </w:tcPr>
          <w:p>
            <w:pPr>
              <w:spacing w:line="360" w:lineRule="exact"/>
              <w:jc w:val="center"/>
              <w:rPr>
                <w:rFonts w:hint="default" w:ascii="仿宋_GB2312" w:hAnsi="仿宋_GB2312" w:eastAsia="仿宋_GB2312" w:cs="仿宋_GB2312"/>
                <w:color w:val="000000"/>
                <w:sz w:val="24"/>
                <w:lang w:val="en-US"/>
              </w:rPr>
            </w:pPr>
            <w:r>
              <w:rPr>
                <w:rFonts w:hint="eastAsia" w:eastAsia="仿宋_GB2312"/>
                <w:sz w:val="24"/>
                <w:lang w:eastAsia="zh-CN"/>
              </w:rPr>
              <w:t>指标</w:t>
            </w:r>
            <w:r>
              <w:rPr>
                <w:rFonts w:hint="eastAsia" w:eastAsia="仿宋_GB2312"/>
                <w:sz w:val="24"/>
                <w:lang w:val="en-US" w:eastAsia="zh-CN"/>
              </w:rPr>
              <w:t>1：缩减企业开办时间</w:t>
            </w:r>
            <w:r>
              <w:rPr>
                <w:rFonts w:hint="eastAsia" w:ascii="东文宋体" w:hAnsi="东文宋体" w:eastAsia="东文宋体" w:cs="东文宋体"/>
                <w:sz w:val="24"/>
                <w:lang w:val="en-US" w:eastAsia="zh-CN"/>
              </w:rPr>
              <w:t>≤</w:t>
            </w:r>
            <w:r>
              <w:rPr>
                <w:rFonts w:hint="eastAsia" w:eastAsia="仿宋_GB2312"/>
                <w:sz w:val="24"/>
                <w:lang w:val="en-US" w:eastAsia="zh-CN"/>
              </w:rPr>
              <w:t>1天</w:t>
            </w:r>
          </w:p>
        </w:tc>
        <w:tc>
          <w:tcPr>
            <w:tcW w:w="3138" w:type="dxa"/>
            <w:gridSpan w:val="6"/>
            <w:vAlign w:val="center"/>
          </w:tcPr>
          <w:p>
            <w:pPr>
              <w:jc w:val="center"/>
              <w:rPr>
                <w:rFonts w:hint="eastAsia" w:ascii="仿宋_GB2312" w:hAnsi="仿宋_GB2312" w:eastAsia="仿宋_GB2312" w:cs="仿宋_GB2312"/>
                <w:b w:val="0"/>
                <w:bCs/>
                <w:color w:val="000000"/>
                <w:sz w:val="24"/>
                <w:lang w:eastAsia="zh-CN"/>
              </w:rPr>
            </w:pPr>
            <w:r>
              <w:rPr>
                <w:rFonts w:hint="eastAsia" w:ascii="仿宋_GB2312" w:hAnsi="仿宋_GB2312" w:eastAsia="仿宋_GB2312" w:cs="仿宋_GB2312"/>
                <w:b w:val="0"/>
                <w:bCs/>
                <w:color w:val="000000"/>
                <w:sz w:val="24"/>
                <w:lang w:eastAsia="zh-CN"/>
              </w:rPr>
              <w:t>已达到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388" w:type="dxa"/>
            <w:gridSpan w:val="3"/>
            <w:vAlign w:val="center"/>
          </w:tcPr>
          <w:p>
            <w:pPr>
              <w:spacing w:line="360" w:lineRule="exact"/>
              <w:jc w:val="center"/>
              <w:rPr>
                <w:rFonts w:hint="default" w:ascii="仿宋_GB2312" w:hAnsi="仿宋_GB2312" w:eastAsia="仿宋_GB2312" w:cs="仿宋_GB2312"/>
                <w:color w:val="000000"/>
                <w:sz w:val="24"/>
                <w:lang w:val="en-US"/>
              </w:rPr>
            </w:pPr>
            <w:r>
              <w:rPr>
                <w:rFonts w:hint="eastAsia" w:eastAsia="仿宋_GB2312"/>
                <w:sz w:val="24"/>
                <w:lang w:eastAsia="zh-CN"/>
              </w:rPr>
              <w:t>指标</w:t>
            </w:r>
            <w:r>
              <w:rPr>
                <w:rFonts w:hint="eastAsia" w:eastAsia="仿宋_GB2312"/>
                <w:sz w:val="24"/>
                <w:lang w:val="en-US" w:eastAsia="zh-CN"/>
              </w:rPr>
              <w:t>2：进一步缩减企业注销时间</w:t>
            </w:r>
            <w:r>
              <w:rPr>
                <w:rFonts w:hint="eastAsia" w:ascii="东文宋体" w:hAnsi="东文宋体" w:eastAsia="东文宋体" w:cs="东文宋体"/>
                <w:sz w:val="24"/>
                <w:lang w:val="en-US" w:eastAsia="zh-CN"/>
              </w:rPr>
              <w:t>≤</w:t>
            </w:r>
            <w:r>
              <w:rPr>
                <w:rFonts w:hint="eastAsia" w:eastAsia="仿宋_GB2312"/>
                <w:sz w:val="24"/>
                <w:lang w:val="en-US" w:eastAsia="zh-CN"/>
              </w:rPr>
              <w:t>3天</w:t>
            </w:r>
          </w:p>
        </w:tc>
        <w:tc>
          <w:tcPr>
            <w:tcW w:w="3138" w:type="dxa"/>
            <w:gridSpan w:val="6"/>
            <w:vAlign w:val="center"/>
          </w:tcPr>
          <w:p>
            <w:pPr>
              <w:jc w:val="center"/>
              <w:rPr>
                <w:rFonts w:hint="eastAsia" w:ascii="仿宋_GB2312" w:hAnsi="仿宋_GB2312" w:eastAsia="仿宋_GB2312" w:cs="仿宋_GB2312"/>
                <w:b w:val="0"/>
                <w:bCs/>
                <w:color w:val="000000"/>
                <w:sz w:val="24"/>
                <w:lang w:eastAsia="zh-CN"/>
              </w:rPr>
            </w:pPr>
            <w:r>
              <w:rPr>
                <w:rFonts w:hint="eastAsia" w:ascii="仿宋_GB2312" w:hAnsi="仿宋_GB2312" w:eastAsia="仿宋_GB2312" w:cs="仿宋_GB2312"/>
                <w:b w:val="0"/>
                <w:bCs/>
                <w:color w:val="000000"/>
                <w:sz w:val="24"/>
                <w:lang w:eastAsia="zh-CN"/>
              </w:rPr>
              <w:t>已达到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sz w:val="24"/>
              </w:rPr>
            </w:pPr>
          </w:p>
        </w:tc>
        <w:tc>
          <w:tcPr>
            <w:tcW w:w="2388"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3138" w:type="dxa"/>
            <w:gridSpan w:val="6"/>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成本指标</w:t>
            </w:r>
          </w:p>
        </w:tc>
        <w:tc>
          <w:tcPr>
            <w:tcW w:w="2388"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指标1：</w:t>
            </w:r>
          </w:p>
        </w:tc>
        <w:tc>
          <w:tcPr>
            <w:tcW w:w="3138" w:type="dxa"/>
            <w:gridSpan w:val="6"/>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388"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指标2：</w:t>
            </w:r>
          </w:p>
        </w:tc>
        <w:tc>
          <w:tcPr>
            <w:tcW w:w="3138" w:type="dxa"/>
            <w:gridSpan w:val="6"/>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sz w:val="24"/>
              </w:rPr>
            </w:pPr>
          </w:p>
        </w:tc>
        <w:tc>
          <w:tcPr>
            <w:tcW w:w="2388"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3138" w:type="dxa"/>
            <w:gridSpan w:val="6"/>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效益目标</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（预期实现的效益）</w:t>
            </w: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社会效益</w:t>
            </w:r>
          </w:p>
        </w:tc>
        <w:tc>
          <w:tcPr>
            <w:tcW w:w="2388" w:type="dxa"/>
            <w:gridSpan w:val="3"/>
            <w:vAlign w:val="center"/>
          </w:tcPr>
          <w:p>
            <w:pPr>
              <w:autoSpaceDN w:val="0"/>
              <w:spacing w:line="320" w:lineRule="exact"/>
              <w:jc w:val="left"/>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rPr>
              <w:t>指标1：</w:t>
            </w:r>
            <w:r>
              <w:rPr>
                <w:rFonts w:hint="eastAsia" w:ascii="仿宋_GB2312" w:hAnsi="仿宋_GB2312" w:eastAsia="仿宋_GB2312" w:cs="仿宋_GB2312"/>
                <w:color w:val="000000"/>
                <w:sz w:val="24"/>
                <w:lang w:eastAsia="zh-CN"/>
              </w:rPr>
              <w:t>不断提升企业注销便利化程度</w:t>
            </w:r>
          </w:p>
        </w:tc>
        <w:tc>
          <w:tcPr>
            <w:tcW w:w="3138" w:type="dxa"/>
            <w:gridSpan w:val="6"/>
            <w:vAlign w:val="center"/>
          </w:tcPr>
          <w:p>
            <w:pPr>
              <w:autoSpaceDN w:val="0"/>
              <w:spacing w:line="320" w:lineRule="exact"/>
              <w:jc w:val="center"/>
              <w:textAlignment w:val="center"/>
              <w:rPr>
                <w:rFonts w:hint="eastAsia" w:ascii="仿宋_GB2312" w:hAnsi="仿宋_GB2312" w:eastAsia="仿宋_GB2312" w:cs="仿宋_GB2312"/>
                <w:b/>
                <w:color w:val="000000"/>
                <w:sz w:val="24"/>
                <w:szCs w:val="24"/>
                <w:lang w:eastAsia="zh-CN"/>
              </w:rPr>
            </w:pPr>
            <w:r>
              <w:rPr>
                <w:rFonts w:hint="eastAsia" w:ascii="仿宋_GB2312" w:hAnsi="仿宋_GB2312" w:eastAsia="仿宋_GB2312" w:cs="仿宋_GB2312"/>
                <w:b w:val="0"/>
                <w:bCs/>
                <w:color w:val="000000"/>
                <w:sz w:val="24"/>
                <w:szCs w:val="24"/>
                <w:lang w:eastAsia="zh-CN"/>
              </w:rPr>
              <w:t>通过推行进一步完善企业简易注销登记改革、畅通“僵尸企业”注销通道、优化一般注销流程，提升企业注销便利</w:t>
            </w:r>
            <w:r>
              <w:rPr>
                <w:rFonts w:hint="eastAsia" w:ascii="仿宋_GB2312" w:hAnsi="仿宋_GB2312" w:eastAsia="仿宋_GB2312" w:cs="仿宋_GB2312"/>
                <w:b/>
                <w:color w:val="000000"/>
                <w:sz w:val="24"/>
                <w:szCs w:val="24"/>
                <w:lang w:eastAsia="zh-CN"/>
              </w:rPr>
              <w:t>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经济效益</w:t>
            </w:r>
          </w:p>
        </w:tc>
        <w:tc>
          <w:tcPr>
            <w:tcW w:w="2388"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指标1：</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指标2：</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3138" w:type="dxa"/>
            <w:gridSpan w:val="6"/>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生态效益</w:t>
            </w:r>
          </w:p>
        </w:tc>
        <w:tc>
          <w:tcPr>
            <w:tcW w:w="2388"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指标1：</w:t>
            </w:r>
            <w:r>
              <w:rPr>
                <w:rFonts w:hint="eastAsia" w:ascii="仿宋_GB2312" w:hAnsi="仿宋_GB2312" w:eastAsia="仿宋_GB2312" w:cs="仿宋_GB2312"/>
                <w:color w:val="000000"/>
                <w:sz w:val="24"/>
                <w:lang w:eastAsia="zh-CN"/>
              </w:rPr>
              <w:t>持续保护一江碧水的目标</w:t>
            </w:r>
          </w:p>
        </w:tc>
        <w:tc>
          <w:tcPr>
            <w:tcW w:w="3138" w:type="dxa"/>
            <w:gridSpan w:val="6"/>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社会公众或服务对象满意度</w:t>
            </w:r>
          </w:p>
        </w:tc>
        <w:tc>
          <w:tcPr>
            <w:tcW w:w="2388"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指标1：</w:t>
            </w:r>
            <w:r>
              <w:rPr>
                <w:rFonts w:hint="eastAsia" w:ascii="仿宋_GB2312" w:hAnsi="仿宋_GB2312" w:eastAsia="仿宋_GB2312" w:cs="仿宋_GB2312"/>
                <w:color w:val="000000"/>
                <w:sz w:val="24"/>
                <w:lang w:eastAsia="zh-CN"/>
              </w:rPr>
              <w:t>计量器局使用满意度</w:t>
            </w:r>
            <w:r>
              <w:rPr>
                <w:rFonts w:hint="eastAsia" w:ascii="东文宋体" w:hAnsi="东文宋体" w:eastAsia="东文宋体" w:cs="东文宋体"/>
                <w:color w:val="000000"/>
                <w:sz w:val="24"/>
                <w:lang w:eastAsia="zh-CN"/>
              </w:rPr>
              <w:t>≥</w:t>
            </w:r>
            <w:r>
              <w:rPr>
                <w:rFonts w:hint="eastAsia" w:ascii="仿宋_GB2312" w:hAnsi="仿宋_GB2312" w:eastAsia="仿宋_GB2312" w:cs="仿宋_GB2312"/>
                <w:color w:val="000000"/>
                <w:sz w:val="24"/>
                <w:lang w:val="en-US" w:eastAsia="zh-CN"/>
              </w:rPr>
              <w:t>95%</w:t>
            </w:r>
          </w:p>
        </w:tc>
        <w:tc>
          <w:tcPr>
            <w:tcW w:w="3138" w:type="dxa"/>
            <w:gridSpan w:val="6"/>
            <w:vAlign w:val="center"/>
          </w:tcPr>
          <w:p>
            <w:pPr>
              <w:autoSpaceDN w:val="0"/>
              <w:spacing w:line="320" w:lineRule="exact"/>
              <w:jc w:val="center"/>
              <w:textAlignment w:val="center"/>
              <w:rPr>
                <w:rFonts w:hint="default" w:ascii="仿宋_GB2312" w:hAnsi="仿宋_GB2312" w:eastAsia="仿宋_GB2312" w:cs="仿宋_GB2312"/>
                <w:b w:val="0"/>
                <w:bCs/>
                <w:color w:val="000000"/>
                <w:sz w:val="24"/>
                <w:lang w:val="en-US" w:eastAsia="zh-CN"/>
              </w:rPr>
            </w:pPr>
            <w:r>
              <w:rPr>
                <w:rFonts w:hint="eastAsia" w:ascii="仿宋_GB2312" w:hAnsi="仿宋_GB2312" w:eastAsia="仿宋_GB2312" w:cs="仿宋_GB2312"/>
                <w:b w:val="0"/>
                <w:bCs/>
                <w:color w:val="000000"/>
                <w:sz w:val="24"/>
                <w:lang w:val="en-US" w:eastAsia="zh-CN"/>
              </w:rPr>
              <w:t>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388" w:type="dxa"/>
            <w:gridSpan w:val="3"/>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指标2：</w:t>
            </w:r>
            <w:r>
              <w:rPr>
                <w:rFonts w:hint="eastAsia" w:ascii="仿宋_GB2312" w:hAnsi="仿宋_GB2312" w:eastAsia="仿宋_GB2312" w:cs="仿宋_GB2312"/>
                <w:color w:val="000000"/>
                <w:sz w:val="24"/>
                <w:lang w:eastAsia="zh-CN"/>
              </w:rPr>
              <w:t>消费者对消费投诉处理的满意度</w:t>
            </w:r>
            <w:r>
              <w:rPr>
                <w:rFonts w:hint="eastAsia" w:ascii="东文宋体" w:hAnsi="东文宋体" w:eastAsia="东文宋体" w:cs="东文宋体"/>
                <w:color w:val="000000"/>
                <w:sz w:val="24"/>
                <w:lang w:eastAsia="zh-CN"/>
              </w:rPr>
              <w:t>≥</w:t>
            </w:r>
            <w:r>
              <w:rPr>
                <w:rFonts w:hint="eastAsia" w:ascii="东文宋体" w:hAnsi="东文宋体" w:eastAsia="东文宋体" w:cs="东文宋体"/>
                <w:color w:val="000000"/>
                <w:sz w:val="24"/>
                <w:lang w:val="en-US" w:eastAsia="zh-CN"/>
              </w:rPr>
              <w:t>95%</w:t>
            </w:r>
          </w:p>
        </w:tc>
        <w:tc>
          <w:tcPr>
            <w:tcW w:w="3138" w:type="dxa"/>
            <w:gridSpan w:val="6"/>
            <w:vAlign w:val="center"/>
          </w:tcPr>
          <w:p>
            <w:pPr>
              <w:autoSpaceDN w:val="0"/>
              <w:spacing w:line="320" w:lineRule="exact"/>
              <w:jc w:val="center"/>
              <w:textAlignment w:val="center"/>
              <w:rPr>
                <w:rFonts w:hint="default" w:ascii="仿宋_GB2312" w:hAnsi="仿宋_GB2312" w:eastAsia="仿宋_GB2312" w:cs="仿宋_GB2312"/>
                <w:b w:val="0"/>
                <w:bCs/>
                <w:color w:val="000000"/>
                <w:sz w:val="24"/>
                <w:lang w:val="en-US" w:eastAsia="zh-CN"/>
              </w:rPr>
            </w:pPr>
            <w:r>
              <w:rPr>
                <w:rFonts w:hint="eastAsia" w:ascii="仿宋_GB2312" w:hAnsi="仿宋_GB2312" w:eastAsia="仿宋_GB2312" w:cs="仿宋_GB2312"/>
                <w:b w:val="0"/>
                <w:bCs/>
                <w:color w:val="000000"/>
                <w:sz w:val="24"/>
                <w:lang w:val="en-US" w:eastAsia="zh-CN"/>
              </w:rPr>
              <w:t>完成</w:t>
            </w:r>
            <w:bookmarkStart w:id="0" w:name="_GoBack"/>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567" w:hRule="atLeast"/>
          <w:jc w:val="center"/>
        </w:trPr>
        <w:tc>
          <w:tcPr>
            <w:tcW w:w="2990"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绩效自评综合得分</w:t>
            </w:r>
          </w:p>
        </w:tc>
        <w:tc>
          <w:tcPr>
            <w:tcW w:w="6943" w:type="dxa"/>
            <w:gridSpan w:val="11"/>
            <w:vAlign w:val="center"/>
          </w:tcPr>
          <w:p>
            <w:pPr>
              <w:autoSpaceDN w:val="0"/>
              <w:spacing w:line="320" w:lineRule="exact"/>
              <w:jc w:val="both"/>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95分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567" w:hRule="atLeast"/>
          <w:jc w:val="center"/>
        </w:trPr>
        <w:tc>
          <w:tcPr>
            <w:tcW w:w="2990"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评价等次</w:t>
            </w:r>
          </w:p>
        </w:tc>
        <w:tc>
          <w:tcPr>
            <w:tcW w:w="6943" w:type="dxa"/>
            <w:gridSpan w:val="11"/>
            <w:vAlign w:val="center"/>
          </w:tcPr>
          <w:p>
            <w:pPr>
              <w:autoSpaceDN w:val="0"/>
              <w:spacing w:line="320" w:lineRule="exact"/>
              <w:jc w:val="both"/>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优秀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80" w:hRule="atLeast"/>
          <w:jc w:val="center"/>
        </w:trPr>
        <w:tc>
          <w:tcPr>
            <w:tcW w:w="9933" w:type="dxa"/>
            <w:gridSpan w:val="1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四、评价人员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567"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姓名</w:t>
            </w:r>
          </w:p>
        </w:tc>
        <w:tc>
          <w:tcPr>
            <w:tcW w:w="3561"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职务/职称</w:t>
            </w: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单位</w:t>
            </w:r>
          </w:p>
        </w:tc>
        <w:tc>
          <w:tcPr>
            <w:tcW w:w="3239"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签字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80" w:hRule="atLeast"/>
          <w:jc w:val="center"/>
        </w:trPr>
        <w:tc>
          <w:tcPr>
            <w:tcW w:w="1654"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李青松</w:t>
            </w:r>
          </w:p>
        </w:tc>
        <w:tc>
          <w:tcPr>
            <w:tcW w:w="3561" w:type="dxa"/>
            <w:gridSpan w:val="6"/>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局长</w:t>
            </w:r>
          </w:p>
        </w:tc>
        <w:tc>
          <w:tcPr>
            <w:tcW w:w="1479" w:type="dxa"/>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市场监管局</w:t>
            </w:r>
          </w:p>
        </w:tc>
        <w:tc>
          <w:tcPr>
            <w:tcW w:w="3239"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80" w:hRule="atLeast"/>
          <w:jc w:val="center"/>
        </w:trPr>
        <w:tc>
          <w:tcPr>
            <w:tcW w:w="1654"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颜石湘</w:t>
            </w:r>
          </w:p>
        </w:tc>
        <w:tc>
          <w:tcPr>
            <w:tcW w:w="3561" w:type="dxa"/>
            <w:gridSpan w:val="6"/>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主管财务副局长</w:t>
            </w: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市场监管局</w:t>
            </w:r>
          </w:p>
        </w:tc>
        <w:tc>
          <w:tcPr>
            <w:tcW w:w="3239"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80" w:hRule="atLeast"/>
          <w:jc w:val="center"/>
        </w:trPr>
        <w:tc>
          <w:tcPr>
            <w:tcW w:w="1654"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钟辉雄</w:t>
            </w:r>
          </w:p>
        </w:tc>
        <w:tc>
          <w:tcPr>
            <w:tcW w:w="3561" w:type="dxa"/>
            <w:gridSpan w:val="6"/>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财务科长</w:t>
            </w: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市场监管局</w:t>
            </w:r>
          </w:p>
        </w:tc>
        <w:tc>
          <w:tcPr>
            <w:tcW w:w="3239"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80" w:hRule="atLeast"/>
          <w:jc w:val="center"/>
        </w:trPr>
        <w:tc>
          <w:tcPr>
            <w:tcW w:w="1654"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徐瑶</w:t>
            </w:r>
          </w:p>
        </w:tc>
        <w:tc>
          <w:tcPr>
            <w:tcW w:w="3561" w:type="dxa"/>
            <w:gridSpan w:val="6"/>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财务科副科长</w:t>
            </w: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市场监管局</w:t>
            </w:r>
          </w:p>
        </w:tc>
        <w:tc>
          <w:tcPr>
            <w:tcW w:w="3239"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2722" w:hRule="atLeast"/>
          <w:jc w:val="center"/>
        </w:trPr>
        <w:tc>
          <w:tcPr>
            <w:tcW w:w="9933" w:type="dxa"/>
            <w:gridSpan w:val="16"/>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评价组组长（签字）：</w:t>
            </w: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年月日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2722" w:hRule="atLeast"/>
          <w:jc w:val="center"/>
        </w:trPr>
        <w:tc>
          <w:tcPr>
            <w:tcW w:w="9933" w:type="dxa"/>
            <w:gridSpan w:val="16"/>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部门（单位）意见：</w:t>
            </w: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部门（单位）负责人（签章）：</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年月日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94" w:hRule="atLeast"/>
          <w:jc w:val="center"/>
        </w:trPr>
        <w:tc>
          <w:tcPr>
            <w:tcW w:w="9993" w:type="dxa"/>
            <w:gridSpan w:val="17"/>
            <w:vAlign w:val="center"/>
          </w:tcPr>
          <w:p>
            <w:pPr>
              <w:spacing w:line="320" w:lineRule="exact"/>
              <w:rPr>
                <w:rFonts w:eastAsia="仿宋_GB2312"/>
                <w:sz w:val="24"/>
              </w:rPr>
            </w:pPr>
            <w:r>
              <w:rPr>
                <w:rFonts w:hint="eastAsia" w:eastAsia="仿宋_GB2312"/>
                <w:sz w:val="24"/>
              </w:rPr>
              <w:t>财政部门归口业务科室意见：</w:t>
            </w:r>
          </w:p>
          <w:p>
            <w:pPr>
              <w:spacing w:line="320" w:lineRule="exact"/>
              <w:rPr>
                <w:rFonts w:eastAsia="仿宋_GB2312"/>
                <w:sz w:val="24"/>
              </w:rPr>
            </w:pPr>
          </w:p>
          <w:p>
            <w:pPr>
              <w:spacing w:line="320" w:lineRule="exact"/>
              <w:rPr>
                <w:rFonts w:eastAsia="仿宋_GB2312"/>
                <w:sz w:val="24"/>
              </w:rPr>
            </w:pPr>
          </w:p>
          <w:p>
            <w:pPr>
              <w:spacing w:line="320" w:lineRule="exact"/>
              <w:rPr>
                <w:rFonts w:eastAsia="仿宋_GB2312"/>
                <w:sz w:val="24"/>
              </w:rPr>
            </w:pPr>
          </w:p>
          <w:p>
            <w:pPr>
              <w:spacing w:line="320" w:lineRule="exact"/>
              <w:rPr>
                <w:rFonts w:eastAsia="仿宋_GB2312"/>
                <w:sz w:val="24"/>
              </w:rPr>
            </w:pPr>
          </w:p>
          <w:p>
            <w:pPr>
              <w:spacing w:line="320" w:lineRule="exact"/>
              <w:rPr>
                <w:rFonts w:eastAsia="仿宋_GB2312"/>
                <w:sz w:val="24"/>
              </w:rPr>
            </w:pPr>
            <w:r>
              <w:rPr>
                <w:rFonts w:hint="eastAsia" w:eastAsia="仿宋_GB2312"/>
                <w:sz w:val="24"/>
              </w:rPr>
              <w:t>财政部门归口业务科室负责人（签章）：</w:t>
            </w:r>
          </w:p>
          <w:p>
            <w:pPr>
              <w:autoSpaceDN w:val="0"/>
              <w:spacing w:line="320" w:lineRule="exact"/>
              <w:jc w:val="left"/>
              <w:textAlignment w:val="center"/>
              <w:rPr>
                <w:rFonts w:ascii="仿宋_GB2312" w:hAnsi="仿宋_GB2312" w:eastAsia="仿宋_GB2312" w:cs="仿宋_GB2312"/>
                <w:color w:val="000000"/>
                <w:sz w:val="24"/>
              </w:rPr>
            </w:pPr>
            <w:r>
              <w:rPr>
                <w:rFonts w:hint="eastAsia" w:eastAsia="仿宋_GB2312"/>
                <w:sz w:val="24"/>
              </w:rPr>
              <w:t>年月日</w:t>
            </w:r>
          </w:p>
        </w:tc>
      </w:tr>
    </w:tbl>
    <w:p>
      <w:pPr>
        <w:rPr>
          <w:rFonts w:hint="default" w:eastAsia="仿宋_GB2312" w:cs="仿宋_GB2312"/>
          <w:bCs/>
          <w:sz w:val="28"/>
          <w:szCs w:val="28"/>
          <w:lang w:val="en-US" w:eastAsia="zh-CN"/>
        </w:rPr>
      </w:pPr>
      <w:r>
        <w:rPr>
          <w:rFonts w:hint="eastAsia" w:eastAsia="仿宋_GB2312" w:cs="仿宋_GB2312"/>
          <w:bCs/>
          <w:sz w:val="28"/>
          <w:szCs w:val="28"/>
        </w:rPr>
        <w:t>填报人（签名）：</w:t>
      </w:r>
      <w:r>
        <w:rPr>
          <w:rFonts w:hint="eastAsia" w:eastAsia="仿宋_GB2312" w:cs="仿宋_GB2312"/>
          <w:bCs/>
          <w:sz w:val="28"/>
          <w:szCs w:val="28"/>
          <w:lang w:eastAsia="zh-CN"/>
        </w:rPr>
        <w:t>徐瑶</w:t>
      </w:r>
      <w:r>
        <w:rPr>
          <w:rFonts w:hint="eastAsia" w:eastAsia="仿宋_GB2312" w:cs="仿宋_GB2312"/>
          <w:bCs/>
          <w:sz w:val="28"/>
          <w:szCs w:val="28"/>
          <w:lang w:val="en-US" w:eastAsia="zh-CN"/>
        </w:rPr>
        <w:t xml:space="preserve">               </w:t>
      </w:r>
      <w:r>
        <w:rPr>
          <w:rFonts w:hint="eastAsia" w:eastAsia="仿宋_GB2312" w:cs="仿宋_GB2312"/>
          <w:bCs/>
          <w:sz w:val="28"/>
          <w:szCs w:val="28"/>
        </w:rPr>
        <w:t>联系电话：</w:t>
      </w:r>
      <w:r>
        <w:rPr>
          <w:rFonts w:hint="eastAsia" w:eastAsia="仿宋_GB2312" w:cs="仿宋_GB2312"/>
          <w:bCs/>
          <w:sz w:val="28"/>
          <w:szCs w:val="28"/>
          <w:lang w:val="en-US" w:eastAsia="zh-CN"/>
        </w:rPr>
        <w:t>0730-8224907</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8" w:hRule="atLeast"/>
          <w:jc w:val="center"/>
        </w:trPr>
        <w:tc>
          <w:tcPr>
            <w:tcW w:w="9558" w:type="dxa"/>
          </w:tcPr>
          <w:p>
            <w:pPr>
              <w:jc w:val="center"/>
              <w:rPr>
                <w:rFonts w:ascii="黑体" w:hAnsi="黑体" w:eastAsia="黑体" w:cs="黑体"/>
                <w:bCs/>
                <w:sz w:val="28"/>
                <w:szCs w:val="28"/>
              </w:rPr>
            </w:pPr>
            <w:r>
              <w:rPr>
                <w:rFonts w:hint="eastAsia" w:ascii="黑体" w:hAnsi="黑体" w:eastAsia="黑体" w:cs="黑体"/>
                <w:bCs/>
                <w:sz w:val="28"/>
                <w:szCs w:val="28"/>
              </w:rPr>
              <w:t>五、评价报告综述（文字部分）</w:t>
            </w:r>
          </w:p>
          <w:p>
            <w:pPr>
              <w:spacing w:line="440" w:lineRule="exact"/>
              <w:ind w:firstLine="640" w:firstLineChars="200"/>
              <w:rPr>
                <w:rFonts w:eastAsia="仿宋_GB2312"/>
                <w:sz w:val="32"/>
                <w:szCs w:val="32"/>
              </w:rPr>
            </w:pPr>
          </w:p>
          <w:p>
            <w:pPr>
              <w:spacing w:line="560" w:lineRule="exact"/>
              <w:ind w:firstLine="560" w:firstLineChars="200"/>
              <w:rPr>
                <w:rFonts w:ascii="黑体" w:hAnsi="黑体" w:eastAsia="黑体" w:cs="黑体"/>
                <w:bCs/>
                <w:sz w:val="28"/>
                <w:szCs w:val="28"/>
              </w:rPr>
            </w:pPr>
            <w:r>
              <w:rPr>
                <w:rFonts w:hint="eastAsia" w:ascii="黑体" w:hAnsi="黑体" w:eastAsia="黑体" w:cs="黑体"/>
                <w:bCs/>
                <w:sz w:val="28"/>
                <w:szCs w:val="28"/>
              </w:rPr>
              <w:t>一、部门（单位）概况</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（一）部门（单位）基本情况</w:t>
            </w:r>
          </w:p>
          <w:p>
            <w:pPr>
              <w:pStyle w:val="6"/>
              <w:shd w:val="clear" w:color="auto" w:fill="FFFFFF"/>
              <w:spacing w:before="0" w:beforeAutospacing="0" w:after="0" w:afterAutospacing="0"/>
              <w:ind w:firstLine="421" w:firstLineChars="150"/>
              <w:rPr>
                <w:rFonts w:ascii="Arial" w:hAnsi="Arial" w:cs="Arial"/>
                <w:b/>
                <w:bCs w:val="0"/>
                <w:sz w:val="28"/>
              </w:rPr>
            </w:pPr>
            <w:r>
              <w:rPr>
                <w:rFonts w:hint="eastAsia" w:ascii="仿宋_GB2312" w:hAnsi="仿宋_GB2312" w:eastAsia="仿宋_GB2312" w:cs="仿宋_GB2312"/>
                <w:b/>
                <w:bCs w:val="0"/>
                <w:sz w:val="28"/>
                <w:szCs w:val="28"/>
                <w:lang w:val="en-US" w:eastAsia="zh-CN"/>
              </w:rPr>
              <w:t>1、机构设置</w:t>
            </w:r>
          </w:p>
          <w:p>
            <w:pPr>
              <w:pStyle w:val="6"/>
              <w:shd w:val="clear" w:color="auto" w:fill="FFFFFF"/>
              <w:spacing w:before="0" w:beforeAutospacing="0" w:after="0" w:afterAutospacing="0"/>
              <w:ind w:firstLine="570"/>
              <w:rPr>
                <w:rFonts w:hint="eastAsia" w:ascii="仿宋_GB2312" w:hAnsi="仿宋_GB2312" w:eastAsia="仿宋_GB2312" w:cs="仿宋_GB2312"/>
                <w:color w:val="333333"/>
                <w:sz w:val="28"/>
                <w:szCs w:val="28"/>
              </w:rPr>
            </w:pPr>
            <w:r>
              <w:rPr>
                <w:rFonts w:hint="eastAsia" w:ascii="仿宋_GB2312" w:hAnsi="仿宋_GB2312" w:eastAsia="仿宋_GB2312" w:cs="仿宋_GB2312"/>
                <w:color w:val="333333"/>
                <w:sz w:val="28"/>
                <w:szCs w:val="28"/>
              </w:rPr>
              <w:t>根据</w:t>
            </w:r>
            <w:r>
              <w:rPr>
                <w:rFonts w:hint="eastAsia" w:ascii="仿宋_GB2312" w:hAnsi="仿宋_GB2312" w:eastAsia="仿宋_GB2312" w:cs="仿宋_GB2312"/>
                <w:color w:val="333333"/>
                <w:sz w:val="28"/>
                <w:szCs w:val="28"/>
                <w:lang w:eastAsia="zh-CN"/>
              </w:rPr>
              <w:t>市委</w:t>
            </w:r>
            <w:r>
              <w:rPr>
                <w:rFonts w:hint="eastAsia" w:ascii="仿宋_GB2312" w:hAnsi="仿宋_GB2312" w:eastAsia="仿宋_GB2312" w:cs="仿宋_GB2312"/>
                <w:color w:val="333333"/>
                <w:sz w:val="28"/>
                <w:szCs w:val="28"/>
              </w:rPr>
              <w:t>编</w:t>
            </w:r>
            <w:r>
              <w:rPr>
                <w:rFonts w:hint="eastAsia" w:ascii="仿宋_GB2312" w:hAnsi="仿宋_GB2312" w:eastAsia="仿宋_GB2312" w:cs="仿宋_GB2312"/>
                <w:color w:val="333333"/>
                <w:sz w:val="28"/>
                <w:szCs w:val="28"/>
                <w:lang w:eastAsia="zh-CN"/>
              </w:rPr>
              <w:t>办</w:t>
            </w:r>
            <w:r>
              <w:rPr>
                <w:rFonts w:hint="eastAsia" w:ascii="仿宋_GB2312" w:hAnsi="仿宋_GB2312" w:eastAsia="仿宋_GB2312" w:cs="仿宋_GB2312"/>
                <w:color w:val="333333"/>
                <w:sz w:val="28"/>
                <w:szCs w:val="28"/>
              </w:rPr>
              <w:t>核定，我局</w:t>
            </w:r>
            <w:r>
              <w:rPr>
                <w:rFonts w:hint="eastAsia" w:ascii="仿宋_GB2312" w:hAnsi="仿宋_GB2312" w:eastAsia="仿宋_GB2312" w:cs="仿宋_GB2312"/>
                <w:color w:val="333333"/>
                <w:sz w:val="28"/>
                <w:szCs w:val="28"/>
                <w:lang w:eastAsia="zh-CN"/>
              </w:rPr>
              <w:t>设置机构</w:t>
            </w:r>
            <w:r>
              <w:rPr>
                <w:rFonts w:hint="eastAsia" w:ascii="仿宋_GB2312" w:hAnsi="仿宋_GB2312" w:eastAsia="仿宋_GB2312" w:cs="仿宋_GB2312"/>
                <w:color w:val="333333"/>
                <w:sz w:val="28"/>
                <w:szCs w:val="28"/>
                <w:lang w:val="en-US" w:eastAsia="zh-CN"/>
              </w:rPr>
              <w:t>43个，其中</w:t>
            </w:r>
            <w:r>
              <w:rPr>
                <w:rFonts w:hint="eastAsia" w:ascii="仿宋_GB2312" w:hAnsi="仿宋_GB2312" w:eastAsia="仿宋_GB2312" w:cs="仿宋_GB2312"/>
                <w:color w:val="333333"/>
                <w:sz w:val="28"/>
                <w:szCs w:val="28"/>
              </w:rPr>
              <w:t>内设机构</w:t>
            </w:r>
            <w:r>
              <w:rPr>
                <w:rFonts w:hint="eastAsia" w:ascii="仿宋_GB2312" w:hAnsi="仿宋_GB2312" w:eastAsia="仿宋_GB2312" w:cs="仿宋_GB2312"/>
                <w:color w:val="333333"/>
                <w:sz w:val="28"/>
                <w:szCs w:val="28"/>
                <w:lang w:val="en-US" w:eastAsia="zh-CN"/>
              </w:rPr>
              <w:t>33</w:t>
            </w:r>
            <w:r>
              <w:rPr>
                <w:rFonts w:hint="eastAsia" w:ascii="仿宋_GB2312" w:hAnsi="仿宋_GB2312" w:eastAsia="仿宋_GB2312" w:cs="仿宋_GB2312"/>
                <w:color w:val="333333"/>
                <w:sz w:val="28"/>
                <w:szCs w:val="28"/>
              </w:rPr>
              <w:t>个，</w:t>
            </w:r>
            <w:r>
              <w:rPr>
                <w:rFonts w:hint="eastAsia" w:ascii="仿宋_GB2312" w:hAnsi="仿宋_GB2312" w:eastAsia="仿宋_GB2312" w:cs="仿宋_GB2312"/>
                <w:color w:val="333333"/>
                <w:sz w:val="28"/>
                <w:szCs w:val="28"/>
                <w:lang w:eastAsia="zh-CN"/>
              </w:rPr>
              <w:t>副处级综合行政执法支队</w:t>
            </w:r>
            <w:r>
              <w:rPr>
                <w:rFonts w:hint="eastAsia" w:ascii="仿宋_GB2312" w:hAnsi="仿宋_GB2312" w:eastAsia="仿宋_GB2312" w:cs="仿宋_GB2312"/>
                <w:color w:val="333333"/>
                <w:sz w:val="28"/>
                <w:szCs w:val="28"/>
                <w:lang w:val="en-US" w:eastAsia="zh-CN"/>
              </w:rPr>
              <w:t>1个，</w:t>
            </w:r>
            <w:r>
              <w:rPr>
                <w:rFonts w:hint="eastAsia" w:ascii="仿宋_GB2312" w:hAnsi="仿宋_GB2312" w:eastAsia="仿宋_GB2312" w:cs="仿宋_GB2312"/>
                <w:color w:val="333333"/>
                <w:sz w:val="28"/>
                <w:szCs w:val="28"/>
              </w:rPr>
              <w:t>直属事业</w:t>
            </w:r>
            <w:r>
              <w:rPr>
                <w:rFonts w:hint="eastAsia" w:ascii="仿宋_GB2312" w:hAnsi="仿宋_GB2312" w:eastAsia="仿宋_GB2312" w:cs="仿宋_GB2312"/>
                <w:color w:val="333333"/>
                <w:sz w:val="28"/>
                <w:szCs w:val="28"/>
                <w:lang w:eastAsia="zh-CN"/>
              </w:rPr>
              <w:t>单位</w:t>
            </w:r>
            <w:r>
              <w:rPr>
                <w:rFonts w:hint="eastAsia" w:ascii="仿宋_GB2312" w:hAnsi="仿宋_GB2312" w:eastAsia="仿宋_GB2312" w:cs="仿宋_GB2312"/>
                <w:color w:val="333333"/>
                <w:sz w:val="28"/>
                <w:szCs w:val="28"/>
                <w:lang w:val="en-US" w:eastAsia="zh-CN"/>
              </w:rPr>
              <w:t>4</w:t>
            </w:r>
            <w:r>
              <w:rPr>
                <w:rFonts w:hint="eastAsia" w:ascii="仿宋_GB2312" w:hAnsi="仿宋_GB2312" w:eastAsia="仿宋_GB2312" w:cs="仿宋_GB2312"/>
                <w:color w:val="333333"/>
                <w:sz w:val="28"/>
                <w:szCs w:val="28"/>
              </w:rPr>
              <w:t>个，</w:t>
            </w:r>
            <w:r>
              <w:rPr>
                <w:rFonts w:hint="eastAsia" w:ascii="仿宋_GB2312" w:hAnsi="仿宋_GB2312" w:eastAsia="仿宋_GB2312" w:cs="仿宋_GB2312"/>
                <w:color w:val="333333"/>
                <w:sz w:val="28"/>
                <w:szCs w:val="28"/>
                <w:lang w:eastAsia="zh-CN"/>
              </w:rPr>
              <w:t>直属分局</w:t>
            </w:r>
            <w:r>
              <w:rPr>
                <w:rFonts w:hint="eastAsia" w:ascii="仿宋_GB2312" w:hAnsi="仿宋_GB2312" w:eastAsia="仿宋_GB2312" w:cs="仿宋_GB2312"/>
                <w:color w:val="333333"/>
                <w:sz w:val="28"/>
                <w:szCs w:val="28"/>
                <w:lang w:val="en-US" w:eastAsia="zh-CN"/>
              </w:rPr>
              <w:t>3</w:t>
            </w:r>
            <w:r>
              <w:rPr>
                <w:rFonts w:hint="eastAsia" w:ascii="仿宋_GB2312" w:hAnsi="仿宋_GB2312" w:eastAsia="仿宋_GB2312" w:cs="仿宋_GB2312"/>
                <w:color w:val="333333"/>
                <w:sz w:val="28"/>
                <w:szCs w:val="28"/>
              </w:rPr>
              <w:t>个。</w:t>
            </w:r>
          </w:p>
          <w:p>
            <w:pPr>
              <w:pStyle w:val="6"/>
              <w:shd w:val="clear" w:color="auto" w:fill="FFFFFF"/>
              <w:spacing w:before="0" w:beforeAutospacing="0" w:after="0" w:afterAutospacing="0"/>
              <w:ind w:firstLine="570"/>
              <w:rPr>
                <w:rFonts w:hint="eastAsia" w:ascii="仿宋_GB2312" w:eastAsia="仿宋_GB2312"/>
                <w:sz w:val="28"/>
                <w:szCs w:val="28"/>
                <w:lang w:eastAsia="zh-CN"/>
              </w:rPr>
            </w:pPr>
            <w:r>
              <w:rPr>
                <w:rFonts w:hint="eastAsia" w:ascii="仿宋_GB2312" w:hAnsi="仿宋_GB2312" w:eastAsia="仿宋_GB2312" w:cs="仿宋_GB2312"/>
                <w:sz w:val="28"/>
                <w:szCs w:val="28"/>
              </w:rPr>
              <w:t>内设科室分别是办公室、</w:t>
            </w:r>
            <w:r>
              <w:rPr>
                <w:rFonts w:hint="eastAsia" w:ascii="仿宋_GB2312" w:eastAsia="仿宋_GB2312"/>
                <w:sz w:val="28"/>
                <w:szCs w:val="28"/>
              </w:rPr>
              <w:tab/>
            </w:r>
            <w:r>
              <w:rPr>
                <w:rFonts w:hint="eastAsia" w:ascii="仿宋_GB2312" w:eastAsia="仿宋_GB2312"/>
                <w:sz w:val="28"/>
                <w:szCs w:val="28"/>
              </w:rPr>
              <w:t>综合规划和科技信息化科</w:t>
            </w:r>
            <w:r>
              <w:rPr>
                <w:rFonts w:hint="eastAsia" w:ascii="仿宋_GB2312" w:hAnsi="仿宋_GB2312" w:eastAsia="仿宋_GB2312" w:cs="仿宋_GB2312"/>
                <w:sz w:val="28"/>
                <w:szCs w:val="28"/>
              </w:rPr>
              <w:t>、</w:t>
            </w:r>
            <w:r>
              <w:rPr>
                <w:rFonts w:hint="eastAsia" w:ascii="仿宋_GB2312" w:eastAsia="仿宋_GB2312"/>
                <w:sz w:val="28"/>
                <w:szCs w:val="28"/>
              </w:rPr>
              <w:t>政策法规科</w:t>
            </w:r>
            <w:r>
              <w:rPr>
                <w:rFonts w:hint="eastAsia" w:ascii="仿宋_GB2312" w:eastAsia="仿宋_GB2312"/>
                <w:sz w:val="28"/>
                <w:szCs w:val="28"/>
                <w:lang w:eastAsia="zh-CN"/>
              </w:rPr>
              <w:t>、</w:t>
            </w:r>
            <w:r>
              <w:rPr>
                <w:rFonts w:hint="eastAsia" w:ascii="仿宋_GB2312" w:eastAsia="仿宋_GB2312"/>
                <w:sz w:val="28"/>
                <w:szCs w:val="28"/>
              </w:rPr>
              <w:t>信用监督管理科</w:t>
            </w:r>
            <w:r>
              <w:rPr>
                <w:rFonts w:hint="eastAsia" w:ascii="仿宋_GB2312" w:eastAsia="仿宋_GB2312"/>
                <w:sz w:val="28"/>
                <w:szCs w:val="28"/>
                <w:lang w:eastAsia="zh-CN"/>
              </w:rPr>
              <w:t>、</w:t>
            </w:r>
            <w:r>
              <w:rPr>
                <w:rFonts w:hint="eastAsia" w:ascii="仿宋_GB2312" w:eastAsia="仿宋_GB2312"/>
                <w:sz w:val="28"/>
                <w:szCs w:val="28"/>
              </w:rPr>
              <w:t>网络交易监督管理科</w:t>
            </w:r>
            <w:r>
              <w:rPr>
                <w:rFonts w:hint="eastAsia" w:ascii="仿宋_GB2312" w:eastAsia="仿宋_GB2312"/>
                <w:sz w:val="28"/>
                <w:szCs w:val="28"/>
                <w:lang w:eastAsia="zh-CN"/>
              </w:rPr>
              <w:t>、</w:t>
            </w:r>
            <w:r>
              <w:rPr>
                <w:rFonts w:hint="eastAsia" w:ascii="仿宋_GB2312" w:eastAsia="仿宋_GB2312"/>
                <w:sz w:val="28"/>
                <w:szCs w:val="28"/>
              </w:rPr>
              <w:t>广告监督管理科</w:t>
            </w:r>
            <w:r>
              <w:rPr>
                <w:rFonts w:hint="eastAsia" w:ascii="仿宋_GB2312" w:hAnsi="仿宋_GB2312" w:eastAsia="仿宋_GB2312" w:cs="仿宋_GB2312"/>
                <w:sz w:val="28"/>
                <w:szCs w:val="28"/>
              </w:rPr>
              <w:t>、</w:t>
            </w:r>
            <w:r>
              <w:rPr>
                <w:rFonts w:hint="eastAsia" w:ascii="仿宋_GB2312" w:eastAsia="仿宋_GB2312"/>
                <w:sz w:val="28"/>
                <w:szCs w:val="28"/>
              </w:rPr>
              <w:t>登记注册科</w:t>
            </w:r>
            <w:r>
              <w:rPr>
                <w:rFonts w:hint="eastAsia" w:ascii="仿宋_GB2312" w:hAnsi="仿宋_GB2312" w:eastAsia="仿宋_GB2312" w:cs="仿宋_GB2312"/>
                <w:sz w:val="28"/>
                <w:szCs w:val="28"/>
              </w:rPr>
              <w:t>、</w:t>
            </w:r>
            <w:r>
              <w:rPr>
                <w:rFonts w:hint="eastAsia" w:ascii="仿宋_GB2312" w:eastAsia="仿宋_GB2312"/>
                <w:sz w:val="28"/>
                <w:szCs w:val="28"/>
              </w:rPr>
              <w:t>市场规范管理科</w:t>
            </w:r>
            <w:r>
              <w:rPr>
                <w:rFonts w:hint="eastAsia" w:ascii="仿宋_GB2312" w:hAnsi="仿宋_GB2312" w:eastAsia="仿宋_GB2312" w:cs="仿宋_GB2312"/>
                <w:sz w:val="28"/>
                <w:szCs w:val="28"/>
              </w:rPr>
              <w:t>、</w:t>
            </w:r>
            <w:r>
              <w:rPr>
                <w:rFonts w:hint="eastAsia" w:ascii="仿宋_GB2312" w:eastAsia="仿宋_GB2312"/>
                <w:sz w:val="28"/>
                <w:szCs w:val="28"/>
              </w:rPr>
              <w:t>反不正当竞争和反垄断科</w:t>
            </w:r>
            <w:r>
              <w:rPr>
                <w:rFonts w:hint="eastAsia" w:ascii="仿宋_GB2312" w:hAnsi="仿宋_GB2312" w:eastAsia="仿宋_GB2312" w:cs="仿宋_GB2312"/>
                <w:sz w:val="28"/>
                <w:szCs w:val="28"/>
              </w:rPr>
              <w:t>、</w:t>
            </w:r>
            <w:r>
              <w:rPr>
                <w:rFonts w:hint="eastAsia" w:ascii="仿宋_GB2312" w:eastAsia="仿宋_GB2312"/>
                <w:sz w:val="28"/>
                <w:szCs w:val="28"/>
              </w:rPr>
              <w:t>价格监督管理科</w:t>
            </w:r>
            <w:r>
              <w:rPr>
                <w:rFonts w:hint="eastAsia" w:ascii="仿宋_GB2312" w:hAnsi="仿宋_GB2312" w:eastAsia="仿宋_GB2312" w:cs="仿宋_GB2312"/>
                <w:sz w:val="28"/>
                <w:szCs w:val="28"/>
              </w:rPr>
              <w:t>、</w:t>
            </w:r>
            <w:r>
              <w:rPr>
                <w:rFonts w:hint="eastAsia" w:ascii="仿宋_GB2312" w:eastAsia="仿宋_GB2312"/>
                <w:sz w:val="28"/>
                <w:szCs w:val="28"/>
              </w:rPr>
              <w:t>投诉举报科</w:t>
            </w:r>
            <w:r>
              <w:rPr>
                <w:rFonts w:hint="eastAsia" w:ascii="仿宋_GB2312" w:hAnsi="仿宋_GB2312" w:eastAsia="仿宋_GB2312" w:cs="仿宋_GB2312"/>
                <w:sz w:val="28"/>
                <w:szCs w:val="28"/>
              </w:rPr>
              <w:t>、</w:t>
            </w:r>
            <w:r>
              <w:rPr>
                <w:rFonts w:hint="eastAsia" w:ascii="仿宋_GB2312" w:eastAsia="仿宋_GB2312"/>
                <w:sz w:val="28"/>
                <w:szCs w:val="28"/>
              </w:rPr>
              <w:t>质量发展科</w:t>
            </w:r>
            <w:r>
              <w:rPr>
                <w:rFonts w:hint="eastAsia" w:ascii="仿宋_GB2312" w:eastAsia="仿宋_GB2312"/>
                <w:sz w:val="28"/>
                <w:szCs w:val="28"/>
                <w:lang w:eastAsia="zh-CN"/>
              </w:rPr>
              <w:t>、</w:t>
            </w:r>
            <w:r>
              <w:rPr>
                <w:rFonts w:hint="eastAsia" w:ascii="仿宋_GB2312" w:eastAsia="仿宋_GB2312"/>
                <w:sz w:val="28"/>
                <w:szCs w:val="28"/>
              </w:rPr>
              <w:t>产品质量安全监督管理科</w:t>
            </w:r>
            <w:r>
              <w:rPr>
                <w:rFonts w:hint="eastAsia" w:ascii="仿宋_GB2312" w:hAnsi="仿宋_GB2312" w:eastAsia="仿宋_GB2312" w:cs="仿宋_GB2312"/>
                <w:sz w:val="28"/>
                <w:szCs w:val="28"/>
              </w:rPr>
              <w:t>、</w:t>
            </w:r>
            <w:r>
              <w:rPr>
                <w:rFonts w:hint="eastAsia" w:ascii="仿宋_GB2312" w:eastAsia="仿宋_GB2312"/>
                <w:sz w:val="28"/>
                <w:szCs w:val="28"/>
              </w:rPr>
              <w:t>食品安全协调科</w:t>
            </w:r>
            <w:r>
              <w:rPr>
                <w:rFonts w:hint="eastAsia" w:ascii="仿宋_GB2312" w:hAnsi="仿宋_GB2312" w:eastAsia="仿宋_GB2312" w:cs="仿宋_GB2312"/>
                <w:sz w:val="28"/>
                <w:szCs w:val="28"/>
              </w:rPr>
              <w:t>、</w:t>
            </w:r>
            <w:r>
              <w:rPr>
                <w:rFonts w:hint="eastAsia" w:ascii="仿宋_GB2312" w:eastAsia="仿宋_GB2312"/>
                <w:sz w:val="28"/>
                <w:szCs w:val="28"/>
              </w:rPr>
              <w:t>食品生产安全监督管理科</w:t>
            </w:r>
            <w:r>
              <w:rPr>
                <w:rFonts w:hint="eastAsia" w:ascii="仿宋_GB2312" w:eastAsia="仿宋_GB2312"/>
                <w:sz w:val="28"/>
                <w:szCs w:val="28"/>
                <w:lang w:eastAsia="zh-CN"/>
              </w:rPr>
              <w:t>、</w:t>
            </w:r>
            <w:r>
              <w:rPr>
                <w:rFonts w:hint="eastAsia" w:ascii="仿宋_GB2312" w:eastAsia="仿宋_GB2312"/>
                <w:sz w:val="28"/>
                <w:szCs w:val="28"/>
              </w:rPr>
              <w:t>食品经营安全监督管理科</w:t>
            </w:r>
            <w:r>
              <w:rPr>
                <w:rFonts w:hint="eastAsia" w:ascii="仿宋_GB2312" w:eastAsia="仿宋_GB2312"/>
                <w:sz w:val="28"/>
                <w:szCs w:val="28"/>
                <w:lang w:eastAsia="zh-CN"/>
              </w:rPr>
              <w:t>、</w:t>
            </w:r>
            <w:r>
              <w:rPr>
                <w:rFonts w:hint="eastAsia" w:ascii="仿宋_GB2312" w:eastAsia="仿宋_GB2312"/>
                <w:sz w:val="28"/>
                <w:szCs w:val="28"/>
              </w:rPr>
              <w:t>特殊食品和化妆品安全监督管理科</w:t>
            </w:r>
            <w:r>
              <w:rPr>
                <w:rFonts w:hint="eastAsia" w:ascii="仿宋_GB2312" w:eastAsia="仿宋_GB2312"/>
                <w:sz w:val="28"/>
                <w:szCs w:val="28"/>
                <w:lang w:eastAsia="zh-CN"/>
              </w:rPr>
              <w:t>、</w:t>
            </w:r>
            <w:r>
              <w:rPr>
                <w:rFonts w:hint="eastAsia" w:ascii="仿宋_GB2312" w:eastAsia="仿宋_GB2312"/>
                <w:sz w:val="28"/>
                <w:szCs w:val="28"/>
              </w:rPr>
              <w:t>餐饮食品安全监督管理科</w:t>
            </w:r>
            <w:r>
              <w:rPr>
                <w:rFonts w:hint="eastAsia" w:ascii="仿宋_GB2312" w:eastAsia="仿宋_GB2312"/>
                <w:sz w:val="28"/>
                <w:szCs w:val="28"/>
                <w:lang w:eastAsia="zh-CN"/>
              </w:rPr>
              <w:t>、</w:t>
            </w:r>
            <w:r>
              <w:rPr>
                <w:rFonts w:hint="eastAsia" w:ascii="仿宋_GB2312" w:eastAsia="仿宋_GB2312"/>
                <w:sz w:val="28"/>
                <w:szCs w:val="28"/>
              </w:rPr>
              <w:t>抽检监测管理科</w:t>
            </w:r>
            <w:r>
              <w:rPr>
                <w:rFonts w:hint="eastAsia" w:ascii="仿宋_GB2312" w:eastAsia="仿宋_GB2312"/>
                <w:sz w:val="28"/>
                <w:szCs w:val="28"/>
                <w:lang w:eastAsia="zh-CN"/>
              </w:rPr>
              <w:t>、</w:t>
            </w:r>
            <w:r>
              <w:rPr>
                <w:rFonts w:hint="eastAsia" w:ascii="仿宋_GB2312" w:eastAsia="仿宋_GB2312"/>
                <w:sz w:val="28"/>
                <w:szCs w:val="28"/>
              </w:rPr>
              <w:t>药品生产指导协调科</w:t>
            </w:r>
            <w:r>
              <w:rPr>
                <w:rFonts w:hint="eastAsia" w:ascii="仿宋_GB2312" w:eastAsia="仿宋_GB2312"/>
                <w:sz w:val="28"/>
                <w:szCs w:val="28"/>
                <w:lang w:eastAsia="zh-CN"/>
              </w:rPr>
              <w:t>、</w:t>
            </w:r>
            <w:r>
              <w:rPr>
                <w:rFonts w:hint="eastAsia" w:ascii="仿宋_GB2312" w:eastAsia="仿宋_GB2312"/>
                <w:sz w:val="28"/>
                <w:szCs w:val="28"/>
              </w:rPr>
              <w:t>药品流通监督管理科</w:t>
            </w:r>
            <w:r>
              <w:rPr>
                <w:rFonts w:hint="eastAsia" w:ascii="仿宋_GB2312" w:eastAsia="仿宋_GB2312"/>
                <w:sz w:val="28"/>
                <w:szCs w:val="28"/>
                <w:lang w:eastAsia="zh-CN"/>
              </w:rPr>
              <w:t>、</w:t>
            </w:r>
            <w:r>
              <w:rPr>
                <w:rFonts w:hint="eastAsia" w:ascii="仿宋_GB2312" w:eastAsia="仿宋_GB2312"/>
                <w:sz w:val="28"/>
                <w:szCs w:val="28"/>
              </w:rPr>
              <w:t>医疗器械监督管理科</w:t>
            </w:r>
            <w:r>
              <w:rPr>
                <w:rFonts w:hint="eastAsia" w:ascii="仿宋_GB2312" w:eastAsia="仿宋_GB2312"/>
                <w:sz w:val="28"/>
                <w:szCs w:val="28"/>
                <w:lang w:eastAsia="zh-CN"/>
              </w:rPr>
              <w:t>、</w:t>
            </w:r>
            <w:r>
              <w:rPr>
                <w:rFonts w:hint="eastAsia" w:ascii="仿宋_GB2312" w:eastAsia="仿宋_GB2312"/>
                <w:sz w:val="28"/>
                <w:szCs w:val="28"/>
              </w:rPr>
              <w:t>特种设备安全监察科</w:t>
            </w:r>
            <w:r>
              <w:rPr>
                <w:rFonts w:hint="eastAsia" w:ascii="仿宋_GB2312" w:eastAsia="仿宋_GB2312"/>
                <w:sz w:val="28"/>
                <w:szCs w:val="28"/>
                <w:lang w:eastAsia="zh-CN"/>
              </w:rPr>
              <w:t>、</w:t>
            </w:r>
            <w:r>
              <w:rPr>
                <w:rFonts w:hint="eastAsia" w:ascii="仿宋_GB2312" w:eastAsia="仿宋_GB2312"/>
                <w:sz w:val="28"/>
                <w:szCs w:val="28"/>
              </w:rPr>
              <w:t>计量科</w:t>
            </w:r>
            <w:r>
              <w:rPr>
                <w:rFonts w:hint="eastAsia" w:ascii="仿宋_GB2312" w:eastAsia="仿宋_GB2312"/>
                <w:sz w:val="28"/>
                <w:szCs w:val="28"/>
                <w:lang w:eastAsia="zh-CN"/>
              </w:rPr>
              <w:t>、</w:t>
            </w:r>
            <w:r>
              <w:rPr>
                <w:rFonts w:hint="eastAsia" w:ascii="仿宋_GB2312" w:eastAsia="仿宋_GB2312"/>
                <w:sz w:val="28"/>
                <w:szCs w:val="28"/>
              </w:rPr>
              <w:t>标准化科</w:t>
            </w:r>
            <w:r>
              <w:rPr>
                <w:rFonts w:hint="eastAsia" w:ascii="仿宋_GB2312" w:eastAsia="仿宋_GB2312"/>
                <w:sz w:val="28"/>
                <w:szCs w:val="28"/>
                <w:lang w:eastAsia="zh-CN"/>
              </w:rPr>
              <w:t>、</w:t>
            </w:r>
            <w:r>
              <w:rPr>
                <w:rFonts w:hint="eastAsia" w:ascii="仿宋_GB2312" w:eastAsia="仿宋_GB2312"/>
                <w:sz w:val="28"/>
                <w:szCs w:val="28"/>
              </w:rPr>
              <w:t>认证认可监督管理科</w:t>
            </w:r>
            <w:r>
              <w:rPr>
                <w:rFonts w:hint="eastAsia" w:ascii="仿宋_GB2312" w:eastAsia="仿宋_GB2312"/>
                <w:sz w:val="28"/>
                <w:szCs w:val="28"/>
                <w:lang w:eastAsia="zh-CN"/>
              </w:rPr>
              <w:t>、</w:t>
            </w:r>
            <w:r>
              <w:rPr>
                <w:rFonts w:hint="eastAsia" w:ascii="仿宋_GB2312" w:eastAsia="仿宋_GB2312"/>
                <w:sz w:val="28"/>
                <w:szCs w:val="28"/>
              </w:rPr>
              <w:t>知识产权运用促进科</w:t>
            </w:r>
            <w:r>
              <w:rPr>
                <w:rFonts w:hint="eastAsia" w:ascii="仿宋_GB2312" w:eastAsia="仿宋_GB2312"/>
                <w:sz w:val="28"/>
                <w:szCs w:val="28"/>
                <w:lang w:eastAsia="zh-CN"/>
              </w:rPr>
              <w:t>、</w:t>
            </w:r>
            <w:r>
              <w:rPr>
                <w:rFonts w:hint="eastAsia" w:ascii="仿宋_GB2312" w:eastAsia="仿宋_GB2312"/>
                <w:sz w:val="28"/>
                <w:szCs w:val="28"/>
              </w:rPr>
              <w:t>知识产权保护科</w:t>
            </w:r>
            <w:r>
              <w:rPr>
                <w:rFonts w:hint="eastAsia" w:ascii="仿宋_GB2312" w:eastAsia="仿宋_GB2312"/>
                <w:sz w:val="28"/>
                <w:szCs w:val="28"/>
                <w:lang w:eastAsia="zh-CN"/>
              </w:rPr>
              <w:t>、</w:t>
            </w:r>
            <w:r>
              <w:rPr>
                <w:rFonts w:hint="eastAsia" w:ascii="仿宋_GB2312" w:eastAsia="仿宋_GB2312"/>
                <w:sz w:val="28"/>
                <w:szCs w:val="28"/>
              </w:rPr>
              <w:t>消费者权益保护科</w:t>
            </w:r>
            <w:r>
              <w:rPr>
                <w:rFonts w:hint="eastAsia" w:ascii="仿宋_GB2312" w:eastAsia="仿宋_GB2312"/>
                <w:sz w:val="28"/>
                <w:szCs w:val="28"/>
                <w:lang w:eastAsia="zh-CN"/>
              </w:rPr>
              <w:t>、</w:t>
            </w:r>
            <w:r>
              <w:rPr>
                <w:rFonts w:hint="eastAsia" w:ascii="仿宋_GB2312" w:eastAsia="仿宋_GB2312"/>
                <w:sz w:val="28"/>
                <w:szCs w:val="28"/>
              </w:rPr>
              <w:t>财务和审计科</w:t>
            </w:r>
            <w:r>
              <w:rPr>
                <w:rFonts w:hint="eastAsia" w:ascii="仿宋_GB2312" w:eastAsia="仿宋_GB2312"/>
                <w:sz w:val="28"/>
                <w:szCs w:val="28"/>
                <w:lang w:eastAsia="zh-CN"/>
              </w:rPr>
              <w:t>、</w:t>
            </w:r>
            <w:r>
              <w:rPr>
                <w:rFonts w:hint="eastAsia" w:ascii="仿宋_GB2312" w:eastAsia="仿宋_GB2312"/>
                <w:sz w:val="28"/>
                <w:szCs w:val="28"/>
              </w:rPr>
              <w:t>人事科</w:t>
            </w:r>
            <w:r>
              <w:rPr>
                <w:rFonts w:hint="eastAsia" w:ascii="仿宋_GB2312" w:eastAsia="仿宋_GB2312"/>
                <w:sz w:val="28"/>
                <w:szCs w:val="28"/>
                <w:lang w:eastAsia="zh-CN"/>
              </w:rPr>
              <w:t>、</w:t>
            </w:r>
            <w:r>
              <w:rPr>
                <w:rFonts w:hint="eastAsia" w:ascii="仿宋_GB2312" w:eastAsia="仿宋_GB2312"/>
                <w:sz w:val="28"/>
                <w:szCs w:val="28"/>
              </w:rPr>
              <w:t>机关党委（纪委）</w:t>
            </w:r>
            <w:r>
              <w:rPr>
                <w:rFonts w:hint="eastAsia" w:ascii="仿宋_GB2312" w:eastAsia="仿宋_GB2312"/>
                <w:sz w:val="28"/>
                <w:szCs w:val="28"/>
                <w:lang w:eastAsia="zh-CN"/>
              </w:rPr>
              <w:t>、</w:t>
            </w:r>
            <w:r>
              <w:rPr>
                <w:rFonts w:hint="eastAsia" w:ascii="仿宋_GB2312" w:eastAsia="仿宋_GB2312"/>
                <w:sz w:val="28"/>
                <w:szCs w:val="28"/>
              </w:rPr>
              <w:t>离退休人员管理服务科</w:t>
            </w:r>
            <w:r>
              <w:rPr>
                <w:rFonts w:hint="eastAsia" w:ascii="仿宋_GB2312" w:eastAsia="仿宋_GB2312"/>
                <w:sz w:val="28"/>
                <w:szCs w:val="28"/>
                <w:lang w:eastAsia="zh-CN"/>
              </w:rPr>
              <w:t>。</w:t>
            </w:r>
          </w:p>
          <w:p>
            <w:pPr>
              <w:pStyle w:val="6"/>
              <w:shd w:val="clear" w:color="auto" w:fill="FFFFFF"/>
              <w:spacing w:before="0" w:beforeAutospacing="0" w:after="0" w:afterAutospacing="0"/>
              <w:ind w:firstLine="570"/>
              <w:rPr>
                <w:rFonts w:hint="eastAsia" w:ascii="仿宋_GB2312" w:hAnsi="仿宋_GB2312" w:eastAsia="仿宋_GB2312" w:cs="仿宋_GB2312"/>
                <w:color w:val="333333"/>
                <w:sz w:val="28"/>
                <w:szCs w:val="28"/>
                <w:lang w:eastAsia="zh-CN"/>
              </w:rPr>
            </w:pPr>
            <w:r>
              <w:rPr>
                <w:rFonts w:hint="eastAsia" w:ascii="仿宋_GB2312" w:hAnsi="仿宋_GB2312" w:eastAsia="仿宋_GB2312" w:cs="仿宋_GB2312"/>
                <w:color w:val="333333"/>
                <w:sz w:val="28"/>
                <w:szCs w:val="28"/>
                <w:lang w:eastAsia="zh-CN"/>
              </w:rPr>
              <w:t>副处级综合行政执法支队是岳阳市市场监管综合行政执法支队。</w:t>
            </w:r>
          </w:p>
          <w:p>
            <w:pPr>
              <w:pStyle w:val="6"/>
              <w:shd w:val="clear" w:color="auto" w:fill="FFFFFF"/>
              <w:spacing w:before="0" w:beforeAutospacing="0" w:after="0" w:afterAutospacing="0"/>
              <w:ind w:firstLine="570"/>
              <w:rPr>
                <w:rFonts w:hint="eastAsia" w:ascii="仿宋_GB2312" w:hAnsi="仿宋_GB2312" w:eastAsia="仿宋_GB2312" w:cs="仿宋_GB2312"/>
                <w:color w:val="333333"/>
                <w:sz w:val="28"/>
                <w:szCs w:val="28"/>
                <w:lang w:eastAsia="zh-CN"/>
              </w:rPr>
            </w:pPr>
            <w:r>
              <w:rPr>
                <w:rFonts w:hint="eastAsia" w:ascii="仿宋_GB2312" w:hAnsi="仿宋_GB2312" w:eastAsia="仿宋_GB2312" w:cs="仿宋_GB2312"/>
                <w:color w:val="333333"/>
                <w:sz w:val="28"/>
                <w:szCs w:val="28"/>
                <w:lang w:eastAsia="zh-CN"/>
              </w:rPr>
              <w:t>直属事业单位为岳阳市检验检测中心，岳阳市食品药品审评认证与不良反应监测中心，岳阳市市场监督管理局机关事务管理中心，岳阳市消费者维权服务中心。</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ind w:firstLine="573"/>
              <w:textAlignment w:val="auto"/>
              <w:rPr>
                <w:rFonts w:hint="eastAsia" w:ascii="Arial" w:hAnsi="Arial" w:cs="Arial"/>
                <w:sz w:val="28"/>
              </w:rPr>
            </w:pPr>
            <w:r>
              <w:rPr>
                <w:rFonts w:hint="eastAsia" w:ascii="仿宋_GB2312" w:hAnsi="仿宋_GB2312" w:eastAsia="仿宋_GB2312" w:cs="仿宋_GB2312"/>
                <w:color w:val="333333"/>
                <w:sz w:val="28"/>
                <w:szCs w:val="28"/>
              </w:rPr>
              <w:t>直属</w:t>
            </w:r>
            <w:r>
              <w:rPr>
                <w:rFonts w:hint="eastAsia" w:ascii="仿宋_GB2312" w:hAnsi="仿宋_GB2312" w:eastAsia="仿宋_GB2312" w:cs="仿宋_GB2312"/>
                <w:color w:val="333333"/>
                <w:sz w:val="28"/>
                <w:szCs w:val="28"/>
                <w:lang w:eastAsia="zh-CN"/>
              </w:rPr>
              <w:t>分局</w:t>
            </w:r>
            <w:r>
              <w:rPr>
                <w:rFonts w:hint="eastAsia" w:ascii="仿宋_GB2312" w:hAnsi="仿宋_GB2312" w:eastAsia="仿宋_GB2312" w:cs="仿宋_GB2312"/>
                <w:sz w:val="28"/>
                <w:szCs w:val="28"/>
              </w:rPr>
              <w:t>分别是岳阳市</w:t>
            </w:r>
            <w:r>
              <w:rPr>
                <w:rFonts w:hint="eastAsia" w:ascii="仿宋_GB2312" w:hAnsi="仿宋_GB2312" w:eastAsia="仿宋_GB2312" w:cs="仿宋_GB2312"/>
                <w:sz w:val="28"/>
                <w:szCs w:val="28"/>
                <w:lang w:eastAsia="zh-CN"/>
              </w:rPr>
              <w:t>市场监督</w:t>
            </w:r>
            <w:r>
              <w:rPr>
                <w:rFonts w:hint="eastAsia" w:ascii="仿宋_GB2312" w:hAnsi="仿宋_GB2312" w:eastAsia="仿宋_GB2312" w:cs="仿宋_GB2312"/>
                <w:sz w:val="28"/>
                <w:szCs w:val="28"/>
              </w:rPr>
              <w:t>管理局</w:t>
            </w:r>
            <w:r>
              <w:rPr>
                <w:rFonts w:hint="eastAsia" w:ascii="仿宋_GB2312" w:hAnsi="仿宋_GB2312" w:eastAsia="仿宋_GB2312" w:cs="仿宋_GB2312"/>
                <w:sz w:val="28"/>
                <w:szCs w:val="28"/>
                <w:lang w:eastAsia="zh-CN"/>
              </w:rPr>
              <w:t>经济技术开发区分局</w:t>
            </w:r>
            <w:r>
              <w:rPr>
                <w:rFonts w:hint="eastAsia" w:ascii="仿宋_GB2312" w:hAnsi="仿宋_GB2312" w:eastAsia="仿宋_GB2312" w:cs="仿宋_GB2312"/>
                <w:sz w:val="28"/>
                <w:szCs w:val="28"/>
              </w:rPr>
              <w:t>、岳阳市</w:t>
            </w:r>
            <w:r>
              <w:rPr>
                <w:rFonts w:hint="eastAsia" w:ascii="仿宋_GB2312" w:hAnsi="仿宋_GB2312" w:eastAsia="仿宋_GB2312" w:cs="仿宋_GB2312"/>
                <w:sz w:val="28"/>
                <w:szCs w:val="28"/>
                <w:lang w:eastAsia="zh-CN"/>
              </w:rPr>
              <w:t>市场监督</w:t>
            </w:r>
            <w:r>
              <w:rPr>
                <w:rFonts w:hint="eastAsia" w:ascii="仿宋_GB2312" w:hAnsi="仿宋_GB2312" w:eastAsia="仿宋_GB2312" w:cs="仿宋_GB2312"/>
                <w:sz w:val="28"/>
                <w:szCs w:val="28"/>
              </w:rPr>
              <w:t>管理局</w:t>
            </w:r>
            <w:r>
              <w:rPr>
                <w:rFonts w:hint="eastAsia" w:ascii="仿宋_GB2312" w:hAnsi="仿宋_GB2312" w:eastAsia="仿宋_GB2312" w:cs="仿宋_GB2312"/>
                <w:sz w:val="28"/>
                <w:szCs w:val="28"/>
                <w:lang w:eastAsia="zh-CN"/>
              </w:rPr>
              <w:t>南湖新区分局</w:t>
            </w:r>
            <w:r>
              <w:rPr>
                <w:rFonts w:hint="eastAsia" w:ascii="仿宋_GB2312" w:hAnsi="仿宋_GB2312" w:eastAsia="仿宋_GB2312" w:cs="仿宋_GB2312"/>
                <w:sz w:val="28"/>
                <w:szCs w:val="28"/>
              </w:rPr>
              <w:t>、岳阳市</w:t>
            </w:r>
            <w:r>
              <w:rPr>
                <w:rFonts w:hint="eastAsia" w:ascii="仿宋_GB2312" w:hAnsi="仿宋_GB2312" w:eastAsia="仿宋_GB2312" w:cs="仿宋_GB2312"/>
                <w:sz w:val="28"/>
                <w:szCs w:val="28"/>
                <w:lang w:eastAsia="zh-CN"/>
              </w:rPr>
              <w:t>市场监督</w:t>
            </w:r>
            <w:r>
              <w:rPr>
                <w:rFonts w:hint="eastAsia" w:ascii="仿宋_GB2312" w:hAnsi="仿宋_GB2312" w:eastAsia="仿宋_GB2312" w:cs="仿宋_GB2312"/>
                <w:sz w:val="28"/>
                <w:szCs w:val="28"/>
              </w:rPr>
              <w:t>管理局</w:t>
            </w:r>
            <w:r>
              <w:rPr>
                <w:rFonts w:hint="eastAsia" w:ascii="仿宋_GB2312" w:hAnsi="仿宋_GB2312" w:eastAsia="仿宋_GB2312" w:cs="仿宋_GB2312"/>
                <w:sz w:val="28"/>
                <w:szCs w:val="28"/>
                <w:lang w:eastAsia="zh-CN"/>
              </w:rPr>
              <w:t>城陵矶新港区分局。</w:t>
            </w:r>
          </w:p>
          <w:p>
            <w:pPr>
              <w:pStyle w:val="6"/>
              <w:shd w:val="clear" w:color="auto" w:fill="FFFFFF"/>
              <w:spacing w:before="0" w:beforeAutospacing="0" w:after="0" w:afterAutospacing="0"/>
              <w:ind w:firstLine="570"/>
              <w:rPr>
                <w:rFonts w:hint="eastAsia" w:ascii="Arial" w:hAnsi="Arial" w:cs="Arial"/>
                <w:b/>
                <w:bCs/>
                <w:sz w:val="28"/>
                <w:lang w:val="en-US" w:eastAsia="zh-CN"/>
              </w:rPr>
            </w:pPr>
            <w:r>
              <w:rPr>
                <w:rFonts w:hint="eastAsia" w:ascii="Arial" w:hAnsi="Arial" w:cs="Arial"/>
                <w:b/>
                <w:bCs/>
                <w:sz w:val="28"/>
                <w:lang w:val="en-US" w:eastAsia="zh-CN"/>
              </w:rPr>
              <w:t>2、人员情况</w:t>
            </w:r>
          </w:p>
          <w:p>
            <w:pPr>
              <w:pStyle w:val="6"/>
              <w:shd w:val="clear" w:color="auto" w:fill="FFFFFF"/>
              <w:spacing w:before="0" w:beforeAutospacing="0" w:after="0" w:afterAutospacing="0"/>
              <w:ind w:firstLine="57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2021年末编制人数539人，其中行政编制218人，综合执法编制125人，工勤编制13人，参公编制14人，全额拨款事业编制147人，差额编制22人。编制内实有在职人数551人。</w:t>
            </w:r>
          </w:p>
          <w:p>
            <w:pPr>
              <w:pStyle w:val="6"/>
              <w:shd w:val="clear" w:color="auto" w:fill="FFFFFF"/>
              <w:spacing w:before="0" w:beforeAutospacing="0" w:after="0" w:afterAutospacing="0"/>
              <w:ind w:firstLine="570"/>
              <w:rPr>
                <w:rFonts w:ascii="Arial" w:hAnsi="Arial" w:cs="Arial"/>
                <w:b/>
                <w:bCs/>
                <w:sz w:val="28"/>
              </w:rPr>
            </w:pPr>
            <w:r>
              <w:rPr>
                <w:rFonts w:hint="eastAsia" w:ascii="Arial" w:hAnsi="Arial" w:cs="Arial"/>
                <w:b/>
                <w:bCs/>
                <w:sz w:val="28"/>
                <w:lang w:val="en-US" w:eastAsia="zh-CN"/>
              </w:rPr>
              <w:t>3、</w:t>
            </w:r>
            <w:r>
              <w:rPr>
                <w:rFonts w:ascii="Arial" w:hAnsi="Arial" w:cs="Arial"/>
                <w:b/>
                <w:bCs/>
                <w:sz w:val="28"/>
              </w:rPr>
              <w:t>职能职责 </w:t>
            </w:r>
          </w:p>
          <w:p>
            <w:pPr>
              <w:pStyle w:val="19"/>
              <w:keepNext w:val="0"/>
              <w:keepLines w:val="0"/>
              <w:pageBreakBefore w:val="0"/>
              <w:widowControl w:val="0"/>
              <w:kinsoku/>
              <w:wordWrap/>
              <w:overflowPunct/>
              <w:topLinePunct w:val="0"/>
              <w:autoSpaceDE/>
              <w:autoSpaceDN/>
              <w:bidi w:val="0"/>
              <w:adjustRightInd/>
              <w:snapToGrid/>
              <w:spacing w:line="360" w:lineRule="auto"/>
              <w:ind w:firstLine="540"/>
              <w:jc w:val="both"/>
              <w:textAlignment w:val="auto"/>
              <w:rPr>
                <w:rFonts w:hint="eastAsia" w:ascii="仿宋_GB2312" w:eastAsia="仿宋_GB2312"/>
                <w:sz w:val="28"/>
                <w:szCs w:val="28"/>
              </w:rPr>
            </w:pPr>
            <w:r>
              <w:rPr>
                <w:rFonts w:hint="eastAsia" w:ascii="仿宋_GB2312" w:eastAsia="仿宋_GB2312"/>
                <w:sz w:val="28"/>
                <w:szCs w:val="28"/>
              </w:rPr>
              <w:t>（一）负责市场综合监督管理。贯彻执行国家市场监督管理的方针、政策和法律法规规章，组织实施质量强市、食品安全、标准化和知识产权等战略，拟订并组织实施有关规划，规范和维护市场秩序，营造诚实守信、公平竞争的市场环境。</w:t>
            </w:r>
          </w:p>
          <w:p>
            <w:pPr>
              <w:pStyle w:val="19"/>
              <w:keepNext w:val="0"/>
              <w:keepLines w:val="0"/>
              <w:pageBreakBefore w:val="0"/>
              <w:widowControl w:val="0"/>
              <w:kinsoku/>
              <w:wordWrap/>
              <w:overflowPunct/>
              <w:topLinePunct w:val="0"/>
              <w:autoSpaceDE/>
              <w:autoSpaceDN/>
              <w:bidi w:val="0"/>
              <w:adjustRightInd/>
              <w:snapToGrid/>
              <w:spacing w:after="140" w:line="360" w:lineRule="auto"/>
              <w:ind w:firstLine="540"/>
              <w:jc w:val="both"/>
              <w:textAlignment w:val="auto"/>
              <w:rPr>
                <w:rFonts w:hint="eastAsia" w:ascii="仿宋_GB2312" w:eastAsia="仿宋_GB2312"/>
                <w:sz w:val="28"/>
                <w:szCs w:val="28"/>
              </w:rPr>
            </w:pPr>
            <w:r>
              <w:rPr>
                <w:rFonts w:hint="eastAsia" w:ascii="仿宋_GB2312" w:eastAsia="仿宋_GB2312"/>
                <w:sz w:val="28"/>
                <w:szCs w:val="28"/>
              </w:rPr>
              <w:t>（二）负责市场主体统一登记注册工作。负责全市各类企业、农民专业合作社和从事经营活动的单位、个体工商户以及外国（地区）企业、常驻代表机构等市场主体的登记注册工作。建立市场主体信息公示和共享机制，依法公示和共享有关信息，加强信用监管，推动市场主体信用体系建设。</w:t>
            </w:r>
          </w:p>
          <w:p>
            <w:pPr>
              <w:pStyle w:val="19"/>
              <w:keepNext w:val="0"/>
              <w:keepLines w:val="0"/>
              <w:pageBreakBefore w:val="0"/>
              <w:widowControl w:val="0"/>
              <w:kinsoku/>
              <w:wordWrap/>
              <w:overflowPunct/>
              <w:topLinePunct w:val="0"/>
              <w:autoSpaceDE/>
              <w:autoSpaceDN/>
              <w:bidi w:val="0"/>
              <w:adjustRightInd/>
              <w:snapToGrid/>
              <w:spacing w:after="100" w:line="360" w:lineRule="auto"/>
              <w:ind w:firstLine="540"/>
              <w:jc w:val="both"/>
              <w:textAlignment w:val="auto"/>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三</w:t>
            </w:r>
            <w:r>
              <w:rPr>
                <w:rFonts w:hint="eastAsia" w:ascii="仿宋_GB2312" w:eastAsia="仿宋_GB2312"/>
                <w:sz w:val="28"/>
                <w:szCs w:val="28"/>
              </w:rPr>
              <w:t>）负责组织指导市场监管综合执法工作。指导县市区市场监管综合执法队伍整合和建设，推动实行统一的市场监管。组织指导或直接查处违法案件，规范市场监管行政执法行为。</w:t>
            </w:r>
          </w:p>
          <w:p>
            <w:pPr>
              <w:pStyle w:val="19"/>
              <w:keepNext w:val="0"/>
              <w:keepLines w:val="0"/>
              <w:pageBreakBefore w:val="0"/>
              <w:widowControl w:val="0"/>
              <w:kinsoku/>
              <w:wordWrap/>
              <w:overflowPunct/>
              <w:topLinePunct w:val="0"/>
              <w:autoSpaceDE/>
              <w:autoSpaceDN/>
              <w:bidi w:val="0"/>
              <w:adjustRightInd/>
              <w:snapToGrid/>
              <w:spacing w:line="360" w:lineRule="auto"/>
              <w:ind w:firstLine="520"/>
              <w:jc w:val="both"/>
              <w:textAlignment w:val="auto"/>
              <w:rPr>
                <w:rFonts w:hint="eastAsia" w:ascii="仿宋_GB2312" w:eastAsia="仿宋_GB2312"/>
                <w:sz w:val="28"/>
                <w:szCs w:val="28"/>
              </w:rPr>
            </w:pPr>
            <w:r>
              <w:rPr>
                <w:rFonts w:hint="eastAsia" w:ascii="仿宋_GB2312" w:eastAsia="仿宋_GB2312"/>
                <w:sz w:val="28"/>
                <w:szCs w:val="28"/>
              </w:rPr>
              <w:t>（四）依委托开展反垄断统一执法调查工作。统筹推进竞争政策实施，组织实施公平竞争审查制度。依委托协助开展垄断协议、滥用市场支配地位和滥用行政权力排除、限制竞争等反垄断执法调查工作，指导企业在国外的反垄断应诉工作。</w:t>
            </w:r>
          </w:p>
          <w:p>
            <w:pPr>
              <w:pStyle w:val="19"/>
              <w:keepNext w:val="0"/>
              <w:keepLines w:val="0"/>
              <w:pageBreakBefore w:val="0"/>
              <w:widowControl w:val="0"/>
              <w:kinsoku/>
              <w:wordWrap/>
              <w:overflowPunct/>
              <w:topLinePunct w:val="0"/>
              <w:autoSpaceDE/>
              <w:autoSpaceDN/>
              <w:bidi w:val="0"/>
              <w:adjustRightInd/>
              <w:snapToGrid/>
              <w:spacing w:line="360" w:lineRule="auto"/>
              <w:ind w:firstLine="520"/>
              <w:jc w:val="both"/>
              <w:textAlignment w:val="auto"/>
              <w:rPr>
                <w:rFonts w:hint="eastAsia" w:ascii="仿宋_GB2312" w:eastAsia="仿宋_GB2312"/>
                <w:sz w:val="28"/>
                <w:szCs w:val="28"/>
              </w:rPr>
            </w:pPr>
            <w:r>
              <w:rPr>
                <w:rFonts w:hint="eastAsia" w:ascii="仿宋_GB2312" w:eastAsia="仿宋_GB2312"/>
                <w:sz w:val="28"/>
                <w:szCs w:val="28"/>
              </w:rPr>
              <w:t>（五）负责监督管理市场秩序。依法监督管理市场交易、网络商品交易及有关服务的行为。组织指导查处价格收费违法违规、不正当竞争、违法直销、传销、侵犯商标专利知识产权和制售假冒伪劣行为。依法监督处理合同违法行为，依法实施对拍卖行为的监督管理，管理动产抵押物登记。指导广告业的发展，监督管理广告活动。承担依法查处无照生产经营和相关无证生产经营行为。</w:t>
            </w:r>
          </w:p>
          <w:p>
            <w:pPr>
              <w:pStyle w:val="19"/>
              <w:keepNext w:val="0"/>
              <w:keepLines w:val="0"/>
              <w:pageBreakBefore w:val="0"/>
              <w:widowControl w:val="0"/>
              <w:kinsoku/>
              <w:wordWrap/>
              <w:overflowPunct/>
              <w:topLinePunct w:val="0"/>
              <w:autoSpaceDE/>
              <w:autoSpaceDN/>
              <w:bidi w:val="0"/>
              <w:adjustRightInd/>
              <w:snapToGrid/>
              <w:spacing w:line="360" w:lineRule="auto"/>
              <w:ind w:firstLine="520"/>
              <w:jc w:val="both"/>
              <w:textAlignment w:val="auto"/>
              <w:rPr>
                <w:rFonts w:hint="eastAsia" w:ascii="仿宋_GB2312" w:eastAsia="仿宋_GB2312"/>
                <w:sz w:val="28"/>
                <w:szCs w:val="28"/>
              </w:rPr>
            </w:pPr>
            <w:r>
              <w:rPr>
                <w:rFonts w:hint="eastAsia" w:ascii="仿宋_GB2312" w:eastAsia="仿宋_GB2312"/>
                <w:sz w:val="28"/>
                <w:szCs w:val="28"/>
              </w:rPr>
              <w:t>（六）负责宏观质量管理。贯彻国家、省质量发展的有关政策，拟订推进质量发展战略的政策措施并组织实施，对全市质量管理工作进行宏观指导。组织实施质量奖励制度，积极推进质量强市战略和品牌建设，推动建立产品质量诚信制度；组织实施产品和服务质量提升、开展服务质量监测；按规定权限组织对重大产品质量事故调查，配合实施缺陷产品召回制度，监督管理产品防伪工作。</w:t>
            </w:r>
          </w:p>
          <w:p>
            <w:pPr>
              <w:pStyle w:val="19"/>
              <w:keepNext w:val="0"/>
              <w:keepLines w:val="0"/>
              <w:pageBreakBefore w:val="0"/>
              <w:widowControl w:val="0"/>
              <w:kinsoku/>
              <w:wordWrap/>
              <w:overflowPunct/>
              <w:topLinePunct w:val="0"/>
              <w:autoSpaceDE/>
              <w:autoSpaceDN/>
              <w:bidi w:val="0"/>
              <w:adjustRightInd/>
              <w:snapToGrid/>
              <w:spacing w:line="360" w:lineRule="auto"/>
              <w:ind w:firstLine="520"/>
              <w:jc w:val="both"/>
              <w:textAlignment w:val="auto"/>
              <w:rPr>
                <w:rFonts w:hint="eastAsia" w:ascii="仿宋_GB2312" w:eastAsia="仿宋_GB2312"/>
                <w:sz w:val="28"/>
                <w:szCs w:val="28"/>
              </w:rPr>
            </w:pPr>
            <w:r>
              <w:rPr>
                <w:rFonts w:hint="eastAsia" w:ascii="仿宋_GB2312" w:eastAsia="仿宋_GB2312"/>
                <w:sz w:val="28"/>
                <w:szCs w:val="28"/>
              </w:rPr>
              <w:t>（七）负责产品质量安全监督管理。负责产品质量安全监督抽查和风险监控工作，组织实施质量分级制度、质量安全追溯制度。负责工业产品生产许可证证后管理。负责纤维质量监督检验工作。</w:t>
            </w:r>
          </w:p>
          <w:p>
            <w:pPr>
              <w:pStyle w:val="19"/>
              <w:keepNext w:val="0"/>
              <w:keepLines w:val="0"/>
              <w:pageBreakBefore w:val="0"/>
              <w:widowControl w:val="0"/>
              <w:kinsoku/>
              <w:wordWrap/>
              <w:overflowPunct/>
              <w:topLinePunct w:val="0"/>
              <w:autoSpaceDE/>
              <w:autoSpaceDN/>
              <w:bidi w:val="0"/>
              <w:adjustRightInd/>
              <w:snapToGrid/>
              <w:spacing w:line="360" w:lineRule="auto"/>
              <w:ind w:firstLine="540"/>
              <w:jc w:val="both"/>
              <w:textAlignment w:val="auto"/>
              <w:rPr>
                <w:rFonts w:hint="eastAsia" w:ascii="仿宋_GB2312" w:eastAsia="仿宋_GB2312"/>
                <w:sz w:val="28"/>
                <w:szCs w:val="28"/>
              </w:rPr>
            </w:pPr>
            <w:r>
              <w:rPr>
                <w:rFonts w:hint="eastAsia" w:ascii="仿宋_GB2312" w:hAnsi="宋体" w:eastAsia="仿宋_GB2312"/>
                <w:sz w:val="28"/>
                <w:szCs w:val="28"/>
              </w:rPr>
              <w:t>（</w:t>
            </w:r>
            <w:r>
              <w:rPr>
                <w:rFonts w:hint="eastAsia" w:ascii="仿宋_GB2312" w:hAnsi="宋体" w:eastAsia="仿宋_GB2312"/>
                <w:sz w:val="28"/>
                <w:szCs w:val="28"/>
                <w:lang w:eastAsia="zh-CN"/>
              </w:rPr>
              <w:t>八</w:t>
            </w:r>
            <w:r>
              <w:rPr>
                <w:rFonts w:hint="eastAsia" w:ascii="仿宋_GB2312" w:hAnsi="宋体" w:eastAsia="仿宋_GB2312"/>
                <w:sz w:val="28"/>
                <w:szCs w:val="28"/>
              </w:rPr>
              <w:t>）</w:t>
            </w:r>
            <w:r>
              <w:rPr>
                <w:rFonts w:hint="eastAsia" w:ascii="仿宋_GB2312" w:eastAsia="仿宋_GB2312"/>
                <w:sz w:val="28"/>
                <w:szCs w:val="28"/>
              </w:rPr>
              <w:t>负责特种设备安全监督管理。综合管理特种设备安全监察、监督工作，监督检查高耗能特种设备节能标准和锅炉生产、进口、销售环节环境保护标准的执行情况。按规定权限组织调查处理特种设备事故并进行统计分析。</w:t>
            </w:r>
          </w:p>
          <w:p>
            <w:pPr>
              <w:pStyle w:val="19"/>
              <w:keepNext w:val="0"/>
              <w:keepLines w:val="0"/>
              <w:pageBreakBefore w:val="0"/>
              <w:widowControl w:val="0"/>
              <w:kinsoku/>
              <w:wordWrap/>
              <w:overflowPunct/>
              <w:topLinePunct w:val="0"/>
              <w:autoSpaceDE/>
              <w:autoSpaceDN/>
              <w:bidi w:val="0"/>
              <w:adjustRightInd/>
              <w:snapToGrid/>
              <w:spacing w:line="360" w:lineRule="auto"/>
              <w:ind w:firstLine="540"/>
              <w:jc w:val="both"/>
              <w:textAlignment w:val="auto"/>
              <w:rPr>
                <w:rFonts w:hint="eastAsia" w:ascii="仿宋_GB2312" w:eastAsia="仿宋_GB2312"/>
                <w:sz w:val="28"/>
                <w:szCs w:val="28"/>
              </w:rPr>
            </w:pPr>
            <w:r>
              <w:rPr>
                <w:rFonts w:hint="eastAsia" w:ascii="仿宋_GB2312" w:eastAsia="仿宋_GB2312"/>
                <w:sz w:val="28"/>
                <w:szCs w:val="28"/>
              </w:rPr>
              <w:t>（九）负责食品安全监督管理综合协调。负责食品安全应急体系建设，组织指导重大食品安全事件应急处置和调查处理工作。落实食品安全重要信息直报制度。承担市食品安全委员会日常工作。</w:t>
            </w:r>
          </w:p>
          <w:p>
            <w:pPr>
              <w:pStyle w:val="19"/>
              <w:keepNext w:val="0"/>
              <w:keepLines w:val="0"/>
              <w:pageBreakBefore w:val="0"/>
              <w:widowControl w:val="0"/>
              <w:kinsoku/>
              <w:wordWrap/>
              <w:overflowPunct/>
              <w:topLinePunct w:val="0"/>
              <w:autoSpaceDE/>
              <w:autoSpaceDN/>
              <w:bidi w:val="0"/>
              <w:adjustRightInd/>
              <w:snapToGrid/>
              <w:spacing w:line="360" w:lineRule="auto"/>
              <w:ind w:firstLine="540"/>
              <w:jc w:val="both"/>
              <w:textAlignment w:val="auto"/>
              <w:rPr>
                <w:rFonts w:hint="eastAsia" w:ascii="仿宋_GB2312" w:eastAsia="仿宋_GB2312"/>
                <w:sz w:val="28"/>
                <w:szCs w:val="28"/>
              </w:rPr>
            </w:pPr>
            <w:r>
              <w:rPr>
                <w:rFonts w:hint="eastAsia" w:ascii="仿宋_GB2312" w:eastAsia="仿宋_GB2312"/>
                <w:sz w:val="28"/>
                <w:szCs w:val="28"/>
              </w:rPr>
              <w:t>（十）负责食品安全监督管理。建立覆盖食品生产、流通、消费全过程的监督检查制度和隐患排查治理机制并组织实施，防范区域性、系统性食品安全风险。推动建立食品生产经营者落实主体责任的机制，健全食品安全追溯体系。组织开展食品安全监督抽检、风险监测、核查处置和风险预警、风险交流等工作。组织实施特殊食品监督管理。负责食盐专营管理和食盐安全监督管理。</w:t>
            </w:r>
          </w:p>
          <w:p>
            <w:pPr>
              <w:pStyle w:val="19"/>
              <w:keepNext w:val="0"/>
              <w:keepLines w:val="0"/>
              <w:pageBreakBefore w:val="0"/>
              <w:widowControl w:val="0"/>
              <w:kinsoku/>
              <w:wordWrap/>
              <w:overflowPunct/>
              <w:topLinePunct w:val="0"/>
              <w:autoSpaceDE/>
              <w:autoSpaceDN/>
              <w:bidi w:val="0"/>
              <w:adjustRightInd/>
              <w:snapToGrid/>
              <w:spacing w:after="60" w:line="360" w:lineRule="auto"/>
              <w:ind w:firstLine="540"/>
              <w:jc w:val="both"/>
              <w:textAlignment w:val="auto"/>
              <w:rPr>
                <w:rFonts w:hint="eastAsia" w:ascii="仿宋_GB2312" w:eastAsia="仿宋_GB2312"/>
                <w:sz w:val="28"/>
                <w:szCs w:val="28"/>
              </w:rPr>
            </w:pPr>
            <w:r>
              <w:rPr>
                <w:rFonts w:hint="eastAsia" w:ascii="仿宋_GB2312" w:eastAsia="仿宋_GB2312"/>
                <w:sz w:val="28"/>
                <w:szCs w:val="28"/>
              </w:rPr>
              <w:t>（十一）负责统一管理计量工作。推行国家法定计量单位，执行国家计量制度,依职权管理计量器具及量值传递和比对工作。规范、监督商品量和市场计量行为。</w:t>
            </w:r>
          </w:p>
          <w:p>
            <w:pPr>
              <w:pStyle w:val="19"/>
              <w:keepNext w:val="0"/>
              <w:keepLines w:val="0"/>
              <w:pageBreakBefore w:val="0"/>
              <w:widowControl w:val="0"/>
              <w:kinsoku/>
              <w:wordWrap/>
              <w:overflowPunct/>
              <w:topLinePunct w:val="0"/>
              <w:autoSpaceDE/>
              <w:autoSpaceDN/>
              <w:bidi w:val="0"/>
              <w:adjustRightInd/>
              <w:snapToGrid/>
              <w:spacing w:line="360" w:lineRule="auto"/>
              <w:ind w:firstLine="540"/>
              <w:jc w:val="both"/>
              <w:textAlignment w:val="auto"/>
              <w:rPr>
                <w:rFonts w:hint="eastAsia" w:ascii="仿宋_GB2312" w:eastAsia="仿宋_GB2312"/>
                <w:sz w:val="28"/>
                <w:szCs w:val="28"/>
              </w:rPr>
            </w:pPr>
            <w:r>
              <w:rPr>
                <w:rFonts w:hint="eastAsia" w:ascii="仿宋_GB2312" w:eastAsia="仿宋_GB2312"/>
                <w:sz w:val="28"/>
                <w:szCs w:val="28"/>
              </w:rPr>
              <w:t>（十二）负责统一管理标准化工作。组织实施标准化法律、法规，推进本行政区域内标准化战略的实施；依法承担地方标准立项、编号和发布等工作，依法协调指导市级地方标准、团体标准制定工作。依法开展标准化试点示范工作；管理全市商品条码工作；依据法定职责，对标准的制定进行指导监督，对标准的实施进行监督检查。推行采用国际标准。</w:t>
            </w:r>
          </w:p>
          <w:p>
            <w:pPr>
              <w:pStyle w:val="19"/>
              <w:keepNext w:val="0"/>
              <w:keepLines w:val="0"/>
              <w:pageBreakBefore w:val="0"/>
              <w:widowControl w:val="0"/>
              <w:kinsoku/>
              <w:wordWrap/>
              <w:overflowPunct/>
              <w:topLinePunct w:val="0"/>
              <w:autoSpaceDE/>
              <w:autoSpaceDN/>
              <w:bidi w:val="0"/>
              <w:adjustRightInd/>
              <w:snapToGrid/>
              <w:spacing w:line="360" w:lineRule="auto"/>
              <w:ind w:firstLine="520"/>
              <w:jc w:val="both"/>
              <w:textAlignment w:val="auto"/>
              <w:rPr>
                <w:rFonts w:hint="eastAsia" w:ascii="仿宋_GB2312" w:eastAsia="仿宋_GB2312"/>
                <w:sz w:val="28"/>
                <w:szCs w:val="28"/>
              </w:rPr>
            </w:pPr>
            <w:r>
              <w:rPr>
                <w:rFonts w:hint="eastAsia" w:ascii="仿宋_GB2312" w:eastAsia="仿宋_GB2312"/>
                <w:sz w:val="28"/>
                <w:szCs w:val="28"/>
              </w:rPr>
              <w:t>（十三）负责统一管理检验检测工作。组织实施检验检测机构资质认定监督管理；协调推进检验检测机构改革；规范检验检测市场，完善检验检测体系，指导协调检验检测行业发展。</w:t>
            </w:r>
          </w:p>
          <w:p>
            <w:pPr>
              <w:pStyle w:val="19"/>
              <w:keepNext w:val="0"/>
              <w:keepLines w:val="0"/>
              <w:pageBreakBefore w:val="0"/>
              <w:widowControl w:val="0"/>
              <w:kinsoku/>
              <w:wordWrap/>
              <w:overflowPunct/>
              <w:topLinePunct w:val="0"/>
              <w:autoSpaceDE/>
              <w:autoSpaceDN/>
              <w:bidi w:val="0"/>
              <w:adjustRightInd/>
              <w:snapToGrid/>
              <w:spacing w:line="360" w:lineRule="auto"/>
              <w:ind w:firstLine="520"/>
              <w:jc w:val="both"/>
              <w:textAlignment w:val="auto"/>
              <w:rPr>
                <w:rFonts w:hint="eastAsia" w:ascii="仿宋_GB2312" w:eastAsia="仿宋_GB2312"/>
                <w:sz w:val="28"/>
                <w:szCs w:val="28"/>
              </w:rPr>
            </w:pPr>
            <w:r>
              <w:rPr>
                <w:rFonts w:hint="eastAsia" w:ascii="仿宋_GB2312" w:eastAsia="仿宋_GB2312"/>
                <w:sz w:val="28"/>
                <w:szCs w:val="28"/>
              </w:rPr>
              <w:t>（十四）负责统一管理、监督和综合协调认证认可工作。依法监督管理全市认证认可和合格评定有关活动。</w:t>
            </w:r>
          </w:p>
          <w:p>
            <w:pPr>
              <w:pStyle w:val="19"/>
              <w:keepNext w:val="0"/>
              <w:keepLines w:val="0"/>
              <w:pageBreakBefore w:val="0"/>
              <w:widowControl w:val="0"/>
              <w:kinsoku/>
              <w:wordWrap/>
              <w:overflowPunct/>
              <w:topLinePunct w:val="0"/>
              <w:autoSpaceDE/>
              <w:autoSpaceDN/>
              <w:bidi w:val="0"/>
              <w:adjustRightInd/>
              <w:snapToGrid/>
              <w:spacing w:line="360" w:lineRule="auto"/>
              <w:ind w:firstLine="520"/>
              <w:jc w:val="both"/>
              <w:textAlignment w:val="auto"/>
              <w:rPr>
                <w:rFonts w:hint="eastAsia" w:ascii="仿宋_GB2312" w:eastAsia="仿宋_GB2312"/>
                <w:sz w:val="28"/>
                <w:szCs w:val="28"/>
              </w:rPr>
            </w:pPr>
            <w:r>
              <w:rPr>
                <w:rFonts w:hint="eastAsia" w:ascii="仿宋_GB2312" w:eastAsia="仿宋_GB2312"/>
                <w:sz w:val="28"/>
                <w:szCs w:val="28"/>
              </w:rPr>
              <w:t>（十五）负责市场监督管理、知识产权领域科技和信息化建设、新闻宣传、对外交流与合作。按规定承担技术性贸易措施有关工作。</w:t>
            </w:r>
          </w:p>
          <w:p>
            <w:pPr>
              <w:pStyle w:val="19"/>
              <w:keepNext w:val="0"/>
              <w:keepLines w:val="0"/>
              <w:pageBreakBefore w:val="0"/>
              <w:widowControl w:val="0"/>
              <w:kinsoku/>
              <w:wordWrap/>
              <w:overflowPunct/>
              <w:topLinePunct w:val="0"/>
              <w:autoSpaceDE/>
              <w:autoSpaceDN/>
              <w:bidi w:val="0"/>
              <w:adjustRightInd/>
              <w:snapToGrid/>
              <w:spacing w:line="360" w:lineRule="auto"/>
              <w:ind w:firstLine="520"/>
              <w:jc w:val="both"/>
              <w:textAlignment w:val="auto"/>
              <w:rPr>
                <w:rFonts w:hint="eastAsia" w:ascii="仿宋_GB2312" w:eastAsia="仿宋_GB2312"/>
                <w:sz w:val="28"/>
                <w:szCs w:val="28"/>
              </w:rPr>
            </w:pPr>
            <w:r>
              <w:rPr>
                <w:rFonts w:hint="eastAsia" w:ascii="仿宋_GB2312" w:eastAsia="仿宋_GB2312"/>
                <w:sz w:val="28"/>
                <w:szCs w:val="28"/>
              </w:rPr>
              <w:t>（十六）负责实施知识产权战略，推进知识产权强市建设。制定知识产权创造、保护、运用的管理措施并组织实施。建设知识产权公共服务体系，推动知识产权信息传播利用，建设知识产权人才队伍。</w:t>
            </w:r>
          </w:p>
          <w:p>
            <w:pPr>
              <w:pStyle w:val="19"/>
              <w:keepNext w:val="0"/>
              <w:keepLines w:val="0"/>
              <w:pageBreakBefore w:val="0"/>
              <w:widowControl w:val="0"/>
              <w:kinsoku/>
              <w:wordWrap/>
              <w:overflowPunct/>
              <w:topLinePunct w:val="0"/>
              <w:autoSpaceDE/>
              <w:autoSpaceDN/>
              <w:bidi w:val="0"/>
              <w:adjustRightInd/>
              <w:snapToGrid/>
              <w:spacing w:line="360" w:lineRule="auto"/>
              <w:ind w:firstLine="520"/>
              <w:jc w:val="both"/>
              <w:textAlignment w:val="auto"/>
              <w:rPr>
                <w:rFonts w:hint="eastAsia" w:ascii="仿宋_GB2312" w:eastAsia="仿宋_GB2312"/>
                <w:sz w:val="28"/>
                <w:szCs w:val="28"/>
              </w:rPr>
            </w:pPr>
            <w:r>
              <w:rPr>
                <w:rFonts w:hint="eastAsia" w:ascii="仿宋_GB2312" w:eastAsia="仿宋_GB2312"/>
                <w:sz w:val="28"/>
                <w:szCs w:val="28"/>
              </w:rPr>
              <w:t>（十七）负责保护知识产权。落实严格保护专利、商标、原产地地理标志等相关工作，建设知识产权保护体系，指导监督商标、专利及原产地地理标志执法。</w:t>
            </w:r>
          </w:p>
          <w:p>
            <w:pPr>
              <w:pStyle w:val="19"/>
              <w:keepNext w:val="0"/>
              <w:keepLines w:val="0"/>
              <w:pageBreakBefore w:val="0"/>
              <w:widowControl w:val="0"/>
              <w:kinsoku/>
              <w:wordWrap/>
              <w:overflowPunct/>
              <w:topLinePunct w:val="0"/>
              <w:autoSpaceDE/>
              <w:autoSpaceDN/>
              <w:bidi w:val="0"/>
              <w:adjustRightInd/>
              <w:snapToGrid/>
              <w:spacing w:line="360" w:lineRule="auto"/>
              <w:ind w:firstLine="520"/>
              <w:jc w:val="both"/>
              <w:textAlignment w:val="auto"/>
              <w:rPr>
                <w:rFonts w:hint="eastAsia" w:ascii="仿宋_GB2312" w:eastAsia="仿宋_GB2312"/>
                <w:sz w:val="28"/>
                <w:szCs w:val="28"/>
              </w:rPr>
            </w:pPr>
            <w:r>
              <w:rPr>
                <w:rFonts w:hint="eastAsia" w:ascii="仿宋_GB2312" w:eastAsia="仿宋_GB2312"/>
                <w:sz w:val="28"/>
                <w:szCs w:val="28"/>
              </w:rPr>
              <w:t>（十八）负责知识产权创造运用。开展知识产权运营体系建设，指导重大经济活动知识产权评议，规范知识产权交易和无形资产评估，促进知识产权转移转化，推动知识产权高质量发展。</w:t>
            </w:r>
          </w:p>
          <w:p>
            <w:pPr>
              <w:pStyle w:val="19"/>
              <w:keepNext w:val="0"/>
              <w:keepLines w:val="0"/>
              <w:pageBreakBefore w:val="0"/>
              <w:widowControl w:val="0"/>
              <w:kinsoku/>
              <w:wordWrap/>
              <w:overflowPunct/>
              <w:topLinePunct w:val="0"/>
              <w:autoSpaceDE/>
              <w:autoSpaceDN/>
              <w:bidi w:val="0"/>
              <w:adjustRightInd/>
              <w:snapToGrid/>
              <w:spacing w:line="360" w:lineRule="auto"/>
              <w:ind w:firstLine="540"/>
              <w:jc w:val="both"/>
              <w:textAlignment w:val="auto"/>
              <w:rPr>
                <w:rFonts w:hint="eastAsia" w:ascii="仿宋_GB2312" w:eastAsia="仿宋_GB2312"/>
                <w:sz w:val="28"/>
                <w:szCs w:val="28"/>
              </w:rPr>
            </w:pPr>
            <w:r>
              <w:rPr>
                <w:rFonts w:hint="eastAsia" w:ascii="仿宋_GB2312" w:eastAsia="仿宋_GB2312"/>
                <w:sz w:val="28"/>
                <w:szCs w:val="28"/>
              </w:rPr>
              <w:t>（十九）负责组织开展有关商品和服务领域消费维权工作，查处假冒伪劣等违法行为，指导消费者咨询、投诉、举报受理、处理和网络体系建设等工作，保护经营者、消费者合法权益。指导消费者权益保护组织开展消费维权工作。</w:t>
            </w:r>
          </w:p>
          <w:p>
            <w:pPr>
              <w:pStyle w:val="19"/>
              <w:keepNext w:val="0"/>
              <w:keepLines w:val="0"/>
              <w:pageBreakBefore w:val="0"/>
              <w:widowControl w:val="0"/>
              <w:kinsoku/>
              <w:wordWrap/>
              <w:overflowPunct/>
              <w:topLinePunct w:val="0"/>
              <w:autoSpaceDE/>
              <w:autoSpaceDN/>
              <w:bidi w:val="0"/>
              <w:adjustRightInd/>
              <w:snapToGrid/>
              <w:spacing w:line="360" w:lineRule="auto"/>
              <w:ind w:firstLine="540"/>
              <w:jc w:val="both"/>
              <w:textAlignment w:val="auto"/>
              <w:rPr>
                <w:rFonts w:hint="eastAsia" w:ascii="仿宋_GB2312" w:eastAsia="仿宋_GB2312"/>
                <w:sz w:val="28"/>
                <w:szCs w:val="28"/>
              </w:rPr>
            </w:pPr>
            <w:r>
              <w:rPr>
                <w:rFonts w:hint="eastAsia" w:ascii="仿宋_GB2312" w:eastAsia="仿宋_GB2312"/>
                <w:sz w:val="28"/>
                <w:szCs w:val="28"/>
              </w:rPr>
              <w:t>（二十）负责药品（含中药、民族药，下同）、医疗器械和化妆品安全监督管理。贯彻执行国家、省关于药品、医疗器械、化妆品安全监督管理的法律、法规和规章，拟订地方性政策规划并组织实施。</w:t>
            </w:r>
          </w:p>
          <w:p>
            <w:pPr>
              <w:pStyle w:val="19"/>
              <w:keepNext w:val="0"/>
              <w:keepLines w:val="0"/>
              <w:pageBreakBefore w:val="0"/>
              <w:widowControl w:val="0"/>
              <w:kinsoku/>
              <w:wordWrap/>
              <w:overflowPunct/>
              <w:topLinePunct w:val="0"/>
              <w:autoSpaceDE/>
              <w:autoSpaceDN/>
              <w:bidi w:val="0"/>
              <w:adjustRightInd/>
              <w:snapToGrid/>
              <w:spacing w:line="360" w:lineRule="auto"/>
              <w:ind w:firstLine="540"/>
              <w:jc w:val="both"/>
              <w:textAlignment w:val="auto"/>
              <w:rPr>
                <w:rFonts w:hint="eastAsia" w:ascii="仿宋_GB2312" w:eastAsia="仿宋_GB2312"/>
                <w:sz w:val="28"/>
                <w:szCs w:val="28"/>
              </w:rPr>
            </w:pPr>
            <w:r>
              <w:rPr>
                <w:rFonts w:hint="eastAsia" w:ascii="仿宋_GB2312" w:eastAsia="仿宋_GB2312"/>
                <w:sz w:val="28"/>
                <w:szCs w:val="28"/>
              </w:rPr>
              <w:t>（二十一）监督实施药品、医疗器械、化妆品标准和分类管理制度，配合有关部门实施国家基本药物制度。</w:t>
            </w:r>
          </w:p>
          <w:p>
            <w:pPr>
              <w:pStyle w:val="19"/>
              <w:keepNext w:val="0"/>
              <w:keepLines w:val="0"/>
              <w:pageBreakBefore w:val="0"/>
              <w:widowControl w:val="0"/>
              <w:kinsoku/>
              <w:wordWrap/>
              <w:overflowPunct/>
              <w:topLinePunct w:val="0"/>
              <w:autoSpaceDE/>
              <w:autoSpaceDN/>
              <w:bidi w:val="0"/>
              <w:adjustRightInd/>
              <w:snapToGrid/>
              <w:spacing w:line="360" w:lineRule="auto"/>
              <w:ind w:firstLine="540"/>
              <w:jc w:val="both"/>
              <w:textAlignment w:val="auto"/>
              <w:rPr>
                <w:rFonts w:hint="eastAsia" w:ascii="仿宋_GB2312" w:eastAsia="仿宋_GB2312"/>
                <w:sz w:val="28"/>
                <w:szCs w:val="28"/>
              </w:rPr>
            </w:pPr>
            <w:r>
              <w:rPr>
                <w:rFonts w:hint="eastAsia" w:ascii="仿宋_GB2312" w:eastAsia="仿宋_GB2312"/>
                <w:sz w:val="28"/>
                <w:szCs w:val="28"/>
              </w:rPr>
              <w:t>（二十二）负责权限范围内药品、医疗器械和化妆品质量管理。监督实施药品、医疗器械经营质量管理规范，监督实施化妆品经营、使用卫生标准和技术规范。</w:t>
            </w:r>
          </w:p>
          <w:p>
            <w:pPr>
              <w:pStyle w:val="19"/>
              <w:keepNext w:val="0"/>
              <w:keepLines w:val="0"/>
              <w:pageBreakBefore w:val="0"/>
              <w:widowControl w:val="0"/>
              <w:kinsoku/>
              <w:wordWrap/>
              <w:overflowPunct/>
              <w:topLinePunct w:val="0"/>
              <w:autoSpaceDE/>
              <w:autoSpaceDN/>
              <w:bidi w:val="0"/>
              <w:adjustRightInd/>
              <w:snapToGrid/>
              <w:spacing w:line="360" w:lineRule="auto"/>
              <w:ind w:firstLine="540"/>
              <w:jc w:val="both"/>
              <w:textAlignment w:val="auto"/>
              <w:rPr>
                <w:rFonts w:hint="eastAsia" w:ascii="仿宋_GB2312" w:eastAsia="仿宋_GB2312"/>
                <w:sz w:val="28"/>
                <w:szCs w:val="28"/>
              </w:rPr>
            </w:pPr>
            <w:r>
              <w:rPr>
                <w:rFonts w:hint="eastAsia" w:ascii="仿宋_GB2312" w:eastAsia="仿宋_GB2312"/>
                <w:sz w:val="28"/>
                <w:szCs w:val="28"/>
              </w:rPr>
              <w:t>（二十三）负责权限范围内药品、医疗器械和化妆品上市后风险管理。组织开展药品不良反应、医疗器械不良事件和化妆品不良反应的监测、评价和处置工作。依法承担药品、医疗器械和化妆品安全应急管理工作。</w:t>
            </w:r>
          </w:p>
          <w:p>
            <w:pPr>
              <w:pStyle w:val="19"/>
              <w:keepNext w:val="0"/>
              <w:keepLines w:val="0"/>
              <w:pageBreakBefore w:val="0"/>
              <w:widowControl w:val="0"/>
              <w:kinsoku/>
              <w:wordWrap/>
              <w:overflowPunct/>
              <w:topLinePunct w:val="0"/>
              <w:autoSpaceDE/>
              <w:autoSpaceDN/>
              <w:bidi w:val="0"/>
              <w:adjustRightInd/>
              <w:snapToGrid/>
              <w:spacing w:line="360" w:lineRule="auto"/>
              <w:ind w:firstLine="540"/>
              <w:jc w:val="both"/>
              <w:textAlignment w:val="auto"/>
              <w:rPr>
                <w:rFonts w:hint="eastAsia" w:ascii="仿宋_GB2312" w:eastAsia="仿宋_GB2312"/>
                <w:sz w:val="28"/>
                <w:szCs w:val="28"/>
              </w:rPr>
            </w:pPr>
            <w:r>
              <w:rPr>
                <w:rFonts w:hint="eastAsia" w:ascii="仿宋_GB2312" w:eastAsia="仿宋_GB2312"/>
                <w:sz w:val="28"/>
                <w:szCs w:val="28"/>
              </w:rPr>
              <w:t>（二十四）负责组织实施药品、医疗器械和化妆品监督检查。制定检查制度，依法查处药品、医疗器械和化妆品经营、使用环节违法行为，监督实施问题产品召回和处置制度，依职责组织指导查处其他环节的违法行为。</w:t>
            </w:r>
          </w:p>
          <w:p>
            <w:pPr>
              <w:pStyle w:val="19"/>
              <w:keepNext w:val="0"/>
              <w:keepLines w:val="0"/>
              <w:pageBreakBefore w:val="0"/>
              <w:widowControl w:val="0"/>
              <w:kinsoku/>
              <w:wordWrap/>
              <w:overflowPunct/>
              <w:topLinePunct w:val="0"/>
              <w:autoSpaceDE/>
              <w:autoSpaceDN/>
              <w:bidi w:val="0"/>
              <w:adjustRightInd/>
              <w:snapToGrid/>
              <w:spacing w:line="360" w:lineRule="auto"/>
              <w:ind w:firstLine="520"/>
              <w:jc w:val="both"/>
              <w:textAlignment w:val="auto"/>
              <w:rPr>
                <w:rFonts w:hint="eastAsia" w:ascii="仿宋_GB2312" w:eastAsia="仿宋_GB2312"/>
                <w:sz w:val="28"/>
                <w:szCs w:val="28"/>
              </w:rPr>
            </w:pPr>
            <w:r>
              <w:rPr>
                <w:rFonts w:hint="eastAsia" w:ascii="仿宋_GB2312" w:eastAsia="仿宋_GB2312"/>
                <w:sz w:val="28"/>
                <w:szCs w:val="28"/>
              </w:rPr>
              <w:t>（二十五）负责指导市县市场监督管理部门承担的药品、医疗器械、化妆品有关监督管理工作。</w:t>
            </w:r>
          </w:p>
          <w:p>
            <w:pPr>
              <w:pStyle w:val="19"/>
              <w:keepNext w:val="0"/>
              <w:keepLines w:val="0"/>
              <w:pageBreakBefore w:val="0"/>
              <w:widowControl w:val="0"/>
              <w:kinsoku/>
              <w:wordWrap/>
              <w:overflowPunct/>
              <w:topLinePunct w:val="0"/>
              <w:autoSpaceDE/>
              <w:autoSpaceDN/>
              <w:bidi w:val="0"/>
              <w:adjustRightInd/>
              <w:snapToGrid/>
              <w:spacing w:line="360" w:lineRule="auto"/>
              <w:ind w:firstLine="520"/>
              <w:jc w:val="both"/>
              <w:textAlignment w:val="auto"/>
              <w:rPr>
                <w:rFonts w:hint="eastAsia" w:ascii="仿宋_GB2312" w:eastAsia="仿宋_GB2312"/>
                <w:sz w:val="28"/>
                <w:szCs w:val="28"/>
              </w:rPr>
            </w:pPr>
            <w:r>
              <w:rPr>
                <w:rFonts w:hint="eastAsia" w:ascii="仿宋_GB2312" w:eastAsia="仿宋_GB2312"/>
                <w:sz w:val="28"/>
                <w:szCs w:val="28"/>
              </w:rPr>
              <w:t>（二十六）按规定要求，承担对口事业服务机构业务工作的指导、协调和监督职责。</w:t>
            </w:r>
          </w:p>
          <w:p>
            <w:pPr>
              <w:pStyle w:val="19"/>
              <w:keepNext w:val="0"/>
              <w:keepLines w:val="0"/>
              <w:pageBreakBefore w:val="0"/>
              <w:widowControl w:val="0"/>
              <w:kinsoku/>
              <w:wordWrap/>
              <w:overflowPunct/>
              <w:topLinePunct w:val="0"/>
              <w:autoSpaceDE/>
              <w:autoSpaceDN/>
              <w:bidi w:val="0"/>
              <w:adjustRightInd/>
              <w:snapToGrid/>
              <w:spacing w:line="360" w:lineRule="auto"/>
              <w:ind w:firstLine="520"/>
              <w:jc w:val="both"/>
              <w:textAlignment w:val="auto"/>
              <w:rPr>
                <w:rFonts w:hint="eastAsia" w:ascii="仿宋_GB2312" w:eastAsia="仿宋_GB2312"/>
                <w:sz w:val="28"/>
                <w:szCs w:val="28"/>
              </w:rPr>
            </w:pPr>
            <w:r>
              <w:rPr>
                <w:rFonts w:hint="eastAsia" w:ascii="仿宋_GB2312" w:eastAsia="仿宋_GB2312"/>
                <w:sz w:val="28"/>
                <w:szCs w:val="28"/>
              </w:rPr>
              <w:t>（二十七）完成市委、市政府交办的其他任务。</w:t>
            </w:r>
          </w:p>
          <w:p>
            <w:pPr>
              <w:spacing w:line="560" w:lineRule="exact"/>
              <w:ind w:firstLine="562" w:firstLineChars="200"/>
              <w:rPr>
                <w:rFonts w:hint="eastAsia" w:ascii="宋体" w:hAnsi="宋体" w:eastAsia="宋体" w:cs="宋体"/>
                <w:b/>
                <w:bCs w:val="0"/>
                <w:sz w:val="28"/>
                <w:szCs w:val="28"/>
                <w:lang w:val="en-US" w:eastAsia="zh-CN"/>
              </w:rPr>
            </w:pPr>
            <w:r>
              <w:rPr>
                <w:rFonts w:hint="eastAsia" w:ascii="宋体" w:hAnsi="宋体" w:eastAsia="宋体" w:cs="宋体"/>
                <w:b/>
                <w:bCs w:val="0"/>
                <w:sz w:val="28"/>
                <w:szCs w:val="28"/>
                <w:lang w:val="en-US" w:eastAsia="zh-CN"/>
              </w:rPr>
              <w:t>4、部门整体支出管理状况</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lang w:val="en-US" w:eastAsia="zh-CN"/>
              </w:rPr>
              <w:t>2021年，</w:t>
            </w:r>
            <w:r>
              <w:rPr>
                <w:rFonts w:hint="eastAsia" w:ascii="仿宋_GB2312" w:hAnsi="仿宋_GB2312" w:eastAsia="仿宋_GB2312" w:cs="仿宋_GB2312"/>
                <w:color w:val="333333"/>
                <w:kern w:val="0"/>
                <w:sz w:val="28"/>
                <w:szCs w:val="28"/>
                <w:lang w:eastAsia="zh-CN"/>
              </w:rPr>
              <w:t>我局</w:t>
            </w:r>
            <w:r>
              <w:rPr>
                <w:rFonts w:hint="eastAsia" w:ascii="仿宋_GB2312" w:hAnsi="仿宋_GB2312" w:eastAsia="仿宋_GB2312" w:cs="仿宋_GB2312"/>
                <w:color w:val="333333"/>
                <w:kern w:val="0"/>
                <w:sz w:val="28"/>
                <w:szCs w:val="28"/>
              </w:rPr>
              <w:t>为加强部门整体支出管理，提高资金使用效益，除日常的管理工作之外，我局在部门整体支出管理方面开展了如下工作：</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1、重视预算支出</w:t>
            </w:r>
            <w:r>
              <w:rPr>
                <w:rFonts w:hint="eastAsia" w:ascii="仿宋_GB2312" w:hAnsi="仿宋_GB2312" w:eastAsia="仿宋_GB2312" w:cs="仿宋_GB2312"/>
                <w:color w:val="333333"/>
                <w:kern w:val="0"/>
                <w:sz w:val="28"/>
                <w:szCs w:val="28"/>
                <w:lang w:eastAsia="zh-CN"/>
              </w:rPr>
              <w:t>管理</w:t>
            </w:r>
            <w:r>
              <w:rPr>
                <w:rFonts w:hint="eastAsia" w:ascii="仿宋_GB2312" w:hAnsi="仿宋_GB2312" w:eastAsia="仿宋_GB2312" w:cs="仿宋_GB2312"/>
                <w:color w:val="333333"/>
                <w:kern w:val="0"/>
                <w:sz w:val="28"/>
                <w:szCs w:val="28"/>
              </w:rPr>
              <w:t>绩效评估工作，成立了以局领导和</w:t>
            </w:r>
            <w:r>
              <w:rPr>
                <w:rFonts w:hint="eastAsia" w:ascii="仿宋_GB2312" w:hAnsi="仿宋_GB2312" w:eastAsia="仿宋_GB2312" w:cs="仿宋_GB2312"/>
                <w:color w:val="333333"/>
                <w:kern w:val="0"/>
                <w:sz w:val="28"/>
                <w:szCs w:val="28"/>
                <w:lang w:eastAsia="zh-CN"/>
              </w:rPr>
              <w:t>法制科</w:t>
            </w:r>
            <w:r>
              <w:rPr>
                <w:rFonts w:hint="eastAsia" w:ascii="仿宋_GB2312" w:hAnsi="仿宋_GB2312" w:eastAsia="仿宋_GB2312" w:cs="仿宋_GB2312"/>
                <w:color w:val="333333"/>
                <w:kern w:val="0"/>
                <w:sz w:val="28"/>
                <w:szCs w:val="28"/>
              </w:rPr>
              <w:t>及相关科室负责人组成的预算支出绩效评估领导小组，强化了各科室的预算管理意识。</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2、重视财政预算资金管理方面制度的学习，不断提高各科室的</w:t>
            </w:r>
            <w:r>
              <w:rPr>
                <w:rFonts w:hint="eastAsia" w:ascii="仿宋_GB2312" w:hAnsi="仿宋_GB2312" w:eastAsia="仿宋_GB2312" w:cs="仿宋_GB2312"/>
                <w:color w:val="333333"/>
                <w:kern w:val="0"/>
                <w:sz w:val="28"/>
                <w:szCs w:val="28"/>
                <w:lang w:eastAsia="zh-CN"/>
              </w:rPr>
              <w:t>专项资金管理</w:t>
            </w:r>
            <w:r>
              <w:rPr>
                <w:rFonts w:hint="eastAsia" w:ascii="仿宋_GB2312" w:hAnsi="仿宋_GB2312" w:eastAsia="仿宋_GB2312" w:cs="仿宋_GB2312"/>
                <w:color w:val="333333"/>
                <w:kern w:val="0"/>
                <w:sz w:val="28"/>
                <w:szCs w:val="28"/>
              </w:rPr>
              <w:t>能力。</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3、建立了</w:t>
            </w:r>
            <w:r>
              <w:rPr>
                <w:rFonts w:hint="eastAsia" w:ascii="仿宋_GB2312" w:hAnsi="仿宋_GB2312" w:eastAsia="仿宋_GB2312" w:cs="仿宋_GB2312"/>
                <w:color w:val="333333"/>
                <w:kern w:val="0"/>
                <w:sz w:val="28"/>
                <w:szCs w:val="28"/>
                <w:lang w:eastAsia="zh-CN"/>
              </w:rPr>
              <w:t>财务管理制度</w:t>
            </w:r>
            <w:r>
              <w:rPr>
                <w:rFonts w:hint="eastAsia" w:ascii="仿宋_GB2312" w:hAnsi="仿宋_GB2312" w:eastAsia="仿宋_GB2312" w:cs="仿宋_GB2312"/>
                <w:color w:val="333333"/>
                <w:kern w:val="0"/>
                <w:sz w:val="28"/>
                <w:szCs w:val="28"/>
              </w:rPr>
              <w:t>，并不断进行完善和修订。</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4、严格制度的执行，特别是</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三公</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经费的</w:t>
            </w:r>
            <w:r>
              <w:rPr>
                <w:rFonts w:hint="eastAsia" w:ascii="仿宋_GB2312" w:hAnsi="仿宋_GB2312" w:eastAsia="仿宋_GB2312" w:cs="仿宋_GB2312"/>
                <w:color w:val="333333"/>
                <w:kern w:val="0"/>
                <w:sz w:val="28"/>
                <w:szCs w:val="28"/>
                <w:lang w:eastAsia="zh-CN"/>
              </w:rPr>
              <w:t>管理</w:t>
            </w:r>
            <w:r>
              <w:rPr>
                <w:rFonts w:hint="eastAsia" w:ascii="仿宋_GB2312" w:hAnsi="仿宋_GB2312" w:eastAsia="仿宋_GB2312" w:cs="仿宋_GB2312"/>
                <w:color w:val="333333"/>
                <w:kern w:val="0"/>
                <w:sz w:val="28"/>
                <w:szCs w:val="28"/>
              </w:rPr>
              <w:t>。通过加强对公务用车</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招待费</w:t>
            </w:r>
            <w:r>
              <w:rPr>
                <w:rFonts w:hint="eastAsia" w:ascii="仿宋_GB2312" w:hAnsi="仿宋_GB2312" w:eastAsia="仿宋_GB2312" w:cs="仿宋_GB2312"/>
                <w:color w:val="333333"/>
                <w:kern w:val="0"/>
                <w:sz w:val="28"/>
                <w:szCs w:val="28"/>
                <w:lang w:eastAsia="zh-CN"/>
              </w:rPr>
              <w:t>的</w:t>
            </w:r>
            <w:r>
              <w:rPr>
                <w:rFonts w:hint="eastAsia" w:ascii="仿宋_GB2312" w:hAnsi="仿宋_GB2312" w:eastAsia="仿宋_GB2312" w:cs="仿宋_GB2312"/>
                <w:color w:val="333333"/>
                <w:kern w:val="0"/>
                <w:sz w:val="28"/>
                <w:szCs w:val="28"/>
              </w:rPr>
              <w:t>严格控制，</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三公</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经费较好的控制在预算范围之内。</w:t>
            </w:r>
          </w:p>
          <w:p>
            <w:pPr>
              <w:spacing w:line="560" w:lineRule="exact"/>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（二）部门（单位）整体支出规模、使用方向和主要内容、涉及范围等</w:t>
            </w:r>
          </w:p>
          <w:p>
            <w:pPr>
              <w:spacing w:line="560" w:lineRule="exact"/>
              <w:ind w:firstLine="560" w:firstLineChars="200"/>
              <w:rPr>
                <w:rFonts w:hint="eastAsia" w:ascii="黑体" w:hAnsi="黑体" w:eastAsia="黑体" w:cs="黑体"/>
                <w:b/>
                <w:bCs w:val="0"/>
                <w:sz w:val="28"/>
                <w:szCs w:val="28"/>
                <w:lang w:val="en-US" w:eastAsia="zh-CN"/>
              </w:rPr>
            </w:pPr>
            <w:r>
              <w:rPr>
                <w:rFonts w:hint="eastAsia" w:ascii="黑体" w:hAnsi="黑体" w:eastAsia="黑体" w:cs="黑体"/>
                <w:bCs/>
                <w:sz w:val="28"/>
                <w:szCs w:val="28"/>
                <w:lang w:val="en-US" w:eastAsia="zh-CN"/>
              </w:rPr>
              <w:t>1、年度部门预算收支情况及</w:t>
            </w:r>
            <w:r>
              <w:rPr>
                <w:rFonts w:hint="eastAsia" w:ascii="宋体" w:hAnsi="宋体" w:eastAsia="宋体" w:cs="宋体"/>
                <w:b/>
                <w:bCs w:val="0"/>
                <w:sz w:val="28"/>
                <w:szCs w:val="28"/>
                <w:lang w:val="en-US" w:eastAsia="zh-CN"/>
              </w:rPr>
              <w:t>使用方向和主要内容、涉及范围</w:t>
            </w:r>
          </w:p>
          <w:p>
            <w:pPr>
              <w:spacing w:line="560" w:lineRule="exact"/>
              <w:ind w:firstLine="560" w:firstLineChars="200"/>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根据财政部门的预算批复，我局年度部门收支预算情况如下：</w:t>
            </w:r>
          </w:p>
          <w:p>
            <w:pPr>
              <w:widowControl/>
              <w:spacing w:line="48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单位：万元</w:t>
            </w:r>
          </w:p>
          <w:tbl>
            <w:tblPr>
              <w:tblStyle w:val="7"/>
              <w:tblW w:w="9441" w:type="dxa"/>
              <w:tblInd w:w="1"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30" w:type="dxa"/>
                <w:left w:w="30" w:type="dxa"/>
                <w:bottom w:w="30" w:type="dxa"/>
                <w:right w:w="30" w:type="dxa"/>
              </w:tblCellMar>
            </w:tblPr>
            <w:tblGrid>
              <w:gridCol w:w="4536"/>
              <w:gridCol w:w="4905"/>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30" w:type="dxa"/>
                  <w:left w:w="30" w:type="dxa"/>
                  <w:bottom w:w="30" w:type="dxa"/>
                  <w:right w:w="30" w:type="dxa"/>
                </w:tblCellMar>
              </w:tblPrEx>
              <w:tc>
                <w:tcPr>
                  <w:tcW w:w="4536"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rPr>
                      <w:rFonts w:ascii="黑体" w:hAnsi="宋体" w:eastAsia="黑体" w:cs="宋体"/>
                      <w:color w:val="333333"/>
                      <w:kern w:val="0"/>
                      <w:sz w:val="28"/>
                      <w:szCs w:val="28"/>
                    </w:rPr>
                  </w:pPr>
                  <w:r>
                    <w:rPr>
                      <w:rFonts w:hint="eastAsia" w:ascii="黑体" w:hAnsi="宋体" w:eastAsia="黑体" w:cs="宋体"/>
                      <w:color w:val="333333"/>
                      <w:kern w:val="0"/>
                      <w:sz w:val="28"/>
                      <w:szCs w:val="28"/>
                    </w:rPr>
                    <w:t>预算项目</w:t>
                  </w:r>
                </w:p>
              </w:tc>
              <w:tc>
                <w:tcPr>
                  <w:tcW w:w="4905"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ind w:firstLine="2240" w:firstLineChars="800"/>
                    <w:rPr>
                      <w:rFonts w:ascii="黑体" w:hAnsi="宋体" w:eastAsia="黑体" w:cs="宋体"/>
                      <w:color w:val="333333"/>
                      <w:kern w:val="0"/>
                      <w:sz w:val="28"/>
                      <w:szCs w:val="28"/>
                    </w:rPr>
                  </w:pPr>
                  <w:r>
                    <w:rPr>
                      <w:rFonts w:hint="eastAsia" w:ascii="黑体" w:hAnsi="宋体" w:eastAsia="黑体" w:cs="宋体"/>
                      <w:color w:val="333333"/>
                      <w:kern w:val="0"/>
                      <w:sz w:val="28"/>
                      <w:szCs w:val="28"/>
                    </w:rPr>
                    <w:t>合计</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30" w:type="dxa"/>
                  <w:left w:w="30" w:type="dxa"/>
                  <w:bottom w:w="30" w:type="dxa"/>
                  <w:right w:w="30" w:type="dxa"/>
                </w:tblCellMar>
              </w:tblPrEx>
              <w:trPr>
                <w:trHeight w:val="469" w:hRule="atLeast"/>
              </w:trPr>
              <w:tc>
                <w:tcPr>
                  <w:tcW w:w="4536" w:type="dxa"/>
                  <w:tcBorders>
                    <w:top w:val="outset" w:color="000000" w:sz="6" w:space="0"/>
                    <w:left w:val="outset" w:color="000000" w:sz="6" w:space="0"/>
                    <w:bottom w:val="outset" w:color="000000" w:sz="6" w:space="0"/>
                    <w:right w:val="outset" w:color="000000" w:sz="6" w:space="0"/>
                  </w:tcBorders>
                  <w:noWrap w:val="0"/>
                  <w:vAlign w:val="center"/>
                </w:tcPr>
                <w:p>
                  <w:pPr>
                    <w:keepNext w:val="0"/>
                    <w:keepLines w:val="0"/>
                    <w:widowControl/>
                    <w:suppressLineNumbers w:val="0"/>
                    <w:jc w:val="left"/>
                    <w:textAlignment w:val="center"/>
                    <w:rPr>
                      <w:rFonts w:hint="eastAsia" w:ascii="宋体" w:hAnsi="宋体" w:eastAsia="宋体" w:cs="宋体"/>
                      <w:color w:val="333333"/>
                      <w:kern w:val="0"/>
                      <w:sz w:val="24"/>
                      <w:szCs w:val="24"/>
                    </w:rPr>
                  </w:pPr>
                  <w:r>
                    <w:rPr>
                      <w:rFonts w:hint="eastAsia" w:ascii="宋体" w:hAnsi="宋体" w:eastAsia="宋体" w:cs="宋体"/>
                      <w:i w:val="0"/>
                      <w:color w:val="000000"/>
                      <w:kern w:val="0"/>
                      <w:sz w:val="24"/>
                      <w:szCs w:val="24"/>
                      <w:u w:val="none"/>
                      <w:lang w:val="en-US" w:eastAsia="zh-CN" w:bidi="ar"/>
                    </w:rPr>
                    <w:t>一、本年收入</w:t>
                  </w:r>
                </w:p>
              </w:tc>
              <w:tc>
                <w:tcPr>
                  <w:tcW w:w="4905" w:type="dxa"/>
                  <w:tcBorders>
                    <w:top w:val="outset" w:color="000000" w:sz="6" w:space="0"/>
                    <w:left w:val="outset" w:color="000000" w:sz="6" w:space="0"/>
                    <w:bottom w:val="outset" w:color="000000" w:sz="6" w:space="0"/>
                    <w:right w:val="outset" w:color="000000" w:sz="6" w:space="0"/>
                  </w:tcBorders>
                  <w:noWrap w:val="0"/>
                  <w:vAlign w:val="center"/>
                </w:tcPr>
                <w:p>
                  <w:pPr>
                    <w:keepNext w:val="0"/>
                    <w:keepLines w:val="0"/>
                    <w:widowControl/>
                    <w:suppressLineNumbers w:val="0"/>
                    <w:jc w:val="center"/>
                    <w:textAlignment w:val="center"/>
                    <w:rPr>
                      <w:rFonts w:hint="default" w:ascii="宋体" w:hAnsi="宋体" w:eastAsia="宋体" w:cs="宋体"/>
                      <w:color w:val="333333"/>
                      <w:kern w:val="0"/>
                      <w:sz w:val="24"/>
                      <w:szCs w:val="24"/>
                      <w:lang w:val="en-US" w:eastAsia="zh-CN"/>
                    </w:rPr>
                  </w:pPr>
                  <w:r>
                    <w:rPr>
                      <w:rFonts w:hint="eastAsia" w:ascii="宋体" w:hAnsi="宋体" w:cs="宋体"/>
                      <w:color w:val="333333"/>
                      <w:kern w:val="0"/>
                      <w:sz w:val="24"/>
                      <w:szCs w:val="24"/>
                      <w:lang w:val="en-US" w:eastAsia="zh-CN"/>
                    </w:rPr>
                    <w:t>8256.92</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30" w:type="dxa"/>
                  <w:left w:w="30" w:type="dxa"/>
                  <w:bottom w:w="30" w:type="dxa"/>
                  <w:right w:w="30" w:type="dxa"/>
                </w:tblCellMar>
              </w:tblPrEx>
              <w:trPr>
                <w:trHeight w:val="477" w:hRule="atLeast"/>
              </w:trPr>
              <w:tc>
                <w:tcPr>
                  <w:tcW w:w="4536" w:type="dxa"/>
                  <w:tcBorders>
                    <w:top w:val="outset" w:color="000000" w:sz="6" w:space="0"/>
                    <w:left w:val="outset" w:color="000000" w:sz="6" w:space="0"/>
                    <w:bottom w:val="outset" w:color="000000" w:sz="6" w:space="0"/>
                    <w:right w:val="outset" w:color="000000" w:sz="6" w:space="0"/>
                  </w:tcBorders>
                  <w:noWrap w:val="0"/>
                  <w:vAlign w:val="center"/>
                </w:tcPr>
                <w:p>
                  <w:pPr>
                    <w:keepNext w:val="0"/>
                    <w:keepLines w:val="0"/>
                    <w:widowControl/>
                    <w:suppressLineNumbers w:val="0"/>
                    <w:jc w:val="left"/>
                    <w:textAlignment w:val="center"/>
                    <w:rPr>
                      <w:rFonts w:hint="eastAsia" w:ascii="宋体" w:hAnsi="宋体" w:eastAsia="宋体" w:cs="宋体"/>
                      <w:color w:val="333333"/>
                      <w:kern w:val="0"/>
                      <w:sz w:val="24"/>
                      <w:szCs w:val="24"/>
                    </w:rPr>
                  </w:pPr>
                  <w:r>
                    <w:rPr>
                      <w:rFonts w:hint="eastAsia" w:ascii="宋体" w:hAnsi="宋体" w:eastAsia="宋体" w:cs="宋体"/>
                      <w:i w:val="0"/>
                      <w:color w:val="000000"/>
                      <w:kern w:val="0"/>
                      <w:sz w:val="24"/>
                      <w:szCs w:val="24"/>
                      <w:u w:val="none"/>
                      <w:lang w:val="en-US" w:eastAsia="zh-CN" w:bidi="ar"/>
                    </w:rPr>
                    <w:t>经费拨款(补助)</w:t>
                  </w:r>
                </w:p>
              </w:tc>
              <w:tc>
                <w:tcPr>
                  <w:tcW w:w="4905" w:type="dxa"/>
                  <w:tcBorders>
                    <w:top w:val="outset" w:color="000000" w:sz="6" w:space="0"/>
                    <w:left w:val="outset" w:color="000000" w:sz="6" w:space="0"/>
                    <w:bottom w:val="outset" w:color="000000" w:sz="6" w:space="0"/>
                    <w:right w:val="outset" w:color="000000" w:sz="6" w:space="0"/>
                  </w:tcBorders>
                  <w:noWrap w:val="0"/>
                  <w:vAlign w:val="center"/>
                </w:tcPr>
                <w:p>
                  <w:pPr>
                    <w:keepNext w:val="0"/>
                    <w:keepLines w:val="0"/>
                    <w:widowControl/>
                    <w:suppressLineNumbers w:val="0"/>
                    <w:jc w:val="center"/>
                    <w:textAlignment w:val="center"/>
                    <w:rPr>
                      <w:rFonts w:hint="default" w:ascii="宋体" w:hAnsi="宋体" w:eastAsia="宋体" w:cs="宋体"/>
                      <w:color w:val="333333"/>
                      <w:kern w:val="0"/>
                      <w:sz w:val="24"/>
                      <w:szCs w:val="24"/>
                      <w:lang w:val="en-US" w:eastAsia="zh-CN"/>
                    </w:rPr>
                  </w:pPr>
                  <w:r>
                    <w:rPr>
                      <w:rFonts w:hint="eastAsia" w:ascii="宋体" w:hAnsi="宋体" w:cs="宋体"/>
                      <w:color w:val="333333"/>
                      <w:kern w:val="0"/>
                      <w:sz w:val="24"/>
                      <w:szCs w:val="24"/>
                      <w:lang w:val="en-US" w:eastAsia="zh-CN"/>
                    </w:rPr>
                    <w:t>7536.92</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30" w:type="dxa"/>
                  <w:left w:w="30" w:type="dxa"/>
                  <w:bottom w:w="30" w:type="dxa"/>
                  <w:right w:w="30" w:type="dxa"/>
                </w:tblCellMar>
              </w:tblPrEx>
              <w:trPr>
                <w:trHeight w:val="579" w:hRule="atLeast"/>
              </w:trPr>
              <w:tc>
                <w:tcPr>
                  <w:tcW w:w="4536" w:type="dxa"/>
                  <w:tcBorders>
                    <w:top w:val="outset" w:color="000000" w:sz="6" w:space="0"/>
                    <w:left w:val="outset" w:color="000000" w:sz="6" w:space="0"/>
                    <w:bottom w:val="outset" w:color="000000" w:sz="6" w:space="0"/>
                    <w:right w:val="outset" w:color="000000" w:sz="6" w:space="0"/>
                  </w:tcBorders>
                  <w:noWrap w:val="0"/>
                  <w:vAlign w:val="center"/>
                </w:tcPr>
                <w:p>
                  <w:pPr>
                    <w:keepNext w:val="0"/>
                    <w:keepLines w:val="0"/>
                    <w:widowControl/>
                    <w:suppressLineNumbers w:val="0"/>
                    <w:jc w:val="left"/>
                    <w:textAlignment w:val="center"/>
                    <w:rPr>
                      <w:rFonts w:hint="eastAsia" w:ascii="宋体" w:hAnsi="宋体" w:eastAsia="宋体" w:cs="宋体"/>
                      <w:color w:val="333333"/>
                      <w:kern w:val="0"/>
                      <w:sz w:val="24"/>
                      <w:szCs w:val="24"/>
                    </w:rPr>
                  </w:pPr>
                  <w:r>
                    <w:rPr>
                      <w:rFonts w:hint="eastAsia" w:ascii="宋体" w:hAnsi="宋体" w:eastAsia="宋体" w:cs="宋体"/>
                      <w:i w:val="0"/>
                      <w:color w:val="000000"/>
                      <w:kern w:val="0"/>
                      <w:sz w:val="24"/>
                      <w:szCs w:val="24"/>
                      <w:u w:val="none"/>
                      <w:lang w:val="en-US" w:eastAsia="zh-CN" w:bidi="ar"/>
                    </w:rPr>
                    <w:t>纳入一般公共预算管理的非税收入拨款</w:t>
                  </w:r>
                </w:p>
              </w:tc>
              <w:tc>
                <w:tcPr>
                  <w:tcW w:w="4905"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ind w:firstLine="2160" w:firstLineChars="900"/>
                    <w:jc w:val="both"/>
                    <w:rPr>
                      <w:rFonts w:hint="default" w:ascii="宋体" w:hAnsi="宋体" w:eastAsia="宋体" w:cs="宋体"/>
                      <w:color w:val="333333"/>
                      <w:kern w:val="0"/>
                      <w:sz w:val="24"/>
                      <w:szCs w:val="24"/>
                      <w:lang w:val="en-US" w:eastAsia="zh-CN"/>
                    </w:rPr>
                  </w:pPr>
                  <w:r>
                    <w:rPr>
                      <w:rFonts w:hint="eastAsia" w:ascii="宋体" w:hAnsi="宋体" w:cs="宋体"/>
                      <w:color w:val="333333"/>
                      <w:kern w:val="0"/>
                      <w:sz w:val="24"/>
                      <w:szCs w:val="24"/>
                      <w:lang w:val="en-US" w:eastAsia="zh-CN"/>
                    </w:rPr>
                    <w:t>720</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30" w:type="dxa"/>
                  <w:left w:w="30" w:type="dxa"/>
                  <w:bottom w:w="30" w:type="dxa"/>
                  <w:right w:w="30" w:type="dxa"/>
                </w:tblCellMar>
              </w:tblPrEx>
              <w:tc>
                <w:tcPr>
                  <w:tcW w:w="4536"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rPr>
                      <w:rFonts w:hint="eastAsia" w:ascii="宋体" w:hAnsi="宋体" w:eastAsia="宋体" w:cs="宋体"/>
                      <w:color w:val="333333"/>
                      <w:kern w:val="0"/>
                      <w:sz w:val="24"/>
                      <w:szCs w:val="24"/>
                      <w:lang w:eastAsia="zh-CN"/>
                    </w:rPr>
                  </w:pPr>
                  <w:r>
                    <w:rPr>
                      <w:rFonts w:hint="eastAsia" w:ascii="宋体" w:hAnsi="宋体" w:eastAsia="宋体" w:cs="宋体"/>
                      <w:color w:val="333333"/>
                      <w:kern w:val="0"/>
                      <w:sz w:val="24"/>
                      <w:szCs w:val="24"/>
                      <w:lang w:eastAsia="zh-CN"/>
                    </w:rPr>
                    <w:t>二、本年支出</w:t>
                  </w:r>
                </w:p>
              </w:tc>
              <w:tc>
                <w:tcPr>
                  <w:tcW w:w="4905"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jc w:val="center"/>
                    <w:rPr>
                      <w:rFonts w:hint="default" w:ascii="宋体" w:hAnsi="宋体" w:eastAsia="宋体" w:cs="宋体"/>
                      <w:color w:val="333333"/>
                      <w:kern w:val="0"/>
                      <w:sz w:val="24"/>
                      <w:szCs w:val="24"/>
                      <w:lang w:val="en-US" w:eastAsia="zh-CN"/>
                    </w:rPr>
                  </w:pPr>
                  <w:r>
                    <w:rPr>
                      <w:rFonts w:hint="eastAsia" w:ascii="宋体" w:hAnsi="宋体" w:cs="宋体"/>
                      <w:color w:val="333333"/>
                      <w:kern w:val="0"/>
                      <w:sz w:val="24"/>
                      <w:szCs w:val="24"/>
                      <w:lang w:val="en-US" w:eastAsia="zh-CN"/>
                    </w:rPr>
                    <w:t>8256.92</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30" w:type="dxa"/>
                  <w:left w:w="30" w:type="dxa"/>
                  <w:bottom w:w="30" w:type="dxa"/>
                  <w:right w:w="30" w:type="dxa"/>
                </w:tblCellMar>
              </w:tblPrEx>
              <w:tc>
                <w:tcPr>
                  <w:tcW w:w="4536"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基本支出</w:t>
                  </w:r>
                </w:p>
              </w:tc>
              <w:tc>
                <w:tcPr>
                  <w:tcW w:w="4905"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jc w:val="center"/>
                    <w:rPr>
                      <w:rFonts w:hint="default" w:ascii="宋体" w:hAnsi="宋体" w:eastAsia="宋体" w:cs="宋体"/>
                      <w:color w:val="333333"/>
                      <w:kern w:val="0"/>
                      <w:sz w:val="24"/>
                      <w:szCs w:val="24"/>
                      <w:lang w:val="en-US" w:eastAsia="zh-CN"/>
                    </w:rPr>
                  </w:pPr>
                  <w:r>
                    <w:rPr>
                      <w:rFonts w:hint="eastAsia" w:ascii="宋体" w:hAnsi="宋体" w:cs="宋体"/>
                      <w:color w:val="333333"/>
                      <w:kern w:val="0"/>
                      <w:sz w:val="24"/>
                      <w:szCs w:val="24"/>
                      <w:lang w:val="en-US" w:eastAsia="zh-CN"/>
                    </w:rPr>
                    <w:t>6414.92</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30" w:type="dxa"/>
                  <w:left w:w="30" w:type="dxa"/>
                  <w:bottom w:w="30" w:type="dxa"/>
                  <w:right w:w="30" w:type="dxa"/>
                </w:tblCellMar>
              </w:tblPrEx>
              <w:tc>
                <w:tcPr>
                  <w:tcW w:w="4536"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其中：财政拨款支出</w:t>
                  </w:r>
                </w:p>
              </w:tc>
              <w:tc>
                <w:tcPr>
                  <w:tcW w:w="4905"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jc w:val="center"/>
                    <w:rPr>
                      <w:rFonts w:hint="default" w:ascii="宋体" w:hAnsi="宋体" w:eastAsia="宋体" w:cs="宋体"/>
                      <w:color w:val="333333"/>
                      <w:kern w:val="0"/>
                      <w:sz w:val="24"/>
                      <w:szCs w:val="24"/>
                      <w:lang w:val="en-US" w:eastAsia="zh-CN"/>
                    </w:rPr>
                  </w:pPr>
                  <w:r>
                    <w:rPr>
                      <w:rFonts w:hint="eastAsia" w:ascii="宋体" w:hAnsi="宋体" w:cs="宋体"/>
                      <w:color w:val="333333"/>
                      <w:kern w:val="0"/>
                      <w:sz w:val="24"/>
                      <w:szCs w:val="24"/>
                      <w:lang w:val="en-US" w:eastAsia="zh-CN"/>
                    </w:rPr>
                    <w:t>6414.92</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30" w:type="dxa"/>
                  <w:left w:w="30" w:type="dxa"/>
                  <w:bottom w:w="30" w:type="dxa"/>
                  <w:right w:w="30" w:type="dxa"/>
                </w:tblCellMar>
              </w:tblPrEx>
              <w:tc>
                <w:tcPr>
                  <w:tcW w:w="4536"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项目支出</w:t>
                  </w:r>
                </w:p>
              </w:tc>
              <w:tc>
                <w:tcPr>
                  <w:tcW w:w="4905"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jc w:val="center"/>
                    <w:rPr>
                      <w:rFonts w:hint="default" w:ascii="宋体" w:hAnsi="宋体" w:eastAsia="宋体" w:cs="宋体"/>
                      <w:color w:val="333333"/>
                      <w:kern w:val="0"/>
                      <w:sz w:val="24"/>
                      <w:szCs w:val="24"/>
                      <w:lang w:val="en-US" w:eastAsia="zh-CN"/>
                    </w:rPr>
                  </w:pPr>
                  <w:r>
                    <w:rPr>
                      <w:rFonts w:hint="eastAsia" w:ascii="宋体" w:hAnsi="宋体" w:cs="宋体"/>
                      <w:color w:val="333333"/>
                      <w:kern w:val="0"/>
                      <w:sz w:val="24"/>
                      <w:szCs w:val="24"/>
                      <w:lang w:val="en-US" w:eastAsia="zh-CN"/>
                    </w:rPr>
                    <w:t>1842</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30" w:type="dxa"/>
                  <w:left w:w="30" w:type="dxa"/>
                  <w:bottom w:w="30" w:type="dxa"/>
                  <w:right w:w="30" w:type="dxa"/>
                </w:tblCellMar>
              </w:tblPrEx>
              <w:tc>
                <w:tcPr>
                  <w:tcW w:w="4536"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其中：财政拨款支出</w:t>
                  </w:r>
                </w:p>
              </w:tc>
              <w:tc>
                <w:tcPr>
                  <w:tcW w:w="4905"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jc w:val="center"/>
                    <w:rPr>
                      <w:rFonts w:hint="default" w:ascii="宋体" w:hAnsi="宋体" w:eastAsia="宋体" w:cs="宋体"/>
                      <w:color w:val="333333"/>
                      <w:kern w:val="0"/>
                      <w:sz w:val="24"/>
                      <w:szCs w:val="24"/>
                      <w:lang w:val="en-US" w:eastAsia="zh-CN"/>
                    </w:rPr>
                  </w:pPr>
                  <w:r>
                    <w:rPr>
                      <w:rFonts w:hint="eastAsia" w:ascii="宋体" w:hAnsi="宋体" w:cs="宋体"/>
                      <w:color w:val="333333"/>
                      <w:kern w:val="0"/>
                      <w:sz w:val="24"/>
                      <w:szCs w:val="24"/>
                      <w:lang w:val="en-US" w:eastAsia="zh-CN"/>
                    </w:rPr>
                    <w:t>1842</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30" w:type="dxa"/>
                  <w:left w:w="30" w:type="dxa"/>
                  <w:bottom w:w="30" w:type="dxa"/>
                  <w:right w:w="30" w:type="dxa"/>
                </w:tblCellMar>
              </w:tblPrEx>
              <w:tc>
                <w:tcPr>
                  <w:tcW w:w="4536"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支出预算合计</w:t>
                  </w:r>
                </w:p>
              </w:tc>
              <w:tc>
                <w:tcPr>
                  <w:tcW w:w="4905"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jc w:val="center"/>
                    <w:rPr>
                      <w:rFonts w:hint="default" w:ascii="宋体" w:hAnsi="宋体" w:eastAsia="宋体" w:cs="宋体"/>
                      <w:color w:val="333333"/>
                      <w:kern w:val="0"/>
                      <w:sz w:val="24"/>
                      <w:szCs w:val="24"/>
                      <w:lang w:val="en-US" w:eastAsia="zh-CN"/>
                    </w:rPr>
                  </w:pPr>
                  <w:r>
                    <w:rPr>
                      <w:rFonts w:hint="eastAsia" w:ascii="宋体" w:hAnsi="宋体" w:cs="宋体"/>
                      <w:color w:val="333333"/>
                      <w:kern w:val="0"/>
                      <w:sz w:val="24"/>
                      <w:szCs w:val="24"/>
                      <w:lang w:val="en-US" w:eastAsia="zh-CN"/>
                    </w:rPr>
                    <w:t>8256.92</w:t>
                  </w:r>
                </w:p>
              </w:tc>
            </w:tr>
          </w:tbl>
          <w:p>
            <w:pPr>
              <w:spacing w:line="560" w:lineRule="exact"/>
              <w:ind w:firstLine="560" w:firstLineChars="200"/>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从预算批复分析，年度预算收入8256.92万元，全部为财政拨款收入，全年预算支出8256.92万元，其中基本支出6414.92万元，占总支出的77.69%，使用内容为人员经费和日常公用经费。项目支出1842万元，占支出的28.71%。使用内容为：打击传销等市场监管执法625.20万元，非税收入征收成本504万元，办公设备购置等30万元，商事制度改革、商标广告管理等市场主体管理专项269.80万元，大型修缮98万元，重点工业产品食品监督抽查、强制检定、政府质量考核工作、政府质量考核工作、标准化、专项打假及投诉处理、纤维及制品质量监督、其他民生领域质量监督、法人库及条码管理等质量基础管理专项288万元，特种设备安全监管专项27万元。</w:t>
            </w:r>
          </w:p>
          <w:p>
            <w:pPr>
              <w:numPr>
                <w:ilvl w:val="0"/>
                <w:numId w:val="0"/>
              </w:numPr>
              <w:spacing w:line="560" w:lineRule="exact"/>
              <w:ind w:leftChars="0" w:firstLine="280" w:firstLineChars="100"/>
              <w:rPr>
                <w:rFonts w:hint="eastAsia" w:ascii="宋体" w:hAnsi="宋体" w:eastAsia="宋体" w:cs="宋体"/>
                <w:b/>
                <w:bCs w:val="0"/>
                <w:sz w:val="28"/>
                <w:szCs w:val="28"/>
                <w:lang w:val="en-US" w:eastAsia="zh-CN"/>
              </w:rPr>
            </w:pPr>
            <w:r>
              <w:rPr>
                <w:rFonts w:hint="eastAsia" w:ascii="黑体" w:hAnsi="黑体" w:eastAsia="黑体" w:cs="黑体"/>
                <w:bCs/>
                <w:sz w:val="28"/>
                <w:szCs w:val="28"/>
                <w:lang w:val="en-US" w:eastAsia="zh-CN"/>
              </w:rPr>
              <w:t>2、年度部门决算收支情况及</w:t>
            </w:r>
            <w:r>
              <w:rPr>
                <w:rFonts w:hint="eastAsia" w:ascii="宋体" w:hAnsi="宋体" w:eastAsia="宋体" w:cs="宋体"/>
                <w:b/>
                <w:bCs w:val="0"/>
                <w:sz w:val="28"/>
                <w:szCs w:val="28"/>
                <w:lang w:val="en-US" w:eastAsia="zh-CN"/>
              </w:rPr>
              <w:t>使用方向和主要内容、涉及范围</w:t>
            </w:r>
          </w:p>
          <w:p>
            <w:pPr>
              <w:spacing w:line="560" w:lineRule="exact"/>
              <w:ind w:firstLine="3360" w:firstLineChars="1400"/>
              <w:rPr>
                <w:rFonts w:hint="eastAsia" w:ascii="仿宋_GB2312" w:hAnsi="仿宋_GB2312" w:eastAsia="仿宋_GB2312" w:cs="仿宋_GB2312"/>
                <w:b w:val="0"/>
                <w:bCs/>
                <w:sz w:val="28"/>
                <w:szCs w:val="28"/>
              </w:rPr>
            </w:pPr>
            <w:r>
              <w:rPr>
                <w:rFonts w:hint="eastAsia" w:ascii="宋体" w:hAnsi="宋体" w:eastAsia="宋体" w:cs="宋体"/>
                <w:i w:val="0"/>
                <w:color w:val="auto"/>
                <w:sz w:val="24"/>
                <w:szCs w:val="24"/>
                <w:u w:val="none"/>
              </w:rPr>
              <w:t>收入</w:t>
            </w:r>
            <w:r>
              <w:rPr>
                <w:rFonts w:hint="eastAsia" w:ascii="宋体" w:hAnsi="宋体" w:eastAsia="宋体" w:cs="宋体"/>
                <w:i w:val="0"/>
                <w:color w:val="auto"/>
                <w:sz w:val="24"/>
                <w:szCs w:val="24"/>
                <w:u w:val="none"/>
                <w:lang w:eastAsia="zh-CN"/>
              </w:rPr>
              <w:t>决</w:t>
            </w:r>
            <w:r>
              <w:rPr>
                <w:rFonts w:hint="eastAsia" w:ascii="宋体" w:hAnsi="宋体" w:eastAsia="宋体" w:cs="宋体"/>
                <w:i w:val="0"/>
                <w:color w:val="auto"/>
                <w:sz w:val="24"/>
                <w:szCs w:val="24"/>
                <w:u w:val="none"/>
              </w:rPr>
              <w:t>算情况</w:t>
            </w:r>
          </w:p>
          <w:tbl>
            <w:tblPr>
              <w:tblStyle w:val="7"/>
              <w:tblW w:w="0" w:type="auto"/>
              <w:tblInd w:w="-15" w:type="dxa"/>
              <w:tblLayout w:type="fixed"/>
              <w:tblCellMar>
                <w:top w:w="0" w:type="dxa"/>
                <w:left w:w="0" w:type="dxa"/>
                <w:bottom w:w="0" w:type="dxa"/>
                <w:right w:w="0" w:type="dxa"/>
              </w:tblCellMar>
            </w:tblPr>
            <w:tblGrid>
              <w:gridCol w:w="5"/>
              <w:gridCol w:w="1515"/>
              <w:gridCol w:w="5"/>
              <w:gridCol w:w="1590"/>
              <w:gridCol w:w="1385"/>
              <w:gridCol w:w="5"/>
              <w:gridCol w:w="1455"/>
              <w:gridCol w:w="5"/>
              <w:gridCol w:w="1140"/>
              <w:gridCol w:w="1683"/>
            </w:tblGrid>
            <w:tr>
              <w:tblPrEx>
                <w:tblCellMar>
                  <w:top w:w="0" w:type="dxa"/>
                  <w:left w:w="0" w:type="dxa"/>
                  <w:bottom w:w="0" w:type="dxa"/>
                  <w:right w:w="0" w:type="dxa"/>
                </w:tblCellMar>
              </w:tblPrEx>
              <w:trPr>
                <w:trHeight w:val="285" w:hRule="atLeast"/>
              </w:trPr>
              <w:tc>
                <w:tcPr>
                  <w:tcW w:w="1520" w:type="dxa"/>
                  <w:gridSpan w:val="2"/>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auto"/>
                      <w:sz w:val="24"/>
                      <w:szCs w:val="24"/>
                      <w:u w:val="none"/>
                    </w:rPr>
                  </w:pPr>
                </w:p>
              </w:tc>
              <w:tc>
                <w:tcPr>
                  <w:tcW w:w="1595" w:type="dxa"/>
                  <w:gridSpan w:val="2"/>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auto"/>
                      <w:sz w:val="24"/>
                      <w:szCs w:val="24"/>
                      <w:u w:val="none"/>
                    </w:rPr>
                  </w:pPr>
                </w:p>
              </w:tc>
              <w:tc>
                <w:tcPr>
                  <w:tcW w:w="1385" w:type="dxa"/>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auto"/>
                      <w:sz w:val="24"/>
                      <w:szCs w:val="24"/>
                      <w:u w:val="none"/>
                    </w:rPr>
                  </w:pPr>
                </w:p>
              </w:tc>
              <w:tc>
                <w:tcPr>
                  <w:tcW w:w="1460" w:type="dxa"/>
                  <w:gridSpan w:val="2"/>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auto"/>
                      <w:sz w:val="24"/>
                      <w:szCs w:val="24"/>
                      <w:u w:val="none"/>
                    </w:rPr>
                  </w:pPr>
                </w:p>
              </w:tc>
              <w:tc>
                <w:tcPr>
                  <w:tcW w:w="2828" w:type="dxa"/>
                  <w:gridSpan w:val="3"/>
                  <w:tcBorders>
                    <w:top w:val="nil"/>
                    <w:left w:val="nil"/>
                    <w:bottom w:val="nil"/>
                    <w:right w:val="nil"/>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金额单位：万元</w:t>
                  </w:r>
                </w:p>
              </w:tc>
            </w:tr>
            <w:tr>
              <w:tblPrEx>
                <w:tblCellMar>
                  <w:top w:w="0" w:type="dxa"/>
                  <w:left w:w="0" w:type="dxa"/>
                  <w:bottom w:w="0" w:type="dxa"/>
                  <w:right w:w="0" w:type="dxa"/>
                </w:tblCellMar>
              </w:tblPrEx>
              <w:trPr>
                <w:gridBefore w:val="1"/>
                <w:wBefore w:w="5" w:type="dxa"/>
                <w:trHeight w:val="465" w:hRule="atLeast"/>
              </w:trPr>
              <w:tc>
                <w:tcPr>
                  <w:tcW w:w="1520" w:type="dxa"/>
                  <w:gridSpan w:val="2"/>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单位名称</w:t>
                  </w:r>
                </w:p>
              </w:tc>
              <w:tc>
                <w:tcPr>
                  <w:tcW w:w="1590" w:type="dxa"/>
                  <w:tcBorders>
                    <w:top w:val="single" w:color="auto" w:sz="4" w:space="0"/>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预算收入</w:t>
                  </w:r>
                </w:p>
              </w:tc>
              <w:tc>
                <w:tcPr>
                  <w:tcW w:w="1390" w:type="dxa"/>
                  <w:gridSpan w:val="2"/>
                  <w:tcBorders>
                    <w:top w:val="single" w:color="auto" w:sz="4" w:space="0"/>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决算收入</w:t>
                  </w:r>
                </w:p>
              </w:tc>
              <w:tc>
                <w:tcPr>
                  <w:tcW w:w="1460" w:type="dxa"/>
                  <w:gridSpan w:val="2"/>
                  <w:tcBorders>
                    <w:top w:val="single" w:color="auto" w:sz="4" w:space="0"/>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年末结余</w:t>
                  </w:r>
                </w:p>
              </w:tc>
              <w:tc>
                <w:tcPr>
                  <w:tcW w:w="1140" w:type="dxa"/>
                  <w:tcBorders>
                    <w:top w:val="single" w:color="auto" w:sz="4" w:space="0"/>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上年结余</w:t>
                  </w:r>
                </w:p>
              </w:tc>
              <w:tc>
                <w:tcPr>
                  <w:tcW w:w="1683" w:type="dxa"/>
                  <w:tcBorders>
                    <w:top w:val="single" w:color="auto" w:sz="4" w:space="0"/>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本年结余</w:t>
                  </w:r>
                </w:p>
              </w:tc>
            </w:tr>
            <w:tr>
              <w:tblPrEx>
                <w:tblCellMar>
                  <w:top w:w="0" w:type="dxa"/>
                  <w:left w:w="0" w:type="dxa"/>
                  <w:bottom w:w="0" w:type="dxa"/>
                  <w:right w:w="0" w:type="dxa"/>
                </w:tblCellMar>
              </w:tblPrEx>
              <w:trPr>
                <w:gridBefore w:val="1"/>
                <w:wBefore w:w="5" w:type="dxa"/>
                <w:trHeight w:val="868" w:hRule="atLeast"/>
              </w:trPr>
              <w:tc>
                <w:tcPr>
                  <w:tcW w:w="1520" w:type="dxa"/>
                  <w:gridSpan w:val="2"/>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lang w:eastAsia="zh-CN"/>
                    </w:rPr>
                  </w:pPr>
                  <w:r>
                    <w:rPr>
                      <w:rFonts w:hint="eastAsia" w:ascii="宋体" w:hAnsi="宋体" w:cs="宋体"/>
                      <w:i w:val="0"/>
                      <w:color w:val="auto"/>
                      <w:sz w:val="24"/>
                      <w:szCs w:val="24"/>
                      <w:u w:val="none"/>
                      <w:lang w:eastAsia="zh-CN"/>
                    </w:rPr>
                    <w:t>市场监管局</w:t>
                  </w:r>
                </w:p>
              </w:tc>
              <w:tc>
                <w:tcPr>
                  <w:tcW w:w="1590"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8256.92</w:t>
                  </w:r>
                </w:p>
              </w:tc>
              <w:tc>
                <w:tcPr>
                  <w:tcW w:w="1390" w:type="dxa"/>
                  <w:gridSpan w:val="2"/>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15312.55</w:t>
                  </w:r>
                </w:p>
              </w:tc>
              <w:tc>
                <w:tcPr>
                  <w:tcW w:w="1460" w:type="dxa"/>
                  <w:gridSpan w:val="2"/>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1108.23</w:t>
                  </w:r>
                </w:p>
              </w:tc>
              <w:tc>
                <w:tcPr>
                  <w:tcW w:w="1140"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1631.41</w:t>
                  </w:r>
                </w:p>
              </w:tc>
              <w:tc>
                <w:tcPr>
                  <w:tcW w:w="1683"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-523.17</w:t>
                  </w:r>
                </w:p>
              </w:tc>
            </w:tr>
          </w:tbl>
          <w:p>
            <w:pPr>
              <w:numPr>
                <w:ilvl w:val="0"/>
                <w:numId w:val="0"/>
              </w:numPr>
              <w:spacing w:line="560" w:lineRule="exact"/>
              <w:ind w:firstLine="3360" w:firstLineChars="1200"/>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支出决算情况</w:t>
            </w:r>
          </w:p>
          <w:p>
            <w:pPr>
              <w:numPr>
                <w:ilvl w:val="0"/>
                <w:numId w:val="0"/>
              </w:numPr>
              <w:spacing w:line="560" w:lineRule="exact"/>
              <w:rPr>
                <w:rFonts w:hint="default"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金额单位：万元</w:t>
            </w:r>
          </w:p>
          <w:tbl>
            <w:tblPr>
              <w:tblStyle w:val="7"/>
              <w:tblW w:w="0" w:type="auto"/>
              <w:tblInd w:w="-15" w:type="dxa"/>
              <w:tblLayout w:type="fixed"/>
              <w:tblCellMar>
                <w:top w:w="0" w:type="dxa"/>
                <w:left w:w="0" w:type="dxa"/>
                <w:bottom w:w="0" w:type="dxa"/>
                <w:right w:w="0" w:type="dxa"/>
              </w:tblCellMar>
            </w:tblPr>
            <w:tblGrid>
              <w:gridCol w:w="1400"/>
              <w:gridCol w:w="1088"/>
              <w:gridCol w:w="1425"/>
              <w:gridCol w:w="1461"/>
              <w:gridCol w:w="1445"/>
              <w:gridCol w:w="1912"/>
            </w:tblGrid>
            <w:tr>
              <w:tblPrEx>
                <w:tblCellMar>
                  <w:top w:w="0" w:type="dxa"/>
                  <w:left w:w="0" w:type="dxa"/>
                  <w:bottom w:w="0" w:type="dxa"/>
                  <w:right w:w="0" w:type="dxa"/>
                </w:tblCellMar>
              </w:tblPrEx>
              <w:trPr>
                <w:trHeight w:val="420" w:hRule="atLeast"/>
              </w:trPr>
              <w:tc>
                <w:tcPr>
                  <w:tcW w:w="1400" w:type="dxa"/>
                  <w:tcBorders>
                    <w:top w:val="single" w:color="auto" w:sz="4" w:space="0"/>
                    <w:left w:val="single" w:color="auto" w:sz="4" w:space="0"/>
                    <w:bottom w:val="single" w:color="auto" w:sz="4" w:space="0"/>
                    <w:right w:val="nil"/>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u w:val="none"/>
                      <w:lang w:val="en-US" w:eastAsia="zh-CN" w:bidi="ar"/>
                    </w:rPr>
                  </w:pPr>
                </w:p>
              </w:tc>
              <w:tc>
                <w:tcPr>
                  <w:tcW w:w="2513" w:type="dxa"/>
                  <w:gridSpan w:val="2"/>
                  <w:tcBorders>
                    <w:top w:val="single" w:color="auto" w:sz="4" w:space="0"/>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预算批复</w:t>
                  </w:r>
                </w:p>
              </w:tc>
              <w:tc>
                <w:tcPr>
                  <w:tcW w:w="1461" w:type="dxa"/>
                  <w:tcBorders>
                    <w:top w:val="single" w:color="auto" w:sz="4" w:space="0"/>
                    <w:left w:val="nil"/>
                    <w:bottom w:val="single" w:color="auto" w:sz="4" w:space="0"/>
                    <w:right w:val="nil"/>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u w:val="none"/>
                      <w:lang w:val="en-US" w:eastAsia="zh-CN" w:bidi="ar"/>
                    </w:rPr>
                  </w:pPr>
                </w:p>
              </w:tc>
              <w:tc>
                <w:tcPr>
                  <w:tcW w:w="3357" w:type="dxa"/>
                  <w:gridSpan w:val="2"/>
                  <w:tcBorders>
                    <w:top w:val="single" w:color="auto" w:sz="4" w:space="0"/>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决算数据</w:t>
                  </w:r>
                </w:p>
              </w:tc>
            </w:tr>
            <w:tr>
              <w:tblPrEx>
                <w:tblCellMar>
                  <w:top w:w="0" w:type="dxa"/>
                  <w:left w:w="0" w:type="dxa"/>
                  <w:bottom w:w="0" w:type="dxa"/>
                  <w:right w:w="0" w:type="dxa"/>
                </w:tblCellMar>
              </w:tblPrEx>
              <w:trPr>
                <w:trHeight w:val="420" w:hRule="atLeast"/>
              </w:trPr>
              <w:tc>
                <w:tcPr>
                  <w:tcW w:w="1400" w:type="dxa"/>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合计</w:t>
                  </w:r>
                </w:p>
              </w:tc>
              <w:tc>
                <w:tcPr>
                  <w:tcW w:w="1088" w:type="dxa"/>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基本支出</w:t>
                  </w:r>
                </w:p>
              </w:tc>
              <w:tc>
                <w:tcPr>
                  <w:tcW w:w="1425"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项目支出</w:t>
                  </w:r>
                </w:p>
              </w:tc>
              <w:tc>
                <w:tcPr>
                  <w:tcW w:w="1461"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合计</w:t>
                  </w:r>
                </w:p>
              </w:tc>
              <w:tc>
                <w:tcPr>
                  <w:tcW w:w="1445"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基本支出</w:t>
                  </w:r>
                </w:p>
              </w:tc>
              <w:tc>
                <w:tcPr>
                  <w:tcW w:w="1912"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项目支出</w:t>
                  </w:r>
                </w:p>
              </w:tc>
            </w:tr>
            <w:tr>
              <w:tblPrEx>
                <w:tblCellMar>
                  <w:top w:w="0" w:type="dxa"/>
                  <w:left w:w="0" w:type="dxa"/>
                  <w:bottom w:w="0" w:type="dxa"/>
                  <w:right w:w="0" w:type="dxa"/>
                </w:tblCellMar>
              </w:tblPrEx>
              <w:trPr>
                <w:trHeight w:val="420" w:hRule="atLeast"/>
              </w:trPr>
              <w:tc>
                <w:tcPr>
                  <w:tcW w:w="1400" w:type="dxa"/>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kern w:val="0"/>
                      <w:sz w:val="24"/>
                      <w:szCs w:val="24"/>
                      <w:u w:val="none"/>
                      <w:lang w:val="en-US" w:eastAsia="zh-CN" w:bidi="ar"/>
                    </w:rPr>
                  </w:pPr>
                  <w:r>
                    <w:rPr>
                      <w:rFonts w:hint="eastAsia" w:ascii="宋体" w:hAnsi="宋体" w:cs="宋体"/>
                      <w:i w:val="0"/>
                      <w:color w:val="auto"/>
                      <w:kern w:val="0"/>
                      <w:sz w:val="24"/>
                      <w:szCs w:val="24"/>
                      <w:u w:val="none"/>
                      <w:lang w:val="en-US" w:eastAsia="zh-CN" w:bidi="ar"/>
                    </w:rPr>
                    <w:t>8256.92</w:t>
                  </w:r>
                </w:p>
              </w:tc>
              <w:tc>
                <w:tcPr>
                  <w:tcW w:w="1088" w:type="dxa"/>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6414.92</w:t>
                  </w:r>
                </w:p>
              </w:tc>
              <w:tc>
                <w:tcPr>
                  <w:tcW w:w="1425"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1842</w:t>
                  </w:r>
                </w:p>
              </w:tc>
              <w:tc>
                <w:tcPr>
                  <w:tcW w:w="1461"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4"/>
                      <w:szCs w:val="24"/>
                      <w:u w:val="none"/>
                      <w:lang w:val="en-US" w:eastAsia="zh-CN" w:bidi="ar"/>
                    </w:rPr>
                  </w:pPr>
                  <w:r>
                    <w:rPr>
                      <w:rFonts w:hint="eastAsia" w:ascii="宋体" w:hAnsi="宋体" w:cs="宋体"/>
                      <w:i w:val="0"/>
                      <w:color w:val="auto"/>
                      <w:kern w:val="0"/>
                      <w:sz w:val="24"/>
                      <w:szCs w:val="24"/>
                      <w:u w:val="none"/>
                      <w:lang w:val="en-US" w:eastAsia="zh-CN" w:bidi="ar"/>
                    </w:rPr>
                    <w:t>15835.73</w:t>
                  </w:r>
                </w:p>
              </w:tc>
              <w:tc>
                <w:tcPr>
                  <w:tcW w:w="1445"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10464.41</w:t>
                  </w:r>
                </w:p>
              </w:tc>
              <w:tc>
                <w:tcPr>
                  <w:tcW w:w="1912"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5371.32</w:t>
                  </w:r>
                </w:p>
              </w:tc>
            </w:tr>
          </w:tbl>
          <w:p>
            <w:pPr>
              <w:spacing w:line="560" w:lineRule="exact"/>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lang w:val="en-US" w:eastAsia="zh-CN"/>
              </w:rPr>
              <w:t>从上述数据分析：2021年预算收入8256.92万元，决算15312.55万元，收入增加主要是省级财政追加专项资金，市级财政代编食品药品监管专项资金、知识产权管理专项资金，市级财政追加综合绩效考核资金、平安建设工作考评奖励、非税超收可用资金等。结余减少主要上年度已列收入的专项资金跨年度使用。</w:t>
            </w:r>
          </w:p>
          <w:p>
            <w:pPr>
              <w:spacing w:line="560" w:lineRule="exact"/>
              <w:ind w:firstLine="560" w:firstLineChars="200"/>
              <w:rPr>
                <w:rFonts w:ascii="黑体" w:hAnsi="黑体" w:eastAsia="黑体" w:cs="黑体"/>
                <w:bCs/>
                <w:sz w:val="28"/>
                <w:szCs w:val="28"/>
              </w:rPr>
            </w:pPr>
            <w:r>
              <w:rPr>
                <w:rFonts w:hint="eastAsia" w:ascii="黑体" w:hAnsi="黑体" w:eastAsia="黑体" w:cs="黑体"/>
                <w:bCs/>
                <w:sz w:val="28"/>
                <w:szCs w:val="28"/>
              </w:rPr>
              <w:t>二、部门（单位）整体支出管理及使用情况</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（一）基本支出</w:t>
            </w:r>
          </w:p>
          <w:p>
            <w:pPr>
              <w:spacing w:line="560" w:lineRule="exact"/>
              <w:ind w:firstLine="560" w:firstLineChars="200"/>
              <w:rPr>
                <w:rFonts w:hint="eastAsia" w:ascii="仿宋_GB2312" w:hAnsi="仿宋_GB2312" w:eastAsia="仿宋_GB2312" w:cs="仿宋_GB2312"/>
                <w:bCs/>
                <w:sz w:val="28"/>
                <w:szCs w:val="28"/>
                <w:lang w:eastAsia="zh-CN"/>
              </w:rPr>
            </w:pPr>
            <w:r>
              <w:rPr>
                <w:rFonts w:hint="eastAsia" w:ascii="仿宋_GB2312" w:hAnsi="仿宋_GB2312" w:eastAsia="仿宋_GB2312" w:cs="仿宋_GB2312"/>
                <w:bCs/>
                <w:sz w:val="28"/>
                <w:szCs w:val="28"/>
                <w:lang w:val="en-US" w:eastAsia="zh-CN"/>
              </w:rPr>
              <w:t>1、人员经费和公用经费</w:t>
            </w:r>
            <w:r>
              <w:rPr>
                <w:rFonts w:hint="eastAsia" w:ascii="仿宋_GB2312" w:hAnsi="仿宋_GB2312" w:eastAsia="仿宋_GB2312" w:cs="仿宋_GB2312"/>
                <w:bCs/>
                <w:sz w:val="28"/>
                <w:szCs w:val="28"/>
                <w:lang w:eastAsia="zh-CN"/>
              </w:rPr>
              <w:t>管理情况</w:t>
            </w:r>
          </w:p>
          <w:p>
            <w:pPr>
              <w:spacing w:line="560" w:lineRule="exact"/>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eastAsia="zh-CN"/>
              </w:rPr>
              <w:t>我局基本支出主要包括人员经费和公用经费，具体为工资福利支出、对个人和家庭补助支出、一般商品和服务支出。</w:t>
            </w:r>
            <w:r>
              <w:rPr>
                <w:rFonts w:hint="eastAsia" w:ascii="仿宋_GB2312" w:hAnsi="仿宋_GB2312" w:eastAsia="仿宋_GB2312" w:cs="仿宋_GB2312"/>
                <w:bCs/>
                <w:sz w:val="28"/>
                <w:szCs w:val="28"/>
                <w:lang w:val="en-US" w:eastAsia="zh-CN"/>
              </w:rPr>
              <w:t>基本支出的管理和使用情况如下：</w:t>
            </w:r>
          </w:p>
          <w:p>
            <w:pPr>
              <w:spacing w:line="560" w:lineRule="exact"/>
              <w:ind w:firstLine="3080" w:firstLineChars="1100"/>
              <w:rPr>
                <w:rFonts w:hint="default"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基本支出执行情况表</w:t>
            </w:r>
          </w:p>
          <w:tbl>
            <w:tblPr>
              <w:tblStyle w:val="7"/>
              <w:tblW w:w="0" w:type="auto"/>
              <w:tblInd w:w="-15" w:type="dxa"/>
              <w:tblLayout w:type="fixed"/>
              <w:tblCellMar>
                <w:top w:w="0" w:type="dxa"/>
                <w:left w:w="0" w:type="dxa"/>
                <w:bottom w:w="0" w:type="dxa"/>
                <w:right w:w="0" w:type="dxa"/>
              </w:tblCellMar>
            </w:tblPr>
            <w:tblGrid>
              <w:gridCol w:w="5"/>
              <w:gridCol w:w="3395"/>
              <w:gridCol w:w="5"/>
              <w:gridCol w:w="2626"/>
              <w:gridCol w:w="2738"/>
            </w:tblGrid>
            <w:tr>
              <w:tblPrEx>
                <w:tblCellMar>
                  <w:top w:w="0" w:type="dxa"/>
                  <w:left w:w="0" w:type="dxa"/>
                  <w:bottom w:w="0" w:type="dxa"/>
                  <w:right w:w="0" w:type="dxa"/>
                </w:tblCellMar>
              </w:tblPrEx>
              <w:trPr>
                <w:trHeight w:val="375" w:hRule="atLeast"/>
              </w:trPr>
              <w:tc>
                <w:tcPr>
                  <w:tcW w:w="3400" w:type="dxa"/>
                  <w:gridSpan w:val="2"/>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auto"/>
                      <w:sz w:val="24"/>
                      <w:szCs w:val="24"/>
                      <w:u w:val="none"/>
                    </w:rPr>
                  </w:pPr>
                </w:p>
              </w:tc>
              <w:tc>
                <w:tcPr>
                  <w:tcW w:w="2631" w:type="dxa"/>
                  <w:gridSpan w:val="2"/>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auto"/>
                      <w:sz w:val="24"/>
                      <w:szCs w:val="24"/>
                      <w:u w:val="none"/>
                    </w:rPr>
                  </w:pPr>
                </w:p>
              </w:tc>
              <w:tc>
                <w:tcPr>
                  <w:tcW w:w="2738" w:type="dxa"/>
                  <w:tcBorders>
                    <w:top w:val="nil"/>
                    <w:left w:val="nil"/>
                    <w:bottom w:val="nil"/>
                    <w:right w:val="nil"/>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金额单位:万元</w:t>
                  </w:r>
                </w:p>
              </w:tc>
            </w:tr>
            <w:tr>
              <w:tblPrEx>
                <w:tblCellMar>
                  <w:top w:w="0" w:type="dxa"/>
                  <w:left w:w="0" w:type="dxa"/>
                  <w:bottom w:w="0" w:type="dxa"/>
                  <w:right w:w="0" w:type="dxa"/>
                </w:tblCellMar>
              </w:tblPrEx>
              <w:trPr>
                <w:gridBefore w:val="1"/>
                <w:wBefore w:w="5" w:type="dxa"/>
                <w:trHeight w:val="435" w:hRule="atLeast"/>
              </w:trPr>
              <w:tc>
                <w:tcPr>
                  <w:tcW w:w="3400" w:type="dxa"/>
                  <w:gridSpan w:val="2"/>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项目</w:t>
                  </w:r>
                </w:p>
              </w:tc>
              <w:tc>
                <w:tcPr>
                  <w:tcW w:w="2626" w:type="dxa"/>
                  <w:tcBorders>
                    <w:top w:val="single" w:color="auto" w:sz="4" w:space="0"/>
                    <w:left w:val="nil"/>
                    <w:bottom w:val="single" w:color="auto" w:sz="4" w:space="0"/>
                    <w:right w:val="nil"/>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预算批复</w:t>
                  </w:r>
                </w:p>
              </w:tc>
              <w:tc>
                <w:tcPr>
                  <w:tcW w:w="2738"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决算数据</w:t>
                  </w:r>
                </w:p>
              </w:tc>
            </w:tr>
            <w:tr>
              <w:tblPrEx>
                <w:tblCellMar>
                  <w:top w:w="0" w:type="dxa"/>
                  <w:left w:w="0" w:type="dxa"/>
                  <w:bottom w:w="0" w:type="dxa"/>
                  <w:right w:w="0" w:type="dxa"/>
                </w:tblCellMar>
              </w:tblPrEx>
              <w:trPr>
                <w:gridBefore w:val="1"/>
                <w:wBefore w:w="5" w:type="dxa"/>
                <w:trHeight w:val="420" w:hRule="atLeast"/>
              </w:trPr>
              <w:tc>
                <w:tcPr>
                  <w:tcW w:w="3400" w:type="dxa"/>
                  <w:gridSpan w:val="2"/>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工资福利支出</w:t>
                  </w:r>
                </w:p>
              </w:tc>
              <w:tc>
                <w:tcPr>
                  <w:tcW w:w="2626"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5221.32</w:t>
                  </w:r>
                </w:p>
              </w:tc>
              <w:tc>
                <w:tcPr>
                  <w:tcW w:w="2738"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7788.07</w:t>
                  </w:r>
                </w:p>
              </w:tc>
            </w:tr>
            <w:tr>
              <w:tblPrEx>
                <w:tblCellMar>
                  <w:top w:w="0" w:type="dxa"/>
                  <w:left w:w="0" w:type="dxa"/>
                  <w:bottom w:w="0" w:type="dxa"/>
                  <w:right w:w="0" w:type="dxa"/>
                </w:tblCellMar>
              </w:tblPrEx>
              <w:trPr>
                <w:gridBefore w:val="1"/>
                <w:wBefore w:w="5" w:type="dxa"/>
                <w:trHeight w:val="285" w:hRule="atLeast"/>
              </w:trPr>
              <w:tc>
                <w:tcPr>
                  <w:tcW w:w="3400" w:type="dxa"/>
                  <w:gridSpan w:val="2"/>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商品和服务支出</w:t>
                  </w:r>
                </w:p>
              </w:tc>
              <w:tc>
                <w:tcPr>
                  <w:tcW w:w="2626"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1127.02</w:t>
                  </w:r>
                </w:p>
              </w:tc>
              <w:tc>
                <w:tcPr>
                  <w:tcW w:w="2738"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1477.10</w:t>
                  </w:r>
                </w:p>
              </w:tc>
            </w:tr>
            <w:tr>
              <w:tblPrEx>
                <w:tblCellMar>
                  <w:top w:w="0" w:type="dxa"/>
                  <w:left w:w="0" w:type="dxa"/>
                  <w:bottom w:w="0" w:type="dxa"/>
                  <w:right w:w="0" w:type="dxa"/>
                </w:tblCellMar>
              </w:tblPrEx>
              <w:trPr>
                <w:gridBefore w:val="1"/>
                <w:wBefore w:w="5" w:type="dxa"/>
                <w:trHeight w:val="285" w:hRule="atLeast"/>
              </w:trPr>
              <w:tc>
                <w:tcPr>
                  <w:tcW w:w="3400" w:type="dxa"/>
                  <w:gridSpan w:val="2"/>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对个人和家庭补助支出</w:t>
                  </w:r>
                </w:p>
              </w:tc>
              <w:tc>
                <w:tcPr>
                  <w:tcW w:w="2626"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66.58</w:t>
                  </w:r>
                </w:p>
              </w:tc>
              <w:tc>
                <w:tcPr>
                  <w:tcW w:w="2738"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1199.24</w:t>
                  </w:r>
                </w:p>
              </w:tc>
            </w:tr>
            <w:tr>
              <w:tblPrEx>
                <w:tblCellMar>
                  <w:top w:w="0" w:type="dxa"/>
                  <w:left w:w="0" w:type="dxa"/>
                  <w:bottom w:w="0" w:type="dxa"/>
                  <w:right w:w="0" w:type="dxa"/>
                </w:tblCellMar>
              </w:tblPrEx>
              <w:trPr>
                <w:gridBefore w:val="1"/>
                <w:wBefore w:w="5" w:type="dxa"/>
                <w:trHeight w:val="285" w:hRule="atLeast"/>
              </w:trPr>
              <w:tc>
                <w:tcPr>
                  <w:tcW w:w="3400" w:type="dxa"/>
                  <w:gridSpan w:val="2"/>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合计</w:t>
                  </w:r>
                </w:p>
              </w:tc>
              <w:tc>
                <w:tcPr>
                  <w:tcW w:w="2626" w:type="dxa"/>
                  <w:tcBorders>
                    <w:top w:val="nil"/>
                    <w:left w:val="nil"/>
                    <w:bottom w:val="single" w:color="auto" w:sz="4" w:space="0"/>
                    <w:right w:val="single" w:color="auto" w:sz="4" w:space="0"/>
                  </w:tcBorders>
                  <w:noWrap/>
                  <w:tcMar>
                    <w:top w:w="15" w:type="dxa"/>
                    <w:left w:w="15" w:type="dxa"/>
                    <w:right w:w="15" w:type="dxa"/>
                  </w:tcMar>
                  <w:vAlign w:val="center"/>
                </w:tcPr>
                <w:p>
                  <w:pPr>
                    <w:jc w:val="right"/>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6414.92</w:t>
                  </w:r>
                </w:p>
              </w:tc>
              <w:tc>
                <w:tcPr>
                  <w:tcW w:w="2738" w:type="dxa"/>
                  <w:tcBorders>
                    <w:top w:val="nil"/>
                    <w:left w:val="nil"/>
                    <w:bottom w:val="single" w:color="auto" w:sz="4" w:space="0"/>
                    <w:right w:val="single" w:color="auto" w:sz="4" w:space="0"/>
                  </w:tcBorders>
                  <w:noWrap/>
                  <w:tcMar>
                    <w:top w:w="15" w:type="dxa"/>
                    <w:left w:w="15" w:type="dxa"/>
                    <w:right w:w="15" w:type="dxa"/>
                  </w:tcMar>
                  <w:vAlign w:val="center"/>
                </w:tcPr>
                <w:p>
                  <w:pPr>
                    <w:jc w:val="right"/>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10464.41</w:t>
                  </w:r>
                </w:p>
              </w:tc>
            </w:tr>
          </w:tbl>
          <w:p>
            <w:pPr>
              <w:spacing w:line="560" w:lineRule="exact"/>
              <w:ind w:firstLine="560" w:firstLineChars="200"/>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Cs/>
                <w:sz w:val="28"/>
                <w:szCs w:val="28"/>
                <w:lang w:eastAsia="zh-CN"/>
              </w:rPr>
              <w:t>从上表分析：基本支出超支</w:t>
            </w:r>
            <w:r>
              <w:rPr>
                <w:rFonts w:hint="eastAsia" w:ascii="仿宋_GB2312" w:hAnsi="仿宋_GB2312" w:eastAsia="仿宋_GB2312" w:cs="仿宋_GB2312"/>
                <w:bCs/>
                <w:sz w:val="28"/>
                <w:szCs w:val="28"/>
                <w:lang w:val="en-US" w:eastAsia="zh-CN"/>
              </w:rPr>
              <w:t>4048.49万元，主要是工资福利支出增加2566.75万元，商品和服务支出增加350.08万元，对个人和家庭补助支出增加1132.66万元。人员支出增加主要是增加了</w:t>
            </w:r>
            <w:r>
              <w:rPr>
                <w:rFonts w:hint="eastAsia" w:ascii="仿宋_GB2312" w:hAnsi="仿宋_GB2312" w:eastAsia="仿宋_GB2312" w:cs="仿宋_GB2312"/>
                <w:b w:val="0"/>
                <w:bCs/>
                <w:sz w:val="28"/>
                <w:szCs w:val="28"/>
                <w:lang w:val="en-US" w:eastAsia="zh-CN"/>
              </w:rPr>
              <w:t>综合绩效考核资金、平安建设考评奖励、第十三个月工资三项支出，公用经费支出增加主要是增加了公务车补助的50%。</w:t>
            </w:r>
          </w:p>
          <w:p>
            <w:pPr>
              <w:numPr>
                <w:ilvl w:val="0"/>
                <w:numId w:val="0"/>
              </w:numPr>
              <w:spacing w:line="560" w:lineRule="exact"/>
              <w:ind w:leftChars="0" w:firstLine="560" w:firstLineChars="200"/>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2、“三公经费”支出使用和管理情况</w:t>
            </w:r>
          </w:p>
          <w:p>
            <w:pPr>
              <w:numPr>
                <w:ilvl w:val="0"/>
                <w:numId w:val="0"/>
              </w:numPr>
              <w:spacing w:line="560" w:lineRule="exact"/>
              <w:ind w:leftChars="0" w:firstLine="2520" w:firstLineChars="900"/>
              <w:rPr>
                <w:rFonts w:hint="default"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“三公”经费执行情况表</w:t>
            </w:r>
          </w:p>
          <w:tbl>
            <w:tblPr>
              <w:tblStyle w:val="7"/>
              <w:tblW w:w="0" w:type="auto"/>
              <w:tblInd w:w="-15" w:type="dxa"/>
              <w:tblLayout w:type="fixed"/>
              <w:tblCellMar>
                <w:top w:w="0" w:type="dxa"/>
                <w:left w:w="0" w:type="dxa"/>
                <w:bottom w:w="0" w:type="dxa"/>
                <w:right w:w="0" w:type="dxa"/>
              </w:tblCellMar>
            </w:tblPr>
            <w:tblGrid>
              <w:gridCol w:w="5"/>
              <w:gridCol w:w="2579"/>
              <w:gridCol w:w="5"/>
              <w:gridCol w:w="2806"/>
              <w:gridCol w:w="3383"/>
            </w:tblGrid>
            <w:tr>
              <w:tblPrEx>
                <w:tblCellMar>
                  <w:top w:w="0" w:type="dxa"/>
                  <w:left w:w="0" w:type="dxa"/>
                  <w:bottom w:w="0" w:type="dxa"/>
                  <w:right w:w="0" w:type="dxa"/>
                </w:tblCellMar>
              </w:tblPrEx>
              <w:trPr>
                <w:trHeight w:val="375" w:hRule="atLeast"/>
              </w:trPr>
              <w:tc>
                <w:tcPr>
                  <w:tcW w:w="2584" w:type="dxa"/>
                  <w:gridSpan w:val="2"/>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auto"/>
                      <w:sz w:val="24"/>
                      <w:szCs w:val="24"/>
                      <w:u w:val="none"/>
                    </w:rPr>
                  </w:pPr>
                </w:p>
              </w:tc>
              <w:tc>
                <w:tcPr>
                  <w:tcW w:w="2811" w:type="dxa"/>
                  <w:gridSpan w:val="2"/>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auto"/>
                      <w:sz w:val="24"/>
                      <w:szCs w:val="24"/>
                      <w:u w:val="none"/>
                    </w:rPr>
                  </w:pPr>
                </w:p>
              </w:tc>
              <w:tc>
                <w:tcPr>
                  <w:tcW w:w="3383" w:type="dxa"/>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auto"/>
                      <w:sz w:val="24"/>
                      <w:szCs w:val="24"/>
                      <w:u w:val="none"/>
                    </w:rPr>
                  </w:pPr>
                </w:p>
              </w:tc>
            </w:tr>
            <w:tr>
              <w:tblPrEx>
                <w:tblCellMar>
                  <w:top w:w="0" w:type="dxa"/>
                  <w:left w:w="0" w:type="dxa"/>
                  <w:bottom w:w="0" w:type="dxa"/>
                  <w:right w:w="0" w:type="dxa"/>
                </w:tblCellMar>
              </w:tblPrEx>
              <w:trPr>
                <w:gridBefore w:val="1"/>
                <w:wBefore w:w="5" w:type="dxa"/>
                <w:trHeight w:val="435" w:hRule="atLeast"/>
              </w:trPr>
              <w:tc>
                <w:tcPr>
                  <w:tcW w:w="2584" w:type="dxa"/>
                  <w:gridSpan w:val="2"/>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项目</w:t>
                  </w:r>
                </w:p>
              </w:tc>
              <w:tc>
                <w:tcPr>
                  <w:tcW w:w="2806" w:type="dxa"/>
                  <w:tcBorders>
                    <w:top w:val="single" w:color="auto" w:sz="4" w:space="0"/>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本年发生额</w:t>
                  </w:r>
                </w:p>
              </w:tc>
              <w:tc>
                <w:tcPr>
                  <w:tcW w:w="3383" w:type="dxa"/>
                  <w:tcBorders>
                    <w:top w:val="single" w:color="auto" w:sz="4" w:space="0"/>
                    <w:left w:val="single" w:color="auto" w:sz="4" w:space="0"/>
                    <w:bottom w:val="single" w:color="auto" w:sz="4" w:space="0"/>
                    <w:right w:val="nil"/>
                  </w:tcBorders>
                  <w:noWrap/>
                  <w:tcMar>
                    <w:top w:w="15" w:type="dxa"/>
                    <w:left w:w="15" w:type="dxa"/>
                    <w:right w:w="15" w:type="dxa"/>
                  </w:tcMar>
                  <w:vAlign w:val="center"/>
                </w:tcPr>
                <w:p>
                  <w:pPr>
                    <w:keepNext w:val="0"/>
                    <w:keepLines w:val="0"/>
                    <w:widowControl/>
                    <w:suppressLineNumbers w:val="0"/>
                    <w:ind w:firstLine="960" w:firstLineChars="40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预算批复</w:t>
                  </w:r>
                </w:p>
              </w:tc>
            </w:tr>
            <w:tr>
              <w:tblPrEx>
                <w:tblCellMar>
                  <w:top w:w="0" w:type="dxa"/>
                  <w:left w:w="0" w:type="dxa"/>
                  <w:bottom w:w="0" w:type="dxa"/>
                  <w:right w:w="0" w:type="dxa"/>
                </w:tblCellMar>
              </w:tblPrEx>
              <w:trPr>
                <w:gridBefore w:val="1"/>
                <w:wBefore w:w="5" w:type="dxa"/>
                <w:trHeight w:val="420" w:hRule="atLeast"/>
              </w:trPr>
              <w:tc>
                <w:tcPr>
                  <w:tcW w:w="2584" w:type="dxa"/>
                  <w:gridSpan w:val="2"/>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公务接待费</w:t>
                  </w:r>
                </w:p>
              </w:tc>
              <w:tc>
                <w:tcPr>
                  <w:tcW w:w="2806"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kern w:val="0"/>
                      <w:sz w:val="24"/>
                      <w:szCs w:val="24"/>
                      <w:u w:val="none"/>
                      <w:lang w:val="en-US" w:eastAsia="zh-CN" w:bidi="ar"/>
                    </w:rPr>
                  </w:pPr>
                  <w:r>
                    <w:rPr>
                      <w:rFonts w:hint="eastAsia" w:ascii="宋体" w:hAnsi="宋体" w:cs="宋体"/>
                      <w:i w:val="0"/>
                      <w:color w:val="auto"/>
                      <w:kern w:val="0"/>
                      <w:sz w:val="24"/>
                      <w:szCs w:val="24"/>
                      <w:u w:val="none"/>
                      <w:lang w:val="en-US" w:eastAsia="zh-CN" w:bidi="ar"/>
                    </w:rPr>
                    <w:t>28.65</w:t>
                  </w:r>
                </w:p>
              </w:tc>
              <w:tc>
                <w:tcPr>
                  <w:tcW w:w="3383"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99.22</w:t>
                  </w:r>
                </w:p>
              </w:tc>
            </w:tr>
            <w:tr>
              <w:tblPrEx>
                <w:tblCellMar>
                  <w:top w:w="0" w:type="dxa"/>
                  <w:left w:w="0" w:type="dxa"/>
                  <w:bottom w:w="0" w:type="dxa"/>
                  <w:right w:w="0" w:type="dxa"/>
                </w:tblCellMar>
              </w:tblPrEx>
              <w:trPr>
                <w:gridBefore w:val="1"/>
                <w:wBefore w:w="5" w:type="dxa"/>
                <w:trHeight w:val="285" w:hRule="atLeast"/>
              </w:trPr>
              <w:tc>
                <w:tcPr>
                  <w:tcW w:w="2584" w:type="dxa"/>
                  <w:gridSpan w:val="2"/>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公务车运行维护费</w:t>
                  </w:r>
                </w:p>
              </w:tc>
              <w:tc>
                <w:tcPr>
                  <w:tcW w:w="2806"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kern w:val="0"/>
                      <w:sz w:val="24"/>
                      <w:szCs w:val="24"/>
                      <w:u w:val="none"/>
                      <w:lang w:val="en-US" w:eastAsia="zh-CN" w:bidi="ar"/>
                    </w:rPr>
                  </w:pPr>
                  <w:r>
                    <w:rPr>
                      <w:rFonts w:hint="eastAsia" w:ascii="宋体" w:hAnsi="宋体" w:cs="宋体"/>
                      <w:i w:val="0"/>
                      <w:color w:val="auto"/>
                      <w:kern w:val="0"/>
                      <w:sz w:val="24"/>
                      <w:szCs w:val="24"/>
                      <w:u w:val="none"/>
                      <w:lang w:val="en-US" w:eastAsia="zh-CN" w:bidi="ar"/>
                    </w:rPr>
                    <w:t>113.78</w:t>
                  </w:r>
                </w:p>
              </w:tc>
              <w:tc>
                <w:tcPr>
                  <w:tcW w:w="3383"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133</w:t>
                  </w:r>
                </w:p>
              </w:tc>
            </w:tr>
            <w:tr>
              <w:tblPrEx>
                <w:tblCellMar>
                  <w:top w:w="0" w:type="dxa"/>
                  <w:left w:w="0" w:type="dxa"/>
                  <w:bottom w:w="0" w:type="dxa"/>
                  <w:right w:w="0" w:type="dxa"/>
                </w:tblCellMar>
              </w:tblPrEx>
              <w:trPr>
                <w:gridBefore w:val="1"/>
                <w:wBefore w:w="5" w:type="dxa"/>
                <w:trHeight w:val="285" w:hRule="atLeast"/>
              </w:trPr>
              <w:tc>
                <w:tcPr>
                  <w:tcW w:w="2584" w:type="dxa"/>
                  <w:gridSpan w:val="2"/>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公务用车购置费</w:t>
                  </w:r>
                </w:p>
              </w:tc>
              <w:tc>
                <w:tcPr>
                  <w:tcW w:w="2806"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kern w:val="0"/>
                      <w:sz w:val="24"/>
                      <w:szCs w:val="24"/>
                      <w:u w:val="none"/>
                      <w:lang w:val="en-US" w:eastAsia="zh-CN" w:bidi="ar"/>
                    </w:rPr>
                  </w:pPr>
                  <w:r>
                    <w:rPr>
                      <w:rFonts w:hint="eastAsia" w:ascii="宋体" w:hAnsi="宋体" w:cs="宋体"/>
                      <w:i w:val="0"/>
                      <w:color w:val="auto"/>
                      <w:kern w:val="0"/>
                      <w:sz w:val="24"/>
                      <w:szCs w:val="24"/>
                      <w:u w:val="none"/>
                      <w:lang w:val="en-US" w:eastAsia="zh-CN" w:bidi="ar"/>
                    </w:rPr>
                    <w:t>17.44</w:t>
                  </w:r>
                </w:p>
              </w:tc>
              <w:tc>
                <w:tcPr>
                  <w:tcW w:w="3383"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18</w:t>
                  </w:r>
                </w:p>
              </w:tc>
            </w:tr>
            <w:tr>
              <w:tblPrEx>
                <w:tblCellMar>
                  <w:top w:w="0" w:type="dxa"/>
                  <w:left w:w="0" w:type="dxa"/>
                  <w:bottom w:w="0" w:type="dxa"/>
                  <w:right w:w="0" w:type="dxa"/>
                </w:tblCellMar>
              </w:tblPrEx>
              <w:trPr>
                <w:gridBefore w:val="1"/>
                <w:wBefore w:w="5" w:type="dxa"/>
                <w:trHeight w:val="285" w:hRule="atLeast"/>
              </w:trPr>
              <w:tc>
                <w:tcPr>
                  <w:tcW w:w="2584" w:type="dxa"/>
                  <w:gridSpan w:val="2"/>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因公出国费</w:t>
                  </w:r>
                </w:p>
              </w:tc>
              <w:tc>
                <w:tcPr>
                  <w:tcW w:w="2806"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kern w:val="0"/>
                      <w:sz w:val="24"/>
                      <w:szCs w:val="24"/>
                      <w:u w:val="none"/>
                      <w:lang w:val="en-US" w:eastAsia="zh-CN" w:bidi="ar"/>
                    </w:rPr>
                  </w:pPr>
                </w:p>
              </w:tc>
              <w:tc>
                <w:tcPr>
                  <w:tcW w:w="3383"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auto"/>
                      <w:sz w:val="24"/>
                      <w:szCs w:val="24"/>
                      <w:u w:val="none"/>
                    </w:rPr>
                  </w:pPr>
                </w:p>
              </w:tc>
            </w:tr>
            <w:tr>
              <w:tblPrEx>
                <w:tblCellMar>
                  <w:top w:w="0" w:type="dxa"/>
                  <w:left w:w="0" w:type="dxa"/>
                  <w:bottom w:w="0" w:type="dxa"/>
                  <w:right w:w="0" w:type="dxa"/>
                </w:tblCellMar>
              </w:tblPrEx>
              <w:trPr>
                <w:gridBefore w:val="1"/>
                <w:wBefore w:w="5" w:type="dxa"/>
                <w:trHeight w:val="285" w:hRule="atLeast"/>
              </w:trPr>
              <w:tc>
                <w:tcPr>
                  <w:tcW w:w="2584" w:type="dxa"/>
                  <w:gridSpan w:val="2"/>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合计</w:t>
                  </w:r>
                </w:p>
              </w:tc>
              <w:tc>
                <w:tcPr>
                  <w:tcW w:w="2806"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kern w:val="0"/>
                      <w:sz w:val="24"/>
                      <w:szCs w:val="24"/>
                      <w:u w:val="none"/>
                      <w:lang w:val="en-US" w:eastAsia="zh-CN" w:bidi="ar"/>
                    </w:rPr>
                  </w:pPr>
                  <w:r>
                    <w:rPr>
                      <w:rFonts w:hint="eastAsia" w:ascii="宋体" w:hAnsi="宋体" w:cs="宋体"/>
                      <w:i w:val="0"/>
                      <w:color w:val="auto"/>
                      <w:kern w:val="0"/>
                      <w:sz w:val="24"/>
                      <w:szCs w:val="24"/>
                      <w:u w:val="none"/>
                      <w:lang w:val="en-US" w:eastAsia="zh-CN" w:bidi="ar"/>
                    </w:rPr>
                    <w:t>159.87</w:t>
                  </w:r>
                </w:p>
              </w:tc>
              <w:tc>
                <w:tcPr>
                  <w:tcW w:w="3383"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250.22</w:t>
                  </w:r>
                </w:p>
              </w:tc>
            </w:tr>
          </w:tbl>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 w:val="0"/>
                <w:bCs/>
                <w:sz w:val="28"/>
                <w:szCs w:val="28"/>
                <w:lang w:val="en-US" w:eastAsia="zh-CN"/>
              </w:rPr>
              <w:t>我局“三公”经费预算批复数据在政府门户网站进行了公示。本年度“三公”经费实际支出159.87万元，比预算减少90.35万元，下降36.11%，总额控制良好。比上年221.47万元减少39.94万元，下降18.03%，其中招待费较上年33.23万元减少4.58万元，下降13.78%，公务车运行维护费较上年107.36万元增加6.42万元，增长5.98%。公务用车购置费较上年17.44增加3.56万元，本年无出国费用，上述增加的费用均通过批准开支。公务接待费本年人均0.05万元，在用公务车43台，平均每台费用2.65万元。</w:t>
            </w:r>
          </w:p>
          <w:p>
            <w:pPr>
              <w:spacing w:line="56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（二）专项支出</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1、专项资金安排落实、总投入等情况分析</w:t>
            </w:r>
          </w:p>
          <w:p>
            <w:pPr>
              <w:spacing w:line="560" w:lineRule="exact"/>
              <w:ind w:firstLine="560" w:firstLineChars="200"/>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Cs/>
                <w:sz w:val="28"/>
                <w:szCs w:val="28"/>
                <w:lang w:eastAsia="zh-CN"/>
              </w:rPr>
              <w:t>本年度预算安排项目资金</w:t>
            </w:r>
            <w:r>
              <w:rPr>
                <w:rFonts w:hint="eastAsia" w:ascii="仿宋_GB2312" w:hAnsi="仿宋_GB2312" w:eastAsia="仿宋_GB2312" w:cs="仿宋_GB2312"/>
                <w:b w:val="0"/>
                <w:bCs/>
                <w:sz w:val="28"/>
                <w:szCs w:val="28"/>
                <w:lang w:val="en-US" w:eastAsia="zh-CN"/>
              </w:rPr>
              <w:t>1842万元，使用内容为：打击传销等市场监管执法625.20万元，</w:t>
            </w:r>
            <w:r>
              <w:rPr>
                <w:rFonts w:hint="eastAsia" w:ascii="仿宋_GB2312" w:hAnsi="仿宋_GB2312" w:eastAsia="仿宋_GB2312" w:cs="仿宋_GB2312"/>
                <w:bCs/>
                <w:sz w:val="28"/>
                <w:szCs w:val="28"/>
                <w:lang w:val="en-US" w:eastAsia="zh-CN"/>
              </w:rPr>
              <w:t>用于打击传销、反垄断、反不正当竞争等专项治理；</w:t>
            </w:r>
            <w:r>
              <w:rPr>
                <w:rFonts w:hint="eastAsia" w:ascii="仿宋_GB2312" w:hAnsi="仿宋_GB2312" w:eastAsia="仿宋_GB2312" w:cs="仿宋_GB2312"/>
                <w:b w:val="0"/>
                <w:bCs/>
                <w:sz w:val="28"/>
                <w:szCs w:val="28"/>
                <w:lang w:val="en-US" w:eastAsia="zh-CN"/>
              </w:rPr>
              <w:t>非税收入征收成本504万元，主要是非税收入征收过程中发生的办公、差旅等费用支出；办公设备购置等30万元，主要用于落后设备的更新；商事制度改革、商标广告管理等市场主体管理专项269.80万元，主要</w:t>
            </w:r>
            <w:r>
              <w:rPr>
                <w:rFonts w:hint="eastAsia" w:ascii="仿宋_GB2312" w:hAnsi="仿宋_GB2312" w:eastAsia="仿宋_GB2312" w:cs="仿宋_GB2312"/>
                <w:bCs/>
                <w:sz w:val="28"/>
                <w:szCs w:val="28"/>
                <w:lang w:val="en-US" w:eastAsia="zh-CN"/>
              </w:rPr>
              <w:t>用于商事制度改革、信用监管、商标广告管理、农资成品油市场管理等；</w:t>
            </w:r>
            <w:r>
              <w:rPr>
                <w:rFonts w:hint="eastAsia" w:ascii="仿宋_GB2312" w:hAnsi="仿宋_GB2312" w:eastAsia="仿宋_GB2312" w:cs="仿宋_GB2312"/>
                <w:b w:val="0"/>
                <w:bCs/>
                <w:sz w:val="28"/>
                <w:szCs w:val="28"/>
                <w:lang w:val="en-US" w:eastAsia="zh-CN"/>
              </w:rPr>
              <w:t>大型修缮98万元，主要用于会议室改造等，质量基础专项288万元，主要用于重点工业产品食品监督抽查、强制检定、政府质量考核工作、政府质量考核工作、标准化、专项打假及投诉处理、纤维及制品质量监督、其他民生领域质量监督、法人库及条码管理等质量基础管理，特种设备安全监管专项27万元，主要是负责生产、检验、重点使用单位现场检查，县（市）区督查、考核、抽查、行政许可证件的发放，宣传教育培训等。</w:t>
            </w:r>
          </w:p>
          <w:p>
            <w:pPr>
              <w:numPr>
                <w:ilvl w:val="0"/>
                <w:numId w:val="2"/>
              </w:num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专项资金实际使用情况分析</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eastAsia="zh-CN"/>
              </w:rPr>
              <w:t>本年度实际投入专项资金</w:t>
            </w:r>
            <w:r>
              <w:rPr>
                <w:rFonts w:hint="eastAsia" w:ascii="仿宋_GB2312" w:hAnsi="仿宋_GB2312" w:eastAsia="仿宋_GB2312" w:cs="仿宋_GB2312"/>
                <w:bCs/>
                <w:sz w:val="28"/>
                <w:szCs w:val="28"/>
                <w:lang w:val="en-US" w:eastAsia="zh-CN"/>
              </w:rPr>
              <w:t>5371.32万元，其中上年结转1105.23万元，本年财政拨款3157.35万元（含省财政专项资金），非本级财政资金1108.74万元。</w:t>
            </w:r>
          </w:p>
          <w:p>
            <w:pPr>
              <w:numPr>
                <w:ilvl w:val="0"/>
                <w:numId w:val="0"/>
              </w:num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CN"/>
              </w:rPr>
              <w:t>3、</w:t>
            </w:r>
            <w:r>
              <w:rPr>
                <w:rFonts w:hint="eastAsia" w:ascii="仿宋_GB2312" w:hAnsi="仿宋_GB2312" w:eastAsia="仿宋_GB2312" w:cs="仿宋_GB2312"/>
                <w:bCs/>
                <w:sz w:val="28"/>
                <w:szCs w:val="28"/>
              </w:rPr>
              <w:t>专项资金管理情况分析</w:t>
            </w:r>
          </w:p>
          <w:p>
            <w:pPr>
              <w:keepNext w:val="0"/>
              <w:keepLines w:val="0"/>
              <w:widowControl/>
              <w:suppressLineNumbers w:val="0"/>
              <w:ind w:firstLine="560" w:firstLineChars="200"/>
              <w:jc w:val="left"/>
              <w:rPr>
                <w:rFonts w:hint="default" w:ascii="sans-serif" w:hAnsi="sans-serif" w:eastAsia="sans-serif" w:cs="sans-serif"/>
                <w:sz w:val="24"/>
                <w:szCs w:val="24"/>
              </w:rPr>
            </w:pPr>
            <w:r>
              <w:rPr>
                <w:rFonts w:hint="eastAsia" w:ascii="仿宋_GB2312" w:hAnsi="仿宋_GB2312" w:eastAsia="仿宋_GB2312" w:cs="仿宋_GB2312"/>
                <w:bCs/>
                <w:sz w:val="28"/>
                <w:szCs w:val="28"/>
                <w:lang w:eastAsia="zh-CN"/>
              </w:rPr>
              <w:t>我局专项资金来源包括年初预算安排、财政代编预算以及省级财政追加，专项资金使用遵循专款专用、统筹兼顾、突出重点、追踪问效的原则</w:t>
            </w:r>
            <w:r>
              <w:rPr>
                <w:rFonts w:hint="eastAsia" w:ascii="仿宋_GB2312" w:hAnsi="仿宋_GB2312" w:eastAsia="仿宋_GB2312" w:cs="仿宋_GB2312"/>
                <w:bCs/>
                <w:sz w:val="28"/>
                <w:szCs w:val="28"/>
                <w:lang w:val="en-US" w:eastAsia="zh-CN"/>
              </w:rPr>
              <w:t>,</w:t>
            </w:r>
            <w:r>
              <w:rPr>
                <w:rFonts w:hint="eastAsia" w:ascii="仿宋_GB2312" w:hAnsi="仿宋_GB2312" w:eastAsia="仿宋_GB2312" w:cs="仿宋_GB2312"/>
                <w:bCs/>
                <w:sz w:val="28"/>
                <w:szCs w:val="28"/>
                <w:lang w:eastAsia="zh-CN"/>
              </w:rPr>
              <w:t>首先是根据专项资金用途对各专项资金的使用作安排和责任分解，拨付时需提供经审核后的资金使用申请和计划，资金使用后跟踪监控及问效，资金使用效果是下年度资金安排的重要依据。</w:t>
            </w:r>
          </w:p>
          <w:p>
            <w:pPr>
              <w:spacing w:line="560" w:lineRule="exact"/>
              <w:ind w:firstLine="560" w:firstLineChars="200"/>
              <w:rPr>
                <w:rFonts w:ascii="黑体" w:hAnsi="黑体" w:eastAsia="黑体" w:cs="黑体"/>
                <w:bCs/>
                <w:sz w:val="28"/>
                <w:szCs w:val="28"/>
              </w:rPr>
            </w:pPr>
            <w:r>
              <w:rPr>
                <w:rFonts w:hint="eastAsia" w:ascii="黑体" w:hAnsi="黑体" w:eastAsia="黑体" w:cs="黑体"/>
                <w:bCs/>
                <w:sz w:val="28"/>
                <w:szCs w:val="28"/>
              </w:rPr>
              <w:t>三、部门（单位）专项组织实施情况</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（一）专项组织情况分析</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lang w:val="en-US" w:eastAsia="zh-CN"/>
              </w:rPr>
              <w:t>2021年，我局建立健全了内部控制制度，</w:t>
            </w:r>
            <w:r>
              <w:rPr>
                <w:rFonts w:hint="eastAsia" w:ascii="仿宋_GB2312" w:hAnsi="仿宋_GB2312" w:eastAsia="仿宋_GB2312" w:cs="仿宋_GB2312"/>
                <w:color w:val="333333"/>
                <w:kern w:val="0"/>
                <w:sz w:val="28"/>
                <w:szCs w:val="28"/>
              </w:rPr>
              <w:t>资金</w:t>
            </w:r>
            <w:r>
              <w:rPr>
                <w:rFonts w:hint="eastAsia" w:ascii="仿宋_GB2312" w:hAnsi="仿宋_GB2312" w:eastAsia="仿宋_GB2312" w:cs="仿宋_GB2312"/>
                <w:color w:val="333333"/>
                <w:kern w:val="0"/>
                <w:sz w:val="28"/>
                <w:szCs w:val="28"/>
                <w:lang w:eastAsia="zh-CN"/>
              </w:rPr>
              <w:t>支出</w:t>
            </w:r>
            <w:r>
              <w:rPr>
                <w:rFonts w:hint="eastAsia" w:ascii="仿宋_GB2312" w:hAnsi="仿宋_GB2312" w:eastAsia="仿宋_GB2312" w:cs="仿宋_GB2312"/>
                <w:color w:val="333333"/>
                <w:kern w:val="0"/>
                <w:sz w:val="28"/>
                <w:szCs w:val="28"/>
              </w:rPr>
              <w:t>中涉及的政府采购事项，我局严格按照</w:t>
            </w:r>
            <w:r>
              <w:rPr>
                <w:rFonts w:hint="eastAsia" w:ascii="仿宋_GB2312" w:hAnsi="仿宋_GB2312" w:eastAsia="仿宋_GB2312" w:cs="仿宋_GB2312"/>
                <w:color w:val="333333"/>
                <w:kern w:val="0"/>
                <w:sz w:val="28"/>
                <w:szCs w:val="28"/>
                <w:lang w:eastAsia="zh-CN"/>
              </w:rPr>
              <w:t>内控制度中的政府采购制度流程执行，</w:t>
            </w:r>
            <w:r>
              <w:rPr>
                <w:rFonts w:hint="eastAsia" w:ascii="仿宋_GB2312" w:hAnsi="仿宋_GB2312" w:eastAsia="仿宋_GB2312" w:cs="仿宋_GB2312"/>
                <w:color w:val="333333"/>
                <w:kern w:val="0"/>
                <w:sz w:val="28"/>
                <w:szCs w:val="28"/>
              </w:rPr>
              <w:t>同时严格合同的签订，落实采购物资和服务的验收，</w:t>
            </w:r>
            <w:r>
              <w:rPr>
                <w:rFonts w:hint="eastAsia" w:ascii="仿宋_GB2312" w:hAnsi="仿宋_GB2312" w:eastAsia="仿宋_GB2312" w:cs="仿宋_GB2312"/>
                <w:color w:val="333333"/>
                <w:kern w:val="0"/>
                <w:sz w:val="28"/>
                <w:szCs w:val="28"/>
                <w:lang w:eastAsia="zh-CN"/>
              </w:rPr>
              <w:t>严格</w:t>
            </w:r>
            <w:r>
              <w:rPr>
                <w:rFonts w:hint="eastAsia" w:ascii="仿宋_GB2312" w:hAnsi="仿宋_GB2312" w:eastAsia="仿宋_GB2312" w:cs="仿宋_GB2312"/>
                <w:color w:val="333333"/>
                <w:kern w:val="0"/>
                <w:sz w:val="28"/>
                <w:szCs w:val="28"/>
              </w:rPr>
              <w:t>做好资金支付的审批审核。</w:t>
            </w:r>
          </w:p>
          <w:p>
            <w:pPr>
              <w:numPr>
                <w:ilvl w:val="0"/>
                <w:numId w:val="3"/>
              </w:num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专项管理情况分析</w:t>
            </w:r>
          </w:p>
          <w:p>
            <w:pPr>
              <w:keepNext w:val="0"/>
              <w:keepLines w:val="0"/>
              <w:widowControl/>
              <w:suppressLineNumbers w:val="0"/>
              <w:ind w:firstLine="560" w:firstLineChars="200"/>
              <w:jc w:val="left"/>
              <w:rPr>
                <w:rFonts w:hint="eastAsia" w:ascii="仿宋_GB2312" w:hAnsi="仿宋_GB2312" w:eastAsia="仿宋_GB2312" w:cs="仿宋_GB2312"/>
                <w:kern w:val="0"/>
                <w:sz w:val="28"/>
                <w:szCs w:val="28"/>
                <w:lang w:val="en-US" w:eastAsia="zh-CN" w:bidi="ar"/>
              </w:rPr>
            </w:pPr>
            <w:r>
              <w:rPr>
                <w:rFonts w:hint="eastAsia" w:ascii="仿宋_GB2312" w:hAnsi="仿宋_GB2312" w:eastAsia="仿宋_GB2312" w:cs="仿宋_GB2312"/>
                <w:kern w:val="0"/>
                <w:sz w:val="28"/>
                <w:szCs w:val="28"/>
                <w:lang w:val="en-US" w:eastAsia="zh-CN" w:bidi="ar"/>
              </w:rPr>
              <w:t>有内部财务管理制度且得到有效执行；支出符合国家财经法规和财务管理制度规定以及有关专项资金的管理办法的规定，资金使用有完整的审批程序和手续；资金使用无截留、挤占、挪用、虚列支出等情况</w:t>
            </w:r>
          </w:p>
          <w:p>
            <w:pPr>
              <w:keepNext w:val="0"/>
              <w:keepLines w:val="0"/>
              <w:widowControl/>
              <w:suppressLineNumbers w:val="0"/>
              <w:ind w:firstLine="560" w:firstLineChars="200"/>
              <w:jc w:val="left"/>
              <w:rPr>
                <w:rFonts w:hint="eastAsia" w:ascii="黑体" w:hAnsi="黑体" w:eastAsia="黑体" w:cs="黑体"/>
                <w:bCs/>
                <w:sz w:val="28"/>
                <w:szCs w:val="28"/>
              </w:rPr>
            </w:pPr>
            <w:r>
              <w:rPr>
                <w:rFonts w:hint="eastAsia" w:ascii="黑体" w:hAnsi="黑体" w:eastAsia="黑体" w:cs="黑体"/>
                <w:bCs/>
                <w:sz w:val="28"/>
                <w:szCs w:val="28"/>
              </w:rPr>
              <w:t>四、部门（单位）整体支出绩效情况</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宋体" w:hAnsi="宋体" w:eastAsia="宋体" w:cs="宋体"/>
                <w:bCs/>
                <w:sz w:val="28"/>
                <w:szCs w:val="28"/>
                <w:lang w:val="en-US" w:eastAsia="zh-CN"/>
              </w:rPr>
              <w:t>2</w:t>
            </w:r>
            <w:r>
              <w:rPr>
                <w:rFonts w:hint="eastAsia" w:ascii="仿宋_GB2312" w:hAnsi="仿宋_GB2312" w:eastAsia="仿宋_GB2312" w:cs="仿宋_GB2312"/>
                <w:bCs/>
                <w:sz w:val="28"/>
                <w:szCs w:val="28"/>
                <w:lang w:val="en-US" w:eastAsia="zh-CN"/>
              </w:rPr>
              <w:t>021年，</w:t>
            </w:r>
            <w:r>
              <w:rPr>
                <w:rFonts w:hint="eastAsia" w:ascii="仿宋_GB2312" w:hAnsi="仿宋_GB2312" w:eastAsia="仿宋_GB2312" w:cs="仿宋_GB2312"/>
                <w:sz w:val="28"/>
                <w:szCs w:val="28"/>
              </w:rPr>
              <w:t>在市委市政府和省市场监管局的坚强领导和精准指导下，</w:t>
            </w:r>
            <w:r>
              <w:rPr>
                <w:rFonts w:hint="eastAsia" w:ascii="仿宋_GB2312" w:hAnsi="仿宋_GB2312" w:eastAsia="仿宋_GB2312" w:cs="仿宋_GB2312"/>
                <w:sz w:val="28"/>
                <w:szCs w:val="28"/>
                <w:lang w:eastAsia="zh-CN"/>
              </w:rPr>
              <w:t>我局根据</w:t>
            </w:r>
            <w:r>
              <w:rPr>
                <w:rFonts w:hint="eastAsia" w:ascii="仿宋_GB2312" w:hAnsi="仿宋_GB2312" w:eastAsia="仿宋_GB2312" w:cs="仿宋_GB2312"/>
                <w:color w:val="333333"/>
                <w:kern w:val="0"/>
                <w:sz w:val="28"/>
                <w:szCs w:val="28"/>
              </w:rPr>
              <w:t>年初工作规划和重点性工作，通过加强预算收支管理，建立健全内部管理制度，梳理内部管理流程，部门整体支出管理情况得到了提升</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部门整体支出绩效情况如下：</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lang w:eastAsia="zh-CN"/>
              </w:rPr>
              <w:t>（一）</w:t>
            </w:r>
            <w:r>
              <w:rPr>
                <w:rFonts w:hint="eastAsia" w:ascii="仿宋_GB2312" w:hAnsi="仿宋_GB2312" w:eastAsia="仿宋_GB2312" w:cs="仿宋_GB2312"/>
                <w:color w:val="333333"/>
                <w:kern w:val="0"/>
                <w:sz w:val="28"/>
                <w:szCs w:val="28"/>
              </w:rPr>
              <w:t>经济性评价方面</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 w:lineRule="atLeast"/>
              <w:ind w:left="0" w:right="0" w:firstLine="560" w:firstLineChars="200"/>
              <w:jc w:val="both"/>
              <w:rPr>
                <w:sz w:val="28"/>
                <w:szCs w:val="28"/>
              </w:rPr>
            </w:pPr>
            <w:r>
              <w:rPr>
                <w:rFonts w:hint="eastAsia" w:ascii="仿宋_GB2312" w:hAnsi="仿宋_GB2312" w:eastAsia="仿宋_GB2312" w:cs="仿宋_GB2312"/>
                <w:color w:val="333333"/>
                <w:kern w:val="0"/>
                <w:sz w:val="28"/>
                <w:szCs w:val="28"/>
              </w:rPr>
              <w:t>1</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sz w:val="28"/>
                <w:szCs w:val="28"/>
              </w:rPr>
              <w:t>保障了机关有效运转。严格按照厉行节约的要求，精打细算，规范机关事务管理工作，提高服务质量，降低运行成本，合理配置，提高保障能力。保障了干部待遇按政策发放落实</w:t>
            </w:r>
            <w:r>
              <w:rPr>
                <w:sz w:val="28"/>
                <w:szCs w:val="28"/>
              </w:rPr>
              <w:t>。</w:t>
            </w:r>
          </w:p>
          <w:p>
            <w:pPr>
              <w:widowControl/>
              <w:spacing w:line="480" w:lineRule="auto"/>
              <w:ind w:firstLine="560" w:firstLineChars="200"/>
              <w:rPr>
                <w:rFonts w:hint="eastAsia"/>
                <w:lang w:eastAsia="zh-CN"/>
              </w:rPr>
            </w:pPr>
            <w:r>
              <w:rPr>
                <w:rFonts w:hint="eastAsia" w:ascii="仿宋_GB2312" w:hAnsi="仿宋_GB2312" w:eastAsia="仿宋_GB2312" w:cs="仿宋_GB2312"/>
                <w:color w:val="333333"/>
                <w:kern w:val="0"/>
                <w:sz w:val="28"/>
                <w:szCs w:val="28"/>
                <w:lang w:val="en-US" w:eastAsia="zh-CN"/>
              </w:rPr>
              <w:t>2、加</w:t>
            </w:r>
            <w:r>
              <w:rPr>
                <w:rFonts w:hint="eastAsia" w:ascii="仿宋_GB2312" w:hAnsi="仿宋_GB2312" w:eastAsia="仿宋_GB2312" w:cs="仿宋_GB2312"/>
                <w:sz w:val="28"/>
                <w:szCs w:val="28"/>
              </w:rPr>
              <w:t>强了干部队伍建设。我局党组认真贯彻落实从严治党各项要求，始终坚持把纪律规矩挺在最前面。不定期开展党风廉政建设专题党课活动，全面贯彻落实习近平新时代中国特色社会主义思想和党的十九大精神，深化推进党风廉政建设和反腐败工作纵深发展</w:t>
            </w:r>
            <w:r>
              <w:rPr>
                <w:rFonts w:hint="eastAsia"/>
                <w:lang w:eastAsia="zh-CN"/>
              </w:rPr>
              <w:t>。</w:t>
            </w:r>
          </w:p>
          <w:p>
            <w:pPr>
              <w:widowControl/>
              <w:spacing w:line="480" w:lineRule="auto"/>
              <w:ind w:firstLine="560" w:firstLineChars="200"/>
              <w:rPr>
                <w:rFonts w:hint="eastAsia" w:ascii="仿宋_GB2312" w:hAnsi="仿宋_GB2312" w:eastAsia="仿宋_GB2312" w:cs="仿宋_GB2312"/>
                <w:color w:val="333333"/>
                <w:kern w:val="0"/>
                <w:sz w:val="28"/>
                <w:szCs w:val="28"/>
                <w:lang w:eastAsia="zh-CN"/>
              </w:rPr>
            </w:pPr>
            <w:r>
              <w:rPr>
                <w:rFonts w:hint="eastAsia" w:ascii="仿宋_GB2312" w:hAnsi="仿宋_GB2312" w:eastAsia="仿宋_GB2312" w:cs="仿宋_GB2312"/>
                <w:color w:val="333333"/>
                <w:kern w:val="0"/>
                <w:sz w:val="28"/>
                <w:szCs w:val="28"/>
                <w:lang w:val="en-US" w:eastAsia="zh-CN"/>
              </w:rPr>
              <w:t>3、</w:t>
            </w:r>
            <w:r>
              <w:rPr>
                <w:rFonts w:hint="eastAsia" w:ascii="仿宋_GB2312" w:hAnsi="仿宋_GB2312" w:eastAsia="仿宋_GB2312" w:cs="仿宋_GB2312"/>
                <w:color w:val="333333"/>
                <w:kern w:val="0"/>
                <w:sz w:val="28"/>
                <w:szCs w:val="28"/>
              </w:rPr>
              <w:t>预算执行方面，除</w:t>
            </w:r>
            <w:r>
              <w:rPr>
                <w:rFonts w:hint="eastAsia" w:ascii="仿宋_GB2312" w:hAnsi="仿宋_GB2312" w:eastAsia="仿宋_GB2312" w:cs="仿宋_GB2312"/>
                <w:color w:val="333333"/>
                <w:kern w:val="0"/>
                <w:sz w:val="28"/>
                <w:szCs w:val="28"/>
                <w:lang w:eastAsia="zh-CN"/>
              </w:rPr>
              <w:t>非本级财政追加专项资金、本级财政追加</w:t>
            </w:r>
            <w:r>
              <w:rPr>
                <w:rFonts w:hint="eastAsia" w:ascii="仿宋_GB2312" w:hAnsi="仿宋_GB2312" w:eastAsia="仿宋_GB2312" w:cs="仿宋_GB2312"/>
                <w:color w:val="333333"/>
                <w:kern w:val="0"/>
                <w:sz w:val="28"/>
                <w:szCs w:val="28"/>
              </w:rPr>
              <w:t>政策性工资</w:t>
            </w:r>
            <w:r>
              <w:rPr>
                <w:rFonts w:hint="eastAsia" w:ascii="仿宋_GB2312" w:hAnsi="仿宋_GB2312" w:eastAsia="仿宋_GB2312" w:cs="仿宋_GB2312"/>
                <w:color w:val="333333"/>
                <w:kern w:val="0"/>
                <w:sz w:val="28"/>
                <w:szCs w:val="28"/>
                <w:lang w:eastAsia="zh-CN"/>
              </w:rPr>
              <w:t>提标、</w:t>
            </w:r>
            <w:r>
              <w:rPr>
                <w:rFonts w:hint="eastAsia" w:ascii="仿宋_GB2312" w:hAnsi="仿宋_GB2312" w:eastAsia="仿宋_GB2312" w:cs="仿宋_GB2312"/>
                <w:color w:val="333333"/>
                <w:kern w:val="0"/>
                <w:sz w:val="28"/>
                <w:szCs w:val="28"/>
              </w:rPr>
              <w:t>绩效</w:t>
            </w:r>
            <w:r>
              <w:rPr>
                <w:rFonts w:hint="eastAsia" w:ascii="仿宋_GB2312" w:hAnsi="仿宋_GB2312" w:eastAsia="仿宋_GB2312" w:cs="仿宋_GB2312"/>
                <w:color w:val="333333"/>
                <w:kern w:val="0"/>
                <w:sz w:val="28"/>
                <w:szCs w:val="28"/>
                <w:lang w:eastAsia="zh-CN"/>
              </w:rPr>
              <w:t>、综治奖励、非税超收资金外</w:t>
            </w:r>
            <w:r>
              <w:rPr>
                <w:rFonts w:hint="eastAsia" w:ascii="仿宋_GB2312" w:hAnsi="仿宋_GB2312" w:eastAsia="仿宋_GB2312" w:cs="仿宋_GB2312"/>
                <w:color w:val="333333"/>
                <w:kern w:val="0"/>
                <w:sz w:val="28"/>
                <w:szCs w:val="28"/>
              </w:rPr>
              <w:t>，支出总额控制在预算总额以内</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不存在截留或</w:t>
            </w:r>
            <w:r>
              <w:rPr>
                <w:rFonts w:hint="eastAsia" w:ascii="仿宋_GB2312" w:hAnsi="仿宋_GB2312" w:eastAsia="仿宋_GB2312" w:cs="仿宋_GB2312"/>
                <w:color w:val="333333"/>
                <w:kern w:val="0"/>
                <w:sz w:val="28"/>
                <w:szCs w:val="28"/>
                <w:lang w:eastAsia="zh-CN"/>
              </w:rPr>
              <w:t>挤占</w:t>
            </w:r>
            <w:r>
              <w:rPr>
                <w:rFonts w:hint="eastAsia" w:ascii="仿宋_GB2312" w:hAnsi="仿宋_GB2312" w:eastAsia="仿宋_GB2312" w:cs="仿宋_GB2312"/>
                <w:color w:val="333333"/>
                <w:kern w:val="0"/>
                <w:sz w:val="28"/>
                <w:szCs w:val="28"/>
              </w:rPr>
              <w:t>专项资金情况</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财政供养人员控制在预算编制以内，</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三公</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经费较上年</w:t>
            </w:r>
            <w:r>
              <w:rPr>
                <w:rFonts w:hint="eastAsia" w:ascii="仿宋_GB2312" w:hAnsi="仿宋_GB2312" w:eastAsia="仿宋_GB2312" w:cs="仿宋_GB2312"/>
                <w:color w:val="333333"/>
                <w:kern w:val="0"/>
                <w:sz w:val="28"/>
                <w:szCs w:val="28"/>
                <w:lang w:eastAsia="zh-CN"/>
              </w:rPr>
              <w:t>及预算</w:t>
            </w:r>
            <w:r>
              <w:rPr>
                <w:rFonts w:hint="eastAsia" w:ascii="仿宋_GB2312" w:hAnsi="仿宋_GB2312" w:eastAsia="仿宋_GB2312" w:cs="仿宋_GB2312"/>
                <w:color w:val="333333"/>
                <w:kern w:val="0"/>
                <w:sz w:val="28"/>
                <w:szCs w:val="28"/>
              </w:rPr>
              <w:t>减少</w:t>
            </w:r>
            <w:r>
              <w:rPr>
                <w:rFonts w:hint="eastAsia" w:ascii="仿宋_GB2312" w:hAnsi="仿宋_GB2312" w:eastAsia="仿宋_GB2312" w:cs="仿宋_GB2312"/>
                <w:color w:val="333333"/>
                <w:kern w:val="0"/>
                <w:sz w:val="28"/>
                <w:szCs w:val="28"/>
                <w:lang w:eastAsia="zh-CN"/>
              </w:rPr>
              <w:t>。</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lang w:val="en-US" w:eastAsia="zh-CN"/>
              </w:rPr>
              <w:t>4、</w:t>
            </w:r>
            <w:r>
              <w:rPr>
                <w:rFonts w:hint="eastAsia" w:ascii="仿宋_GB2312" w:hAnsi="仿宋_GB2312" w:eastAsia="仿宋_GB2312" w:cs="仿宋_GB2312"/>
                <w:color w:val="333333"/>
                <w:kern w:val="0"/>
                <w:sz w:val="28"/>
                <w:szCs w:val="28"/>
              </w:rPr>
              <w:t>预算管理方面，制度执行总体较为有效，仍需进一步强化；资金使用管理需进一步加强。</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 w:lineRule="atLeast"/>
              <w:ind w:left="0" w:right="0" w:firstLine="560" w:firstLineChars="200"/>
              <w:jc w:val="both"/>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lang w:val="en-US" w:eastAsia="zh-CN"/>
              </w:rPr>
              <w:t>5、</w:t>
            </w:r>
            <w:r>
              <w:rPr>
                <w:rFonts w:hint="eastAsia" w:ascii="仿宋_GB2312" w:hAnsi="仿宋_GB2312" w:eastAsia="仿宋_GB2312" w:cs="仿宋_GB2312"/>
                <w:color w:val="333333"/>
                <w:kern w:val="0"/>
                <w:sz w:val="28"/>
                <w:szCs w:val="28"/>
              </w:rPr>
              <w:t>资产管理方面建立了资产管理制度，定期进行了盘点和资产清理，总体执行较好。</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根据部门整体支出绩效评价指标体系，本局20</w:t>
            </w:r>
            <w:r>
              <w:rPr>
                <w:rFonts w:hint="eastAsia" w:ascii="仿宋_GB2312" w:hAnsi="仿宋_GB2312" w:eastAsia="仿宋_GB2312" w:cs="仿宋_GB2312"/>
                <w:color w:val="333333"/>
                <w:kern w:val="0"/>
                <w:sz w:val="28"/>
                <w:szCs w:val="28"/>
                <w:lang w:val="en-US" w:eastAsia="zh-CN"/>
              </w:rPr>
              <w:t>21</w:t>
            </w:r>
            <w:r>
              <w:rPr>
                <w:rFonts w:hint="eastAsia" w:ascii="仿宋_GB2312" w:hAnsi="仿宋_GB2312" w:eastAsia="仿宋_GB2312" w:cs="仿宋_GB2312"/>
                <w:color w:val="333333"/>
                <w:kern w:val="0"/>
                <w:sz w:val="28"/>
                <w:szCs w:val="28"/>
              </w:rPr>
              <w:t>年度评价得分9</w:t>
            </w:r>
            <w:r>
              <w:rPr>
                <w:rFonts w:hint="eastAsia" w:ascii="仿宋_GB2312" w:hAnsi="仿宋_GB2312" w:eastAsia="仿宋_GB2312" w:cs="仿宋_GB2312"/>
                <w:color w:val="333333"/>
                <w:kern w:val="0"/>
                <w:sz w:val="28"/>
                <w:szCs w:val="28"/>
                <w:lang w:val="en-US" w:eastAsia="zh-CN"/>
              </w:rPr>
              <w:t>5</w:t>
            </w:r>
            <w:r>
              <w:rPr>
                <w:rFonts w:hint="eastAsia" w:ascii="仿宋_GB2312" w:hAnsi="仿宋_GB2312" w:eastAsia="仿宋_GB2312" w:cs="仿宋_GB2312"/>
                <w:color w:val="333333"/>
                <w:kern w:val="0"/>
                <w:sz w:val="28"/>
                <w:szCs w:val="28"/>
              </w:rPr>
              <w:t>分。</w:t>
            </w:r>
          </w:p>
          <w:p>
            <w:pPr>
              <w:widowControl/>
              <w:numPr>
                <w:ilvl w:val="0"/>
                <w:numId w:val="0"/>
              </w:numPr>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lang w:eastAsia="zh-CN"/>
              </w:rPr>
              <w:t>（二）</w:t>
            </w:r>
            <w:r>
              <w:rPr>
                <w:rFonts w:hint="eastAsia" w:ascii="仿宋_GB2312" w:hAnsi="仿宋_GB2312" w:eastAsia="仿宋_GB2312" w:cs="仿宋_GB2312"/>
                <w:color w:val="333333"/>
                <w:kern w:val="0"/>
                <w:sz w:val="28"/>
                <w:szCs w:val="28"/>
              </w:rPr>
              <w:t>效率性评价和有效性评价</w:t>
            </w: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both"/>
              <w:textAlignment w:val="auto"/>
              <w:rPr>
                <w:rStyle w:val="20"/>
                <w:rFonts w:hint="eastAsia" w:ascii="仿宋_GB2312" w:hAnsi="仿宋_GB2312" w:eastAsia="仿宋_GB2312"/>
                <w:kern w:val="2"/>
                <w:sz w:val="28"/>
                <w:szCs w:val="28"/>
                <w:lang w:val="en-US" w:eastAsia="zh-CN" w:bidi="ar-SA"/>
              </w:rPr>
            </w:pPr>
            <w:r>
              <w:rPr>
                <w:rStyle w:val="20"/>
                <w:rFonts w:hint="eastAsia" w:ascii="仿宋_GB2312" w:hAnsi="仿宋_GB2312" w:eastAsia="仿宋_GB2312"/>
                <w:kern w:val="2"/>
                <w:sz w:val="28"/>
                <w:szCs w:val="28"/>
                <w:lang w:val="en-US" w:eastAsia="zh-CN" w:bidi="ar-SA"/>
              </w:rPr>
              <w:t>1、全省首创推进企业住所（经营场所）登记承诺制改革。</w:t>
            </w: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both"/>
              <w:textAlignment w:val="auto"/>
              <w:rPr>
                <w:rStyle w:val="20"/>
                <w:rFonts w:hint="eastAsia" w:ascii="仿宋_GB2312" w:hAnsi="仿宋_GB2312" w:eastAsia="仿宋_GB2312"/>
                <w:kern w:val="2"/>
                <w:sz w:val="28"/>
                <w:szCs w:val="28"/>
                <w:lang w:val="en-US" w:eastAsia="zh-CN" w:bidi="ar-SA"/>
              </w:rPr>
            </w:pPr>
            <w:r>
              <w:rPr>
                <w:rStyle w:val="20"/>
                <w:rFonts w:hint="eastAsia" w:ascii="仿宋_GB2312" w:hAnsi="仿宋_GB2312" w:eastAsia="仿宋_GB2312"/>
                <w:kern w:val="2"/>
                <w:sz w:val="28"/>
                <w:szCs w:val="28"/>
                <w:lang w:val="en-US" w:eastAsia="zh-CN" w:bidi="ar-SA"/>
              </w:rPr>
              <w:t>2、截至11月底，全市新设市场主体90145家，增速全省第一，全市实有市场主体430677户，位居全省第二。</w:t>
            </w: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both"/>
              <w:textAlignment w:val="auto"/>
              <w:rPr>
                <w:rStyle w:val="20"/>
                <w:rFonts w:hint="eastAsia" w:ascii="仿宋_GB2312" w:hAnsi="仿宋_GB2312" w:eastAsia="仿宋_GB2312"/>
                <w:kern w:val="2"/>
                <w:sz w:val="28"/>
                <w:szCs w:val="28"/>
                <w:lang w:val="en-US" w:eastAsia="zh-CN" w:bidi="ar-SA"/>
              </w:rPr>
            </w:pPr>
            <w:r>
              <w:rPr>
                <w:rStyle w:val="20"/>
                <w:rFonts w:hint="eastAsia" w:ascii="仿宋_GB2312" w:hAnsi="仿宋_GB2312" w:eastAsia="仿宋_GB2312"/>
                <w:b w:val="0"/>
                <w:bCs w:val="0"/>
                <w:kern w:val="2"/>
                <w:sz w:val="28"/>
                <w:szCs w:val="28"/>
                <w:lang w:val="en-US" w:eastAsia="zh-CN" w:bidi="ar-SA"/>
              </w:rPr>
              <w:t>3、</w:t>
            </w:r>
            <w:r>
              <w:rPr>
                <w:rStyle w:val="20"/>
                <w:rFonts w:ascii="仿宋_GB2312" w:hAnsi="仿宋_GB2312" w:eastAsia="仿宋_GB2312"/>
                <w:b w:val="0"/>
                <w:bCs w:val="0"/>
                <w:kern w:val="2"/>
                <w:sz w:val="28"/>
                <w:szCs w:val="28"/>
                <w:lang w:val="en-US" w:eastAsia="zh-CN" w:bidi="ar-SA"/>
              </w:rPr>
              <w:t>药食同源备案通关新模式</w:t>
            </w:r>
            <w:r>
              <w:rPr>
                <w:rStyle w:val="20"/>
                <w:rFonts w:hint="eastAsia" w:ascii="仿宋_GB2312" w:hAnsi="仿宋_GB2312" w:eastAsia="仿宋_GB2312"/>
                <w:kern w:val="2"/>
                <w:sz w:val="28"/>
                <w:szCs w:val="28"/>
                <w:lang w:val="en-US" w:eastAsia="zh-CN" w:bidi="ar-SA"/>
              </w:rPr>
              <w:t>，被省自贸办推荐参评全省自贸区制度创新典型案例，并</w:t>
            </w:r>
            <w:r>
              <w:rPr>
                <w:rStyle w:val="20"/>
                <w:rFonts w:ascii="仿宋_GB2312" w:hAnsi="仿宋_GB2312" w:eastAsia="仿宋_GB2312"/>
                <w:kern w:val="2"/>
                <w:sz w:val="28"/>
                <w:szCs w:val="28"/>
                <w:lang w:val="en-US" w:eastAsia="zh-CN" w:bidi="ar-SA"/>
              </w:rPr>
              <w:t>在岳阳自贸片区成立一周年巡礼上</w:t>
            </w:r>
            <w:r>
              <w:rPr>
                <w:rStyle w:val="20"/>
                <w:rFonts w:hint="eastAsia" w:ascii="仿宋_GB2312" w:hAnsi="仿宋_GB2312" w:eastAsia="仿宋_GB2312"/>
                <w:kern w:val="2"/>
                <w:sz w:val="28"/>
                <w:szCs w:val="28"/>
                <w:lang w:val="en-US" w:eastAsia="zh-CN" w:bidi="ar-SA"/>
              </w:rPr>
              <w:t>作为</w:t>
            </w:r>
            <w:r>
              <w:rPr>
                <w:rStyle w:val="20"/>
                <w:rFonts w:ascii="仿宋_GB2312" w:hAnsi="仿宋_GB2312" w:eastAsia="仿宋_GB2312"/>
                <w:kern w:val="2"/>
                <w:sz w:val="28"/>
                <w:szCs w:val="28"/>
                <w:lang w:val="en-US" w:eastAsia="zh-CN" w:bidi="ar-SA"/>
              </w:rPr>
              <w:t>15项“首创性”创新成果之一</w:t>
            </w:r>
            <w:r>
              <w:rPr>
                <w:rStyle w:val="20"/>
                <w:rFonts w:hint="eastAsia" w:ascii="仿宋_GB2312" w:hAnsi="仿宋_GB2312" w:eastAsia="仿宋_GB2312"/>
                <w:kern w:val="2"/>
                <w:sz w:val="28"/>
                <w:szCs w:val="28"/>
                <w:lang w:val="en-US" w:eastAsia="zh-CN" w:bidi="ar-SA"/>
              </w:rPr>
              <w:t>获</w:t>
            </w:r>
            <w:r>
              <w:rPr>
                <w:rStyle w:val="20"/>
                <w:rFonts w:ascii="仿宋_GB2312" w:hAnsi="仿宋_GB2312" w:eastAsia="仿宋_GB2312"/>
                <w:kern w:val="2"/>
                <w:sz w:val="28"/>
                <w:szCs w:val="28"/>
                <w:lang w:val="en-US" w:eastAsia="zh-CN" w:bidi="ar-SA"/>
              </w:rPr>
              <w:t>报道</w:t>
            </w:r>
            <w:r>
              <w:rPr>
                <w:rStyle w:val="20"/>
                <w:rFonts w:hint="eastAsia" w:ascii="仿宋_GB2312" w:hAnsi="仿宋_GB2312" w:eastAsia="仿宋_GB2312"/>
                <w:kern w:val="2"/>
                <w:sz w:val="28"/>
                <w:szCs w:val="28"/>
                <w:lang w:val="en-US" w:eastAsia="zh-CN" w:bidi="ar-SA"/>
              </w:rPr>
              <w:t>。</w:t>
            </w: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both"/>
              <w:textAlignment w:val="auto"/>
              <w:rPr>
                <w:rStyle w:val="20"/>
                <w:rFonts w:hint="eastAsia" w:ascii="仿宋_GB2312" w:hAnsi="仿宋_GB2312" w:eastAsia="仿宋_GB2312"/>
                <w:kern w:val="2"/>
                <w:sz w:val="28"/>
                <w:szCs w:val="28"/>
                <w:lang w:val="en-US" w:eastAsia="zh-CN" w:bidi="ar-SA"/>
              </w:rPr>
            </w:pPr>
            <w:r>
              <w:rPr>
                <w:rStyle w:val="20"/>
                <w:rFonts w:hint="eastAsia" w:ascii="仿宋_GB2312" w:hAnsi="仿宋_GB2312" w:eastAsia="仿宋_GB2312"/>
                <w:kern w:val="2"/>
                <w:sz w:val="28"/>
                <w:szCs w:val="28"/>
                <w:lang w:val="en-US" w:eastAsia="zh-CN" w:bidi="ar-SA"/>
              </w:rPr>
              <w:t>4、颁发全省首张“食品经营（仅销售预包装食品）”备案制营业执照。</w:t>
            </w: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both"/>
              <w:textAlignment w:val="auto"/>
              <w:rPr>
                <w:rStyle w:val="20"/>
                <w:rFonts w:hint="eastAsia" w:ascii="仿宋_GB2312" w:hAnsi="仿宋_GB2312" w:eastAsia="仿宋_GB2312"/>
                <w:kern w:val="2"/>
                <w:sz w:val="28"/>
                <w:szCs w:val="28"/>
                <w:lang w:val="en-US" w:eastAsia="zh-CN" w:bidi="ar-SA"/>
              </w:rPr>
            </w:pPr>
            <w:r>
              <w:rPr>
                <w:rStyle w:val="20"/>
                <w:rFonts w:hint="eastAsia" w:ascii="仿宋_GB2312" w:hAnsi="仿宋_GB2312" w:eastAsia="仿宋_GB2312"/>
                <w:kern w:val="2"/>
                <w:sz w:val="28"/>
                <w:szCs w:val="28"/>
                <w:lang w:val="en-US" w:eastAsia="zh-CN" w:bidi="ar-SA"/>
              </w:rPr>
              <w:t>5、特种设备安全责任保险工作推进排名全省第一。</w:t>
            </w:r>
          </w:p>
          <w:p>
            <w:pPr>
              <w:keepNext w:val="0"/>
              <w:keepLines w:val="0"/>
              <w:pageBreakBefore w:val="0"/>
              <w:widowControl/>
              <w:kinsoku/>
              <w:wordWrap/>
              <w:overflowPunct/>
              <w:topLinePunct w:val="0"/>
              <w:autoSpaceDE/>
              <w:autoSpaceDN/>
              <w:bidi w:val="0"/>
              <w:adjustRightInd/>
              <w:snapToGrid/>
              <w:spacing w:line="240" w:lineRule="auto"/>
              <w:ind w:firstLine="560" w:firstLineChars="200"/>
              <w:jc w:val="both"/>
              <w:textAlignment w:val="auto"/>
              <w:rPr>
                <w:rStyle w:val="20"/>
                <w:rFonts w:hint="eastAsia" w:ascii="仿宋_GB2312" w:hAnsi="仿宋_GB2312" w:eastAsia="仿宋_GB2312"/>
                <w:kern w:val="2"/>
                <w:sz w:val="28"/>
                <w:szCs w:val="28"/>
                <w:lang w:val="en-US" w:eastAsia="zh-CN" w:bidi="ar-SA"/>
              </w:rPr>
            </w:pPr>
            <w:r>
              <w:rPr>
                <w:rStyle w:val="20"/>
                <w:rFonts w:hint="eastAsia" w:ascii="仿宋_GB2312" w:hAnsi="仿宋_GB2312" w:eastAsia="仿宋_GB2312"/>
                <w:kern w:val="2"/>
                <w:sz w:val="28"/>
                <w:szCs w:val="28"/>
                <w:lang w:val="en-US" w:eastAsia="zh-CN" w:bidi="ar-SA"/>
              </w:rPr>
              <w:t>6、我市药品生产企业共取得药品注册批准文号11个，一致性评价证书8张，位居全省前列。</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color w:val="333333"/>
                <w:kern w:val="0"/>
                <w:sz w:val="28"/>
                <w:szCs w:val="28"/>
              </w:rPr>
            </w:pPr>
            <w:r>
              <w:rPr>
                <w:rFonts w:hint="eastAsia" w:ascii="黑体" w:hAnsi="黑体" w:eastAsia="黑体" w:cs="黑体"/>
                <w:bCs/>
                <w:sz w:val="28"/>
                <w:szCs w:val="28"/>
              </w:rPr>
              <w:t>五、存在的主要问题</w:t>
            </w:r>
          </w:p>
          <w:p>
            <w:pPr>
              <w:widowControl/>
              <w:spacing w:line="480" w:lineRule="auto"/>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color w:val="333333"/>
                <w:kern w:val="0"/>
                <w:sz w:val="28"/>
                <w:szCs w:val="28"/>
                <w:lang w:val="en-US" w:eastAsia="zh-CN"/>
              </w:rPr>
              <w:t>1</w:t>
            </w:r>
            <w:r>
              <w:rPr>
                <w:rFonts w:hint="eastAsia" w:ascii="仿宋_GB2312" w:hAnsi="仿宋_GB2312" w:eastAsia="仿宋_GB2312" w:cs="仿宋_GB2312"/>
                <w:color w:val="333333"/>
                <w:kern w:val="0"/>
                <w:sz w:val="28"/>
                <w:szCs w:val="28"/>
              </w:rPr>
              <w:t>、</w:t>
            </w:r>
            <w:r>
              <w:rPr>
                <w:rFonts w:hint="eastAsia" w:ascii="仿宋_GB2312" w:hAnsi="仿宋_GB2312" w:eastAsia="仿宋_GB2312" w:cs="仿宋_GB2312"/>
                <w:sz w:val="28"/>
                <w:szCs w:val="28"/>
              </w:rPr>
              <w:t>预算编制与实际支出项目存在差异，预算编制有待更严格的执行</w:t>
            </w:r>
            <w:r>
              <w:rPr>
                <w:rFonts w:hint="eastAsia" w:ascii="仿宋_GB2312" w:hAnsi="仿宋_GB2312" w:eastAsia="仿宋_GB2312" w:cs="仿宋_GB2312"/>
                <w:sz w:val="28"/>
                <w:szCs w:val="28"/>
                <w:lang w:eastAsia="zh-CN"/>
              </w:rPr>
              <w:t>。</w:t>
            </w:r>
          </w:p>
          <w:p>
            <w:pPr>
              <w:widowControl/>
              <w:spacing w:line="480" w:lineRule="auto"/>
              <w:ind w:firstLine="560" w:firstLineChars="200"/>
              <w:rPr>
                <w:rFonts w:hint="default" w:ascii="仿宋_GB2312" w:hAnsi="仿宋_GB2312" w:eastAsia="仿宋_GB2312" w:cs="仿宋_GB2312"/>
                <w:color w:val="333333"/>
                <w:kern w:val="0"/>
                <w:sz w:val="28"/>
                <w:szCs w:val="28"/>
                <w:lang w:val="en-US" w:eastAsia="zh-CN"/>
              </w:rPr>
            </w:pPr>
            <w:r>
              <w:rPr>
                <w:rFonts w:hint="eastAsia" w:ascii="仿宋_GB2312" w:hAnsi="仿宋_GB2312" w:eastAsia="仿宋_GB2312" w:cs="仿宋_GB2312"/>
                <w:color w:val="333333"/>
                <w:kern w:val="0"/>
                <w:sz w:val="28"/>
                <w:szCs w:val="28"/>
                <w:lang w:val="en-US" w:eastAsia="zh-CN"/>
              </w:rPr>
              <w:t>2、固定资产管理不够规范，处置程序有待加强。</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黑体" w:hAnsi="黑体" w:eastAsia="黑体" w:cs="黑体"/>
                <w:bCs/>
                <w:sz w:val="28"/>
                <w:szCs w:val="28"/>
              </w:rPr>
            </w:pPr>
            <w:r>
              <w:rPr>
                <w:rFonts w:hint="eastAsia" w:ascii="黑体" w:hAnsi="黑体" w:eastAsia="黑体" w:cs="黑体"/>
                <w:bCs/>
                <w:sz w:val="28"/>
                <w:szCs w:val="28"/>
                <w:lang w:eastAsia="zh-CN"/>
              </w:rPr>
              <w:t>六、</w:t>
            </w:r>
            <w:r>
              <w:rPr>
                <w:rFonts w:hint="eastAsia" w:ascii="黑体" w:hAnsi="黑体" w:eastAsia="黑体" w:cs="黑体"/>
                <w:bCs/>
                <w:sz w:val="28"/>
                <w:szCs w:val="28"/>
              </w:rPr>
              <w:t>改进措施和建议</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1、</w:t>
            </w:r>
            <w:r>
              <w:rPr>
                <w:rFonts w:hint="eastAsia" w:ascii="仿宋_GB2312" w:hAnsi="仿宋_GB2312" w:eastAsia="仿宋_GB2312" w:cs="仿宋_GB2312"/>
                <w:sz w:val="28"/>
                <w:szCs w:val="28"/>
              </w:rPr>
              <w:t>今后工作中，按照预算规定的项目和用途严格财务审计，经费支出严格按预算规定项目的财务支出内容进行财务预算，在预算金额内严控费用支出。推动建立过紧日子的长效机制。推进预算一体化系统建设，使预算管理水平更上台阶。</w:t>
            </w:r>
          </w:p>
          <w:p>
            <w:pPr>
              <w:numPr>
                <w:ilvl w:val="0"/>
                <w:numId w:val="0"/>
              </w:numPr>
              <w:ind w:leftChars="0" w:firstLine="560" w:firstLineChars="200"/>
              <w:rPr>
                <w:rFonts w:hint="eastAsia" w:ascii="仿宋_GB2312" w:hAnsi="仿宋_GB2312" w:eastAsia="仿宋_GB2312" w:cs="仿宋_GB2312"/>
                <w:color w:val="333333"/>
                <w:kern w:val="0"/>
                <w:sz w:val="28"/>
                <w:szCs w:val="28"/>
                <w:lang w:eastAsia="zh-CN"/>
              </w:rPr>
            </w:pPr>
            <w:r>
              <w:rPr>
                <w:rFonts w:hint="eastAsia" w:ascii="仿宋_GB2312" w:hAnsi="仿宋_GB2312" w:eastAsia="仿宋_GB2312" w:cs="仿宋_GB2312"/>
                <w:color w:val="333333"/>
                <w:kern w:val="0"/>
                <w:sz w:val="28"/>
                <w:szCs w:val="28"/>
                <w:lang w:val="en-US" w:eastAsia="zh-CN"/>
              </w:rPr>
              <w:t>2、</w:t>
            </w:r>
            <w:r>
              <w:rPr>
                <w:rFonts w:hint="eastAsia" w:ascii="仿宋_GB2312" w:hAnsi="仿宋_GB2312" w:eastAsia="仿宋_GB2312" w:cs="仿宋_GB2312"/>
                <w:color w:val="333333"/>
                <w:kern w:val="0"/>
                <w:sz w:val="28"/>
                <w:szCs w:val="28"/>
                <w:lang w:eastAsia="zh-CN"/>
              </w:rPr>
              <w:t>加强固定资产管理，提高固定资产利用率，对调拨和处置的资产及时进行账务处理，做到账实相符。</w:t>
            </w:r>
          </w:p>
          <w:p>
            <w:pPr>
              <w:spacing w:line="560" w:lineRule="exact"/>
              <w:ind w:firstLine="5880" w:firstLineChars="2100"/>
              <w:rPr>
                <w:rFonts w:hint="eastAsia" w:ascii="黑体" w:hAnsi="黑体" w:eastAsia="黑体" w:cs="黑体"/>
                <w:bCs/>
                <w:sz w:val="28"/>
                <w:szCs w:val="28"/>
              </w:rPr>
            </w:pPr>
            <w:r>
              <w:rPr>
                <w:rFonts w:hint="eastAsia" w:ascii="仿宋_GB2312" w:hAnsi="仿宋_GB2312" w:eastAsia="仿宋_GB2312" w:cs="仿宋_GB2312"/>
                <w:color w:val="333333"/>
                <w:kern w:val="0"/>
                <w:sz w:val="28"/>
                <w:szCs w:val="28"/>
                <w:lang w:val="en-US" w:eastAsia="zh-CN"/>
              </w:rPr>
              <w:t>二0二二年五月三十日</w:t>
            </w:r>
          </w:p>
          <w:p>
            <w:pPr>
              <w:spacing w:line="560" w:lineRule="exact"/>
              <w:ind w:firstLine="560" w:firstLineChars="200"/>
              <w:rPr>
                <w:rFonts w:ascii="黑体" w:hAnsi="黑体" w:eastAsia="黑体" w:cs="黑体"/>
                <w:bCs/>
                <w:sz w:val="28"/>
                <w:szCs w:val="28"/>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 w:lineRule="atLeast"/>
              <w:ind w:left="0" w:right="0"/>
              <w:jc w:val="both"/>
            </w:pPr>
            <w: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 w:lineRule="atLeast"/>
              <w:ind w:left="0" w:right="0"/>
              <w:jc w:val="both"/>
            </w:pPr>
            <w: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 w:lineRule="atLeast"/>
              <w:ind w:left="0" w:right="0"/>
              <w:jc w:val="both"/>
            </w:pPr>
            <w:r>
              <w:t> </w:t>
            </w:r>
          </w:p>
          <w:p>
            <w:pPr>
              <w:rPr>
                <w:rFonts w:eastAsia="楷体_GB2312"/>
                <w:bCs/>
                <w:sz w:val="28"/>
                <w:szCs w:val="28"/>
              </w:rPr>
            </w:pPr>
          </w:p>
        </w:tc>
      </w:tr>
    </w:tbl>
    <w:p>
      <w:pPr>
        <w:spacing w:line="348" w:lineRule="auto"/>
        <w:rPr>
          <w:rFonts w:eastAsia="楷体_GB2312"/>
          <w:bCs/>
          <w:sz w:val="28"/>
          <w:szCs w:val="28"/>
        </w:rPr>
      </w:pPr>
    </w:p>
    <w:p>
      <w:pPr>
        <w:spacing w:line="348" w:lineRule="auto"/>
        <w:rPr>
          <w:rFonts w:eastAsia="黑体" w:cs="黑体"/>
          <w:bCs/>
          <w:sz w:val="32"/>
          <w:szCs w:val="32"/>
        </w:rPr>
      </w:pPr>
      <w:r>
        <w:rPr>
          <w:rFonts w:eastAsia="楷体_GB2312"/>
          <w:bCs/>
          <w:sz w:val="28"/>
          <w:szCs w:val="28"/>
        </w:rPr>
        <w:br w:type="page"/>
      </w:r>
    </w:p>
    <w:p>
      <w:pPr>
        <w:rPr>
          <w:rFonts w:ascii="黑体" w:hAnsi="黑体" w:eastAsia="黑体"/>
          <w:sz w:val="32"/>
          <w:szCs w:val="32"/>
        </w:rPr>
      </w:pPr>
    </w:p>
    <w:p>
      <w:pPr>
        <w:rPr>
          <w:rFonts w:ascii="黑体" w:hAnsi="黑体" w:eastAsia="黑体"/>
          <w:sz w:val="32"/>
          <w:szCs w:val="32"/>
        </w:rPr>
      </w:pPr>
      <w:r>
        <w:rPr>
          <w:rFonts w:ascii="黑体" w:hAnsi="黑体" w:eastAsia="黑体"/>
          <w:sz w:val="32"/>
          <w:szCs w:val="32"/>
        </w:rPr>
        <w:br w:type="page"/>
      </w:r>
      <w:r>
        <w:rPr>
          <w:rFonts w:hint="eastAsia" w:ascii="黑体" w:hAnsi="黑体" w:eastAsia="黑体"/>
          <w:sz w:val="32"/>
          <w:szCs w:val="32"/>
        </w:rPr>
        <w:t>附件3-1</w:t>
      </w:r>
    </w:p>
    <w:p>
      <w:pPr>
        <w:spacing w:beforeLines="100" w:afterLines="100"/>
        <w:jc w:val="center"/>
        <w:rPr>
          <w:rFonts w:ascii="方正小标宋简体" w:eastAsia="方正小标宋简体"/>
          <w:sz w:val="38"/>
          <w:szCs w:val="38"/>
        </w:rPr>
      </w:pPr>
      <w:r>
        <w:rPr>
          <w:rFonts w:hint="eastAsia" w:ascii="方正小标宋简体" w:eastAsia="方正小标宋简体"/>
          <w:sz w:val="38"/>
          <w:szCs w:val="38"/>
        </w:rPr>
        <w:t>部门整体支出绩效评价评分表（参考样表）</w:t>
      </w:r>
    </w:p>
    <w:tbl>
      <w:tblPr>
        <w:tblStyle w:val="7"/>
        <w:tblW w:w="0" w:type="auto"/>
        <w:jc w:val="center"/>
        <w:tblLayout w:type="fixed"/>
        <w:tblCellMar>
          <w:top w:w="0" w:type="dxa"/>
          <w:left w:w="108" w:type="dxa"/>
          <w:bottom w:w="0" w:type="dxa"/>
          <w:right w:w="108" w:type="dxa"/>
        </w:tblCellMar>
      </w:tblPr>
      <w:tblGrid>
        <w:gridCol w:w="976"/>
        <w:gridCol w:w="939"/>
        <w:gridCol w:w="1389"/>
        <w:gridCol w:w="4171"/>
        <w:gridCol w:w="619"/>
        <w:gridCol w:w="720"/>
        <w:gridCol w:w="1080"/>
      </w:tblGrid>
      <w:tr>
        <w:tblPrEx>
          <w:tblCellMar>
            <w:top w:w="0" w:type="dxa"/>
            <w:left w:w="108" w:type="dxa"/>
            <w:bottom w:w="0" w:type="dxa"/>
            <w:right w:w="108" w:type="dxa"/>
          </w:tblCellMar>
        </w:tblPrEx>
        <w:trPr>
          <w:trHeight w:val="525" w:hRule="atLeast"/>
          <w:jc w:val="center"/>
        </w:trPr>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一级指标</w:t>
            </w:r>
          </w:p>
        </w:tc>
        <w:tc>
          <w:tcPr>
            <w:tcW w:w="93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二级指标</w:t>
            </w:r>
          </w:p>
        </w:tc>
        <w:tc>
          <w:tcPr>
            <w:tcW w:w="138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三级指标</w:t>
            </w:r>
          </w:p>
        </w:tc>
        <w:tc>
          <w:tcPr>
            <w:tcW w:w="417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评分标准</w:t>
            </w:r>
          </w:p>
        </w:tc>
        <w:tc>
          <w:tcPr>
            <w:tcW w:w="61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自评得分</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spacing w:val="-10"/>
                <w:kern w:val="0"/>
                <w:sz w:val="18"/>
                <w:szCs w:val="18"/>
              </w:rPr>
            </w:pPr>
            <w:r>
              <w:rPr>
                <w:rFonts w:hint="eastAsia" w:ascii="仿宋_GB2312" w:hAnsi="宋体" w:eastAsia="仿宋_GB2312" w:cs="宋体"/>
                <w:b/>
                <w:bCs/>
                <w:spacing w:val="-10"/>
                <w:kern w:val="0"/>
                <w:sz w:val="18"/>
                <w:szCs w:val="18"/>
              </w:rPr>
              <w:t>扣分原因和其他说明</w:t>
            </w:r>
          </w:p>
        </w:tc>
      </w:tr>
      <w:tr>
        <w:tblPrEx>
          <w:tblCellMar>
            <w:top w:w="0" w:type="dxa"/>
            <w:left w:w="108" w:type="dxa"/>
            <w:bottom w:w="0" w:type="dxa"/>
            <w:right w:w="108" w:type="dxa"/>
          </w:tblCellMar>
        </w:tblPrEx>
        <w:trPr>
          <w:trHeight w:val="559"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投入</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预算配置</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财政供养人员</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控制率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以100%为标准。在职人员控制率</w:t>
            </w:r>
            <w:r>
              <w:rPr>
                <w:rFonts w:hint="eastAsia" w:ascii="宋体" w:hAnsi="宋体" w:cs="宋体"/>
                <w:kern w:val="0"/>
                <w:sz w:val="18"/>
                <w:szCs w:val="18"/>
              </w:rPr>
              <w:t>≦</w:t>
            </w:r>
            <w:r>
              <w:rPr>
                <w:rFonts w:hint="eastAsia" w:ascii="仿宋_GB2312" w:hAnsi="宋体" w:eastAsia="仿宋_GB2312" w:cs="宋体"/>
                <w:kern w:val="0"/>
                <w:sz w:val="18"/>
                <w:szCs w:val="18"/>
              </w:rPr>
              <w:t>100%，计5分；每超过一个百分点扣0.5分，扣完为止。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8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“三公经费”</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变动率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“三公经费”变动率</w:t>
            </w:r>
            <w:r>
              <w:rPr>
                <w:rFonts w:hint="eastAsia" w:ascii="宋体" w:hAnsi="宋体" w:cs="宋体"/>
                <w:kern w:val="0"/>
                <w:sz w:val="18"/>
                <w:szCs w:val="18"/>
              </w:rPr>
              <w:t>≦</w:t>
            </w:r>
            <w:r>
              <w:rPr>
                <w:rFonts w:hint="eastAsia" w:ascii="仿宋_GB2312" w:hAnsi="宋体" w:eastAsia="仿宋_GB2312" w:cs="宋体"/>
                <w:kern w:val="0"/>
                <w:sz w:val="18"/>
                <w:szCs w:val="18"/>
              </w:rPr>
              <w:t>0,计5分；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“三公经费”＞0，每超过一个百分点扣0.5分，扣完为止。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37"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重点支出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安排率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重点支出安排率≥90%，计5分；80%（含）-90%，计4分；70%（含）-80%，计3分；60%（含）-70%，计2分；低于60%不得分。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76"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过程</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（40分）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预算执行</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预算调整率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预算调整率=0，计3分；0-10%（含），计2分；10-20%（含），计1分；20-30%（含），计0.5分；大于30%不得分。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2</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1039"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支付进度</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春节前下达全部专项资金的50%；6月底前所有专项资金指标全部下达完。</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每出现一个专项未按进度完成资金下达扣0.5分，扣完为止。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2</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619"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资金结余</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无结余，3分；有结余，但不超过上年结转，2分；结余超过上年结转，不得分。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495"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“三公经费”</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控制率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以100%为标准。三公经费控制率</w:t>
            </w:r>
            <w:r>
              <w:rPr>
                <w:rFonts w:hint="eastAsia" w:ascii="宋体" w:hAnsi="宋体" w:cs="宋体"/>
                <w:kern w:val="0"/>
                <w:sz w:val="18"/>
                <w:szCs w:val="18"/>
              </w:rPr>
              <w:t>≦</w:t>
            </w:r>
            <w:r>
              <w:rPr>
                <w:rFonts w:hint="eastAsia" w:ascii="仿宋_GB2312" w:hAnsi="宋体" w:eastAsia="仿宋_GB2312" w:cs="宋体"/>
                <w:kern w:val="0"/>
                <w:sz w:val="18"/>
                <w:szCs w:val="18"/>
              </w:rPr>
              <w:t>100%，计6分；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每超过一个百分点扣1分，扣完为止。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6</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6</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915"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管理制度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健全性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①已制定或具有预算资金管理办法，内部财务管理制度、会计核算制度等管理制度，1分；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②相关管理制度合法、合规、完整，1分；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③相关管理制度得到有效执行，1分。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1802"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资金使用</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合规性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①支出符合国家财经法规和财务管理制度规定以及有关专项资金管理办法的规定；</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②资金拨付有完整的审批程序和手续；</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③项目支出按规定经过评估论证；</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④支出符合部门预算批复的用途；</w:t>
            </w:r>
            <w:r>
              <w:rPr>
                <w:rFonts w:hint="eastAsia" w:ascii="仿宋_GB2312" w:hAnsi="宋体" w:eastAsia="仿宋_GB2312" w:cs="宋体"/>
                <w:kern w:val="0"/>
                <w:sz w:val="18"/>
                <w:szCs w:val="18"/>
              </w:rPr>
              <w:br w:type="textWrapping"/>
            </w:r>
            <w:r>
              <w:rPr>
                <w:rFonts w:hint="eastAsia" w:ascii="仿宋_GB2312" w:hAnsi="宋体" w:eastAsia="仿宋_GB2312" w:cs="宋体"/>
                <w:spacing w:val="-6"/>
                <w:kern w:val="0"/>
                <w:sz w:val="18"/>
                <w:szCs w:val="18"/>
              </w:rPr>
              <w:t>⑤资金使用无截留、挤占、挪用、虚列支出等情况。</w:t>
            </w:r>
            <w:r>
              <w:rPr>
                <w:rFonts w:hint="eastAsia" w:ascii="仿宋_GB2312" w:hAnsi="宋体" w:eastAsia="仿宋_GB2312" w:cs="宋体"/>
                <w:spacing w:val="-6"/>
                <w:kern w:val="0"/>
                <w:sz w:val="18"/>
                <w:szCs w:val="18"/>
              </w:rPr>
              <w:br w:type="textWrapping"/>
            </w:r>
            <w:r>
              <w:rPr>
                <w:rFonts w:hint="eastAsia" w:ascii="仿宋_GB2312" w:hAnsi="宋体" w:eastAsia="仿宋_GB2312" w:cs="宋体"/>
                <w:spacing w:val="-6"/>
                <w:kern w:val="0"/>
                <w:sz w:val="18"/>
                <w:szCs w:val="18"/>
              </w:rPr>
              <w:t>以上情况每出现一例不符合要求的扣1分，扣完为止。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2</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45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预决算信息公开性和完善性</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①按规定内容公开预决算信息，1分；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②按规定时限公开预决算信息，0.5分；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③基础数据信息和会计信息资料真实，0.5分；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④基础数据信息和会计信息资料完整，0.5分；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⑤基础数据信息和汇集信息资料准确，0.5分。</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57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政府采购</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执行率</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政府采购执行率等于100%的，得3分；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每减少一个百分点，扣0.2分，扣完为止。</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3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公务卡刷卡率</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公务卡刷卡率达50％以上的，得3分。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每减少一个百分点，扣0.2分，扣完为止。</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735"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（10分）</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管理制度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健全性</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①已制定或具有资产管理制度，且相关资产管理制度合法、合规、完整，2分；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②相关资产管理制度得到有效执行，1分。</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bl>
    <w:p/>
    <w:tbl>
      <w:tblPr>
        <w:tblStyle w:val="7"/>
        <w:tblW w:w="0" w:type="auto"/>
        <w:jc w:val="center"/>
        <w:tblLayout w:type="fixed"/>
        <w:tblCellMar>
          <w:top w:w="0" w:type="dxa"/>
          <w:left w:w="108" w:type="dxa"/>
          <w:bottom w:w="0" w:type="dxa"/>
          <w:right w:w="108" w:type="dxa"/>
        </w:tblCellMar>
      </w:tblPr>
      <w:tblGrid>
        <w:gridCol w:w="976"/>
        <w:gridCol w:w="939"/>
        <w:gridCol w:w="1389"/>
        <w:gridCol w:w="4171"/>
        <w:gridCol w:w="619"/>
        <w:gridCol w:w="720"/>
        <w:gridCol w:w="1080"/>
      </w:tblGrid>
      <w:tr>
        <w:tblPrEx>
          <w:tblCellMar>
            <w:top w:w="0" w:type="dxa"/>
            <w:left w:w="108" w:type="dxa"/>
            <w:bottom w:w="0" w:type="dxa"/>
            <w:right w:w="108" w:type="dxa"/>
          </w:tblCellMar>
        </w:tblPrEx>
        <w:trPr>
          <w:trHeight w:val="609" w:hRule="atLeast"/>
          <w:jc w:val="center"/>
        </w:trPr>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一级指标</w:t>
            </w:r>
          </w:p>
        </w:tc>
        <w:tc>
          <w:tcPr>
            <w:tcW w:w="93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二级指标</w:t>
            </w:r>
          </w:p>
        </w:tc>
        <w:tc>
          <w:tcPr>
            <w:tcW w:w="138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三级指标</w:t>
            </w:r>
          </w:p>
        </w:tc>
        <w:tc>
          <w:tcPr>
            <w:tcW w:w="417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评分标准</w:t>
            </w:r>
          </w:p>
        </w:tc>
        <w:tc>
          <w:tcPr>
            <w:tcW w:w="61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自评得分</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spacing w:val="-12"/>
                <w:kern w:val="0"/>
                <w:sz w:val="18"/>
                <w:szCs w:val="18"/>
              </w:rPr>
            </w:pPr>
            <w:r>
              <w:rPr>
                <w:rFonts w:hint="eastAsia" w:ascii="仿宋_GB2312" w:hAnsi="宋体" w:eastAsia="仿宋_GB2312" w:cs="宋体"/>
                <w:b/>
                <w:bCs/>
                <w:spacing w:val="-12"/>
                <w:kern w:val="0"/>
                <w:sz w:val="18"/>
                <w:szCs w:val="18"/>
              </w:rPr>
              <w:t>扣分原因和其他说明</w:t>
            </w:r>
          </w:p>
        </w:tc>
      </w:tr>
      <w:tr>
        <w:tblPrEx>
          <w:tblCellMar>
            <w:top w:w="0" w:type="dxa"/>
            <w:left w:w="108" w:type="dxa"/>
            <w:bottom w:w="0" w:type="dxa"/>
            <w:right w:w="108" w:type="dxa"/>
          </w:tblCellMar>
        </w:tblPrEx>
        <w:trPr>
          <w:trHeight w:val="2011" w:hRule="atLeast"/>
          <w:jc w:val="center"/>
        </w:trPr>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过程</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（40分）</w:t>
            </w:r>
          </w:p>
        </w:tc>
        <w:tc>
          <w:tcPr>
            <w:tcW w:w="93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（10分）</w:t>
            </w:r>
          </w:p>
        </w:tc>
        <w:tc>
          <w:tcPr>
            <w:tcW w:w="138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安全性</w:t>
            </w:r>
          </w:p>
        </w:tc>
        <w:tc>
          <w:tcPr>
            <w:tcW w:w="417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①资产保存完整；</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②资产配置合理；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③资产处置规范；</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④资产账务管理合规，帐实相符；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⑤资产有偿使用及处置收入及时足额上缴；</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以上情况每出现一例不符合有关要求的扣1分，扣完为止。</w:t>
            </w:r>
          </w:p>
        </w:tc>
        <w:tc>
          <w:tcPr>
            <w:tcW w:w="61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774"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固定资产</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利用率</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每低于100%一个百分点扣0.1分，扣完为止。</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2</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产出（25分）</w:t>
            </w:r>
          </w:p>
        </w:tc>
        <w:tc>
          <w:tcPr>
            <w:tcW w:w="93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职责履行</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（25分）</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推进全面小康建设指标任务完成情况</w:t>
            </w:r>
          </w:p>
        </w:tc>
        <w:tc>
          <w:tcPr>
            <w:tcW w:w="4171"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此项指标根据《中共岳阳市委岳阳市人民政府关于做好岳阳市加快推进湖南发展新增长极建设2015年度综合绩效考评工作的通知》（岳发〔2015〕11号）和《中共岳阳市委岳阳市人民政府关于做好2015年度综合绩效考评工作的补充通知》（岳发〔2015〕19号）附件2第一大项“工作实绩指标”（700分）考核内容设置。</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部门单位应根据部门实际进行调整，并将其细化成相应的个性化指标。</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建设湖南新增极目标任务完成情况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7</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7</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《政府工作报告》目标任务完成情况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8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省市重点民生实事完成情况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2</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省市重点工程和重大项目建设完成情况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2</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8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其他工作实绩指标完成情况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4</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效果</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（20分）</w:t>
            </w:r>
          </w:p>
        </w:tc>
        <w:tc>
          <w:tcPr>
            <w:tcW w:w="93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履职效益</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（20分）</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经济效益</w:t>
            </w:r>
          </w:p>
        </w:tc>
        <w:tc>
          <w:tcPr>
            <w:tcW w:w="4171"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此三项指标为设置部门整体支出绩效评价指标时必须考虑的共性要素。</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部门单位应根据部门实际并结合部门整体支出绩效目标设立情况有选择的进行设置，并将其细化为相应的个性化指标。</w:t>
            </w:r>
          </w:p>
        </w:tc>
        <w:tc>
          <w:tcPr>
            <w:tcW w:w="61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社会效益</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6</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生态效益</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4</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1113"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社会公众或服务对象满意度</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95%（含）以上计5分；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85%（含）-95%，计3分；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75%（含）-85%，计1分；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低于75%计0分。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70" w:hRule="atLeast"/>
          <w:jc w:val="center"/>
        </w:trPr>
        <w:tc>
          <w:tcPr>
            <w:tcW w:w="97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总分</w:t>
            </w:r>
          </w:p>
        </w:tc>
        <w:tc>
          <w:tcPr>
            <w:tcW w:w="93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417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spacing w:val="-8"/>
                <w:kern w:val="0"/>
                <w:sz w:val="18"/>
                <w:szCs w:val="18"/>
              </w:rPr>
            </w:pPr>
            <w:r>
              <w:rPr>
                <w:rFonts w:hint="eastAsia" w:ascii="仿宋_GB2312" w:hAnsi="宋体" w:eastAsia="仿宋_GB2312" w:cs="宋体"/>
                <w:b/>
                <w:bCs/>
                <w:spacing w:val="-8"/>
                <w:kern w:val="0"/>
                <w:sz w:val="18"/>
                <w:szCs w:val="18"/>
              </w:rPr>
              <w:t>100</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b/>
                <w:bCs/>
                <w:kern w:val="0"/>
                <w:sz w:val="18"/>
                <w:szCs w:val="18"/>
                <w:lang w:val="en-US" w:eastAsia="zh-CN"/>
              </w:rPr>
            </w:pPr>
            <w:r>
              <w:rPr>
                <w:rFonts w:hint="eastAsia" w:ascii="仿宋_GB2312" w:hAnsi="宋体" w:eastAsia="仿宋_GB2312" w:cs="宋体"/>
                <w:b/>
                <w:bCs/>
                <w:kern w:val="0"/>
                <w:sz w:val="18"/>
                <w:szCs w:val="18"/>
                <w:lang w:val="en-US" w:eastAsia="zh-CN"/>
              </w:rPr>
              <w:t>95</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r>
    </w:tbl>
    <w:p>
      <w:pPr>
        <w:spacing w:beforeLines="50"/>
        <w:rPr>
          <w:rFonts w:ascii="仿宋_GB2312" w:hAnsi="宋体" w:eastAsia="仿宋_GB2312" w:cs="宋体"/>
          <w:kern w:val="0"/>
          <w:szCs w:val="21"/>
        </w:rPr>
      </w:pPr>
      <w:r>
        <w:rPr>
          <w:rFonts w:hint="eastAsia" w:ascii="仿宋_GB2312" w:hAnsi="宋体" w:eastAsia="仿宋_GB2312" w:cs="宋体"/>
          <w:kern w:val="0"/>
          <w:szCs w:val="21"/>
        </w:rPr>
        <w:t>备注：如部门（单位）根据本部门实际情况修改调整了附件3《部门整体支出绩效评价指标体系（参考样表）》，须相应修改调整本表中的对应部分。</w:t>
      </w:r>
    </w:p>
    <w:p>
      <w:pPr>
        <w:spacing w:beforeLines="50" w:line="560" w:lineRule="exact"/>
        <w:rPr>
          <w:rFonts w:hint="eastAsia" w:ascii="黑体" w:hAnsi="黑体" w:eastAsia="黑体"/>
          <w:sz w:val="32"/>
          <w:szCs w:val="32"/>
        </w:rPr>
      </w:pPr>
    </w:p>
    <w:p/>
    <w:sectPr>
      <w:headerReference r:id="rId11" w:type="first"/>
      <w:footerReference r:id="rId14" w:type="first"/>
      <w:headerReference r:id="rId9" w:type="default"/>
      <w:footerReference r:id="rId12" w:type="default"/>
      <w:headerReference r:id="rId10" w:type="even"/>
      <w:footerReference r:id="rId13"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CC"/>
    <w:family w:val="roman"/>
    <w:pitch w:val="default"/>
    <w:sig w:usb0="00000000" w:usb1="0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MingLiU">
    <w:altName w:val="Droid Sans Japanese"/>
    <w:panose1 w:val="02020309000000000000"/>
    <w:charset w:val="88"/>
    <w:family w:val="modern"/>
    <w:pitch w:val="default"/>
    <w:sig w:usb0="00000000" w:usb1="00000000" w:usb2="00000016" w:usb3="00000000" w:csb0="00100001"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东文宋体">
    <w:altName w:val="方正书宋_GBK"/>
    <w:panose1 w:val="00000000000000000000"/>
    <w:charset w:val="00"/>
    <w:family w:val="auto"/>
    <w:pitch w:val="default"/>
    <w:sig w:usb0="00000000" w:usb1="00000000" w:usb2="00000000" w:usb3="00000000" w:csb0="00000000" w:csb1="00000000"/>
  </w:font>
  <w:font w:name="sans-serif">
    <w:altName w:val="汉仪仿宋S"/>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汉仪仿宋S">
    <w:panose1 w:val="00020600040101000101"/>
    <w:charset w:val="86"/>
    <w:family w:val="auto"/>
    <w:pitch w:val="default"/>
    <w:sig w:usb0="A00002BF" w:usb1="38CF7CFA" w:usb2="00000016" w:usb3="00000000" w:csb0="0004009F" w:csb1="00000000"/>
  </w:font>
  <w:font w:name="DejaVu Sans">
    <w:panose1 w:val="020B0603030804020204"/>
    <w:charset w:val="00"/>
    <w:family w:val="auto"/>
    <w:pitch w:val="default"/>
    <w:sig w:usb0="E7006EFF" w:usb1="D200FDFF" w:usb2="0A246029" w:usb3="0400200C" w:csb0="600001FF" w:csb1="DFFF0000"/>
  </w:font>
  <w:font w:name="Droid Sans Japanese">
    <w:panose1 w:val="020B0502000000000001"/>
    <w:charset w:val="00"/>
    <w:family w:val="auto"/>
    <w:pitch w:val="default"/>
    <w:sig w:usb0="80000000" w:usb1="08070000" w:usb2="0000001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9"/>
        <w:sz w:val="24"/>
        <w:szCs w:val="24"/>
      </w:rPr>
    </w:pPr>
    <w:r>
      <w:rPr>
        <w:rStyle w:val="9"/>
        <w:rFonts w:hint="eastAsia"/>
        <w:sz w:val="24"/>
        <w:szCs w:val="24"/>
      </w:rPr>
      <w:t>—</w:t>
    </w:r>
    <w:r>
      <w:rPr>
        <w:sz w:val="24"/>
        <w:szCs w:val="24"/>
      </w:rPr>
      <w:fldChar w:fldCharType="begin"/>
    </w:r>
    <w:r>
      <w:rPr>
        <w:rStyle w:val="9"/>
        <w:sz w:val="24"/>
        <w:szCs w:val="24"/>
      </w:rPr>
      <w:instrText xml:space="preserve">PAGE  </w:instrText>
    </w:r>
    <w:r>
      <w:rPr>
        <w:sz w:val="24"/>
        <w:szCs w:val="24"/>
      </w:rPr>
      <w:fldChar w:fldCharType="separate"/>
    </w:r>
    <w:r>
      <w:rPr>
        <w:rStyle w:val="9"/>
        <w:sz w:val="24"/>
        <w:szCs w:val="24"/>
      </w:rPr>
      <w:t>9</w:t>
    </w:r>
    <w:r>
      <w:rPr>
        <w:sz w:val="24"/>
        <w:szCs w:val="24"/>
      </w:rPr>
      <w:fldChar w:fldCharType="end"/>
    </w:r>
    <w:r>
      <w:rPr>
        <w:rStyle w:val="9"/>
        <w:rFonts w:hint="eastAsia"/>
        <w:sz w:val="24"/>
        <w:szCs w:val="24"/>
      </w:rPr>
      <w:t>—</w:t>
    </w:r>
  </w:p>
  <w:p>
    <w:pP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outside" w:y="1"/>
    </w:pPr>
    <w:r>
      <w:fldChar w:fldCharType="begin"/>
    </w:r>
    <w:r>
      <w:instrText xml:space="preserve">PAGE  </w:instrText>
    </w:r>
    <w:r>
      <w:fldChar w:fldCharType="separate"/>
    </w:r>
    <w:r>
      <w:t>-15-</w:t>
    </w:r>
    <w:r>
      <w:fldChar w:fldCharType="end"/>
    </w:r>
  </w:p>
  <w:p>
    <w:pP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077715"/>
    <w:multiLevelType w:val="singleLevel"/>
    <w:tmpl w:val="D6077715"/>
    <w:lvl w:ilvl="0" w:tentative="0">
      <w:start w:val="2"/>
      <w:numFmt w:val="chineseCounting"/>
      <w:suff w:val="nothing"/>
      <w:lvlText w:val="（%1）"/>
      <w:lvlJc w:val="left"/>
      <w:rPr>
        <w:rFonts w:hint="eastAsia"/>
      </w:rPr>
    </w:lvl>
  </w:abstractNum>
  <w:abstractNum w:abstractNumId="1">
    <w:nsid w:val="FFFFFF7F"/>
    <w:multiLevelType w:val="singleLevel"/>
    <w:tmpl w:val="FFFFFF7F"/>
    <w:lvl w:ilvl="0" w:tentative="0">
      <w:start w:val="1"/>
      <w:numFmt w:val="decimal"/>
      <w:pStyle w:val="16"/>
      <w:lvlText w:val="%1."/>
      <w:lvlJc w:val="left"/>
      <w:pPr>
        <w:tabs>
          <w:tab w:val="left" w:pos="780"/>
        </w:tabs>
        <w:ind w:left="780" w:hanging="360"/>
      </w:pPr>
    </w:lvl>
  </w:abstractNum>
  <w:abstractNum w:abstractNumId="2">
    <w:nsid w:val="6D2F75CB"/>
    <w:multiLevelType w:val="singleLevel"/>
    <w:tmpl w:val="6D2F75CB"/>
    <w:lvl w:ilvl="0" w:tentative="0">
      <w:start w:val="2"/>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cumentProtection w:enforcement="0"/>
  <w:defaultTabStop w:val="420"/>
  <w:drawingGridHorizontalSpacing w:val="103"/>
  <w:drawingGridVerticalSpacing w:val="301"/>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BB5306"/>
    <w:rsid w:val="00001D7D"/>
    <w:rsid w:val="00002B44"/>
    <w:rsid w:val="000058D1"/>
    <w:rsid w:val="00006387"/>
    <w:rsid w:val="0001044B"/>
    <w:rsid w:val="0001699C"/>
    <w:rsid w:val="00016D19"/>
    <w:rsid w:val="00017B32"/>
    <w:rsid w:val="00017CE5"/>
    <w:rsid w:val="00017F5B"/>
    <w:rsid w:val="0002003A"/>
    <w:rsid w:val="000269E0"/>
    <w:rsid w:val="0003152A"/>
    <w:rsid w:val="00032AC5"/>
    <w:rsid w:val="000352A8"/>
    <w:rsid w:val="000414CD"/>
    <w:rsid w:val="000471D1"/>
    <w:rsid w:val="0005025E"/>
    <w:rsid w:val="00050401"/>
    <w:rsid w:val="00050ABD"/>
    <w:rsid w:val="00051A4B"/>
    <w:rsid w:val="00052FB2"/>
    <w:rsid w:val="0005578D"/>
    <w:rsid w:val="00057E54"/>
    <w:rsid w:val="0006014D"/>
    <w:rsid w:val="00064585"/>
    <w:rsid w:val="0006597B"/>
    <w:rsid w:val="00066126"/>
    <w:rsid w:val="0006759F"/>
    <w:rsid w:val="000676EE"/>
    <w:rsid w:val="00067A1A"/>
    <w:rsid w:val="00071BA9"/>
    <w:rsid w:val="000732FC"/>
    <w:rsid w:val="0007515C"/>
    <w:rsid w:val="000755E9"/>
    <w:rsid w:val="00077DD8"/>
    <w:rsid w:val="000847C6"/>
    <w:rsid w:val="00084A6B"/>
    <w:rsid w:val="00085E11"/>
    <w:rsid w:val="0008705D"/>
    <w:rsid w:val="00094A1A"/>
    <w:rsid w:val="0009541C"/>
    <w:rsid w:val="00096A1A"/>
    <w:rsid w:val="000A1B62"/>
    <w:rsid w:val="000A1F4D"/>
    <w:rsid w:val="000A2B58"/>
    <w:rsid w:val="000A3CD5"/>
    <w:rsid w:val="000A62CB"/>
    <w:rsid w:val="000B1955"/>
    <w:rsid w:val="000B20D1"/>
    <w:rsid w:val="000B433E"/>
    <w:rsid w:val="000B4823"/>
    <w:rsid w:val="000B6B92"/>
    <w:rsid w:val="000C2BFF"/>
    <w:rsid w:val="000C3D7C"/>
    <w:rsid w:val="000D2269"/>
    <w:rsid w:val="000D2AED"/>
    <w:rsid w:val="000D38A1"/>
    <w:rsid w:val="000D5F58"/>
    <w:rsid w:val="000E06B9"/>
    <w:rsid w:val="000E08EC"/>
    <w:rsid w:val="000E1727"/>
    <w:rsid w:val="000E4939"/>
    <w:rsid w:val="000E5435"/>
    <w:rsid w:val="000E5B40"/>
    <w:rsid w:val="000F0217"/>
    <w:rsid w:val="000F083B"/>
    <w:rsid w:val="000F1727"/>
    <w:rsid w:val="000F1C29"/>
    <w:rsid w:val="000F345A"/>
    <w:rsid w:val="000F41F8"/>
    <w:rsid w:val="000F4D04"/>
    <w:rsid w:val="000F5FE0"/>
    <w:rsid w:val="000F66D4"/>
    <w:rsid w:val="000F72B2"/>
    <w:rsid w:val="001073B7"/>
    <w:rsid w:val="00112F29"/>
    <w:rsid w:val="00114E12"/>
    <w:rsid w:val="00115044"/>
    <w:rsid w:val="00115C77"/>
    <w:rsid w:val="001169AC"/>
    <w:rsid w:val="0012160F"/>
    <w:rsid w:val="00125DA1"/>
    <w:rsid w:val="0012601D"/>
    <w:rsid w:val="00131A96"/>
    <w:rsid w:val="00131F92"/>
    <w:rsid w:val="001347CC"/>
    <w:rsid w:val="001403A1"/>
    <w:rsid w:val="0014369C"/>
    <w:rsid w:val="00145559"/>
    <w:rsid w:val="00146AA7"/>
    <w:rsid w:val="001507F9"/>
    <w:rsid w:val="00150E9F"/>
    <w:rsid w:val="001515E1"/>
    <w:rsid w:val="00152C42"/>
    <w:rsid w:val="001537BA"/>
    <w:rsid w:val="001538AF"/>
    <w:rsid w:val="00155E57"/>
    <w:rsid w:val="0015664A"/>
    <w:rsid w:val="00161BD6"/>
    <w:rsid w:val="00161CAA"/>
    <w:rsid w:val="00170110"/>
    <w:rsid w:val="0017567A"/>
    <w:rsid w:val="001767DA"/>
    <w:rsid w:val="00176999"/>
    <w:rsid w:val="00177AAB"/>
    <w:rsid w:val="00177B4F"/>
    <w:rsid w:val="00180C85"/>
    <w:rsid w:val="00182471"/>
    <w:rsid w:val="0018432B"/>
    <w:rsid w:val="00184B97"/>
    <w:rsid w:val="00185ECC"/>
    <w:rsid w:val="001979FE"/>
    <w:rsid w:val="00197E5F"/>
    <w:rsid w:val="001A21AA"/>
    <w:rsid w:val="001A2732"/>
    <w:rsid w:val="001A2F0D"/>
    <w:rsid w:val="001A3B0D"/>
    <w:rsid w:val="001A66A4"/>
    <w:rsid w:val="001A7CFC"/>
    <w:rsid w:val="001B0285"/>
    <w:rsid w:val="001B15D1"/>
    <w:rsid w:val="001B19D0"/>
    <w:rsid w:val="001B34BA"/>
    <w:rsid w:val="001B70B8"/>
    <w:rsid w:val="001B7175"/>
    <w:rsid w:val="001B77FA"/>
    <w:rsid w:val="001B7D3C"/>
    <w:rsid w:val="001C015E"/>
    <w:rsid w:val="001C2413"/>
    <w:rsid w:val="001C4226"/>
    <w:rsid w:val="001C434C"/>
    <w:rsid w:val="001D02F5"/>
    <w:rsid w:val="001D1C45"/>
    <w:rsid w:val="001D41DE"/>
    <w:rsid w:val="001D6B97"/>
    <w:rsid w:val="001D781B"/>
    <w:rsid w:val="001E2EF2"/>
    <w:rsid w:val="001E55DD"/>
    <w:rsid w:val="001E5CAD"/>
    <w:rsid w:val="001E7711"/>
    <w:rsid w:val="001E7890"/>
    <w:rsid w:val="001F1534"/>
    <w:rsid w:val="001F26E0"/>
    <w:rsid w:val="001F4FB9"/>
    <w:rsid w:val="001F53D6"/>
    <w:rsid w:val="001F5EB0"/>
    <w:rsid w:val="001F6074"/>
    <w:rsid w:val="001F7BE4"/>
    <w:rsid w:val="00202878"/>
    <w:rsid w:val="00202925"/>
    <w:rsid w:val="00202C4D"/>
    <w:rsid w:val="00203959"/>
    <w:rsid w:val="00203DA5"/>
    <w:rsid w:val="0020691C"/>
    <w:rsid w:val="002079A4"/>
    <w:rsid w:val="002125D7"/>
    <w:rsid w:val="00213429"/>
    <w:rsid w:val="0021427E"/>
    <w:rsid w:val="00214659"/>
    <w:rsid w:val="00215498"/>
    <w:rsid w:val="00217512"/>
    <w:rsid w:val="00220FD4"/>
    <w:rsid w:val="0022118A"/>
    <w:rsid w:val="0022593B"/>
    <w:rsid w:val="0022649A"/>
    <w:rsid w:val="002268A6"/>
    <w:rsid w:val="00226F3D"/>
    <w:rsid w:val="00227CA0"/>
    <w:rsid w:val="00230AAD"/>
    <w:rsid w:val="00230D55"/>
    <w:rsid w:val="00231EF6"/>
    <w:rsid w:val="00233462"/>
    <w:rsid w:val="002335B2"/>
    <w:rsid w:val="00234E2D"/>
    <w:rsid w:val="0023598E"/>
    <w:rsid w:val="00235E64"/>
    <w:rsid w:val="00241479"/>
    <w:rsid w:val="00241A04"/>
    <w:rsid w:val="002434E9"/>
    <w:rsid w:val="0024403C"/>
    <w:rsid w:val="0024534C"/>
    <w:rsid w:val="00246DC8"/>
    <w:rsid w:val="00252F6F"/>
    <w:rsid w:val="0025448C"/>
    <w:rsid w:val="0025497E"/>
    <w:rsid w:val="00254FD7"/>
    <w:rsid w:val="00255504"/>
    <w:rsid w:val="00257A87"/>
    <w:rsid w:val="00263171"/>
    <w:rsid w:val="00263A4A"/>
    <w:rsid w:val="00263E7E"/>
    <w:rsid w:val="00264E50"/>
    <w:rsid w:val="002662B4"/>
    <w:rsid w:val="00267B0F"/>
    <w:rsid w:val="002719C2"/>
    <w:rsid w:val="00272C11"/>
    <w:rsid w:val="00273998"/>
    <w:rsid w:val="00274C45"/>
    <w:rsid w:val="002750DB"/>
    <w:rsid w:val="00281FBC"/>
    <w:rsid w:val="002825A0"/>
    <w:rsid w:val="00283D80"/>
    <w:rsid w:val="00290A4B"/>
    <w:rsid w:val="00293D68"/>
    <w:rsid w:val="002943DC"/>
    <w:rsid w:val="002969D9"/>
    <w:rsid w:val="0029749C"/>
    <w:rsid w:val="00297F2C"/>
    <w:rsid w:val="002A0EFD"/>
    <w:rsid w:val="002A1763"/>
    <w:rsid w:val="002A4163"/>
    <w:rsid w:val="002A4861"/>
    <w:rsid w:val="002A66DA"/>
    <w:rsid w:val="002A67B1"/>
    <w:rsid w:val="002A763D"/>
    <w:rsid w:val="002A79AA"/>
    <w:rsid w:val="002B2428"/>
    <w:rsid w:val="002B35A2"/>
    <w:rsid w:val="002B5B9D"/>
    <w:rsid w:val="002C0F44"/>
    <w:rsid w:val="002C1CC0"/>
    <w:rsid w:val="002C26F7"/>
    <w:rsid w:val="002D012B"/>
    <w:rsid w:val="002D0C45"/>
    <w:rsid w:val="002D196C"/>
    <w:rsid w:val="002D257D"/>
    <w:rsid w:val="002D4C75"/>
    <w:rsid w:val="002D7A7D"/>
    <w:rsid w:val="002E172A"/>
    <w:rsid w:val="002E4165"/>
    <w:rsid w:val="002E5BB6"/>
    <w:rsid w:val="002E5BF7"/>
    <w:rsid w:val="002E5EEA"/>
    <w:rsid w:val="002F1297"/>
    <w:rsid w:val="002F2089"/>
    <w:rsid w:val="002F4CEA"/>
    <w:rsid w:val="002F50F8"/>
    <w:rsid w:val="002F7533"/>
    <w:rsid w:val="002F7976"/>
    <w:rsid w:val="00300EFF"/>
    <w:rsid w:val="00305368"/>
    <w:rsid w:val="00305F50"/>
    <w:rsid w:val="00306F74"/>
    <w:rsid w:val="003104D2"/>
    <w:rsid w:val="00310D79"/>
    <w:rsid w:val="00311FCA"/>
    <w:rsid w:val="0031241D"/>
    <w:rsid w:val="00314362"/>
    <w:rsid w:val="00314E51"/>
    <w:rsid w:val="0031624E"/>
    <w:rsid w:val="00321818"/>
    <w:rsid w:val="00322908"/>
    <w:rsid w:val="00323587"/>
    <w:rsid w:val="00324C6F"/>
    <w:rsid w:val="003276EA"/>
    <w:rsid w:val="0033143D"/>
    <w:rsid w:val="00341977"/>
    <w:rsid w:val="00341EF7"/>
    <w:rsid w:val="00342F27"/>
    <w:rsid w:val="00343E6F"/>
    <w:rsid w:val="003543F8"/>
    <w:rsid w:val="003553B0"/>
    <w:rsid w:val="00356327"/>
    <w:rsid w:val="00356FB0"/>
    <w:rsid w:val="00364501"/>
    <w:rsid w:val="0036595A"/>
    <w:rsid w:val="0036651C"/>
    <w:rsid w:val="00371EDA"/>
    <w:rsid w:val="00373F8F"/>
    <w:rsid w:val="00375281"/>
    <w:rsid w:val="003757C5"/>
    <w:rsid w:val="00381DB2"/>
    <w:rsid w:val="0038399C"/>
    <w:rsid w:val="00385A6B"/>
    <w:rsid w:val="003865EB"/>
    <w:rsid w:val="003869A3"/>
    <w:rsid w:val="00387C03"/>
    <w:rsid w:val="00395C64"/>
    <w:rsid w:val="003960D7"/>
    <w:rsid w:val="003977CF"/>
    <w:rsid w:val="00397B9F"/>
    <w:rsid w:val="003A33EE"/>
    <w:rsid w:val="003A500F"/>
    <w:rsid w:val="003B22B9"/>
    <w:rsid w:val="003B255B"/>
    <w:rsid w:val="003B26E5"/>
    <w:rsid w:val="003B44C0"/>
    <w:rsid w:val="003B4B79"/>
    <w:rsid w:val="003B5458"/>
    <w:rsid w:val="003C1E98"/>
    <w:rsid w:val="003C2D84"/>
    <w:rsid w:val="003C2FD9"/>
    <w:rsid w:val="003C33CA"/>
    <w:rsid w:val="003C6CEB"/>
    <w:rsid w:val="003D1614"/>
    <w:rsid w:val="003D3670"/>
    <w:rsid w:val="003D43DB"/>
    <w:rsid w:val="003E0D5E"/>
    <w:rsid w:val="003E0F73"/>
    <w:rsid w:val="003E1DEE"/>
    <w:rsid w:val="003E3E09"/>
    <w:rsid w:val="003E46FE"/>
    <w:rsid w:val="003E6574"/>
    <w:rsid w:val="003F0CFE"/>
    <w:rsid w:val="003F11AA"/>
    <w:rsid w:val="003F272B"/>
    <w:rsid w:val="003F366A"/>
    <w:rsid w:val="003F4DA3"/>
    <w:rsid w:val="003F4ECC"/>
    <w:rsid w:val="003F5664"/>
    <w:rsid w:val="003F58DB"/>
    <w:rsid w:val="003F7910"/>
    <w:rsid w:val="003F7B27"/>
    <w:rsid w:val="003F7C23"/>
    <w:rsid w:val="003F7EFE"/>
    <w:rsid w:val="0040338F"/>
    <w:rsid w:val="00404403"/>
    <w:rsid w:val="0040744E"/>
    <w:rsid w:val="0041059D"/>
    <w:rsid w:val="004130C6"/>
    <w:rsid w:val="00414157"/>
    <w:rsid w:val="004202FA"/>
    <w:rsid w:val="00421DA8"/>
    <w:rsid w:val="004228A6"/>
    <w:rsid w:val="00426064"/>
    <w:rsid w:val="00430BBA"/>
    <w:rsid w:val="00435246"/>
    <w:rsid w:val="004424B0"/>
    <w:rsid w:val="00442DE9"/>
    <w:rsid w:val="00444828"/>
    <w:rsid w:val="00445F24"/>
    <w:rsid w:val="00452882"/>
    <w:rsid w:val="00455285"/>
    <w:rsid w:val="0045592D"/>
    <w:rsid w:val="00455EAF"/>
    <w:rsid w:val="00457154"/>
    <w:rsid w:val="00457553"/>
    <w:rsid w:val="00464364"/>
    <w:rsid w:val="004657EF"/>
    <w:rsid w:val="00465B2A"/>
    <w:rsid w:val="00467841"/>
    <w:rsid w:val="004741D7"/>
    <w:rsid w:val="00475E98"/>
    <w:rsid w:val="00480F04"/>
    <w:rsid w:val="00483309"/>
    <w:rsid w:val="0048529F"/>
    <w:rsid w:val="00487D33"/>
    <w:rsid w:val="00493027"/>
    <w:rsid w:val="004A05F6"/>
    <w:rsid w:val="004A15B0"/>
    <w:rsid w:val="004A2403"/>
    <w:rsid w:val="004A2DE4"/>
    <w:rsid w:val="004A5919"/>
    <w:rsid w:val="004A622D"/>
    <w:rsid w:val="004B073B"/>
    <w:rsid w:val="004B11C5"/>
    <w:rsid w:val="004B24ED"/>
    <w:rsid w:val="004B35F6"/>
    <w:rsid w:val="004B3FA1"/>
    <w:rsid w:val="004B7222"/>
    <w:rsid w:val="004C3B11"/>
    <w:rsid w:val="004C4724"/>
    <w:rsid w:val="004C532B"/>
    <w:rsid w:val="004C55A2"/>
    <w:rsid w:val="004C5D63"/>
    <w:rsid w:val="004C669C"/>
    <w:rsid w:val="004C6CBF"/>
    <w:rsid w:val="004D0306"/>
    <w:rsid w:val="004D0B47"/>
    <w:rsid w:val="004D0B9D"/>
    <w:rsid w:val="004D0EEF"/>
    <w:rsid w:val="004D3B49"/>
    <w:rsid w:val="004D4E78"/>
    <w:rsid w:val="004D5D9D"/>
    <w:rsid w:val="004D604E"/>
    <w:rsid w:val="004E010C"/>
    <w:rsid w:val="004E0D88"/>
    <w:rsid w:val="004F14C0"/>
    <w:rsid w:val="004F274C"/>
    <w:rsid w:val="004F2A04"/>
    <w:rsid w:val="004F3C76"/>
    <w:rsid w:val="004F4D46"/>
    <w:rsid w:val="004F6DF6"/>
    <w:rsid w:val="004F74FB"/>
    <w:rsid w:val="005009DA"/>
    <w:rsid w:val="00505358"/>
    <w:rsid w:val="005103FC"/>
    <w:rsid w:val="0051214D"/>
    <w:rsid w:val="005135F8"/>
    <w:rsid w:val="00520740"/>
    <w:rsid w:val="005224E5"/>
    <w:rsid w:val="00527DA0"/>
    <w:rsid w:val="005303A5"/>
    <w:rsid w:val="005307D8"/>
    <w:rsid w:val="00530C26"/>
    <w:rsid w:val="00530E24"/>
    <w:rsid w:val="005311DA"/>
    <w:rsid w:val="005320FC"/>
    <w:rsid w:val="00532ACB"/>
    <w:rsid w:val="00532F66"/>
    <w:rsid w:val="00534324"/>
    <w:rsid w:val="00535BEC"/>
    <w:rsid w:val="00536704"/>
    <w:rsid w:val="00540C9D"/>
    <w:rsid w:val="0054794C"/>
    <w:rsid w:val="005530D1"/>
    <w:rsid w:val="00556947"/>
    <w:rsid w:val="00560634"/>
    <w:rsid w:val="00560DAC"/>
    <w:rsid w:val="00560E4D"/>
    <w:rsid w:val="00565206"/>
    <w:rsid w:val="00571596"/>
    <w:rsid w:val="005761BC"/>
    <w:rsid w:val="0058157B"/>
    <w:rsid w:val="00585469"/>
    <w:rsid w:val="0058594A"/>
    <w:rsid w:val="00586143"/>
    <w:rsid w:val="005862BF"/>
    <w:rsid w:val="005929C4"/>
    <w:rsid w:val="00592A3A"/>
    <w:rsid w:val="005954E8"/>
    <w:rsid w:val="00596CC9"/>
    <w:rsid w:val="00597608"/>
    <w:rsid w:val="00597E90"/>
    <w:rsid w:val="005A1488"/>
    <w:rsid w:val="005A397F"/>
    <w:rsid w:val="005A4C92"/>
    <w:rsid w:val="005B0661"/>
    <w:rsid w:val="005B134D"/>
    <w:rsid w:val="005B515D"/>
    <w:rsid w:val="005B64C0"/>
    <w:rsid w:val="005C06C1"/>
    <w:rsid w:val="005C43DA"/>
    <w:rsid w:val="005C4EAD"/>
    <w:rsid w:val="005C5770"/>
    <w:rsid w:val="005C5E91"/>
    <w:rsid w:val="005D007E"/>
    <w:rsid w:val="005D04C8"/>
    <w:rsid w:val="005D4478"/>
    <w:rsid w:val="005D4A22"/>
    <w:rsid w:val="005D4CA4"/>
    <w:rsid w:val="005D5245"/>
    <w:rsid w:val="005D6D49"/>
    <w:rsid w:val="005D7087"/>
    <w:rsid w:val="005D765E"/>
    <w:rsid w:val="005E007B"/>
    <w:rsid w:val="005E0340"/>
    <w:rsid w:val="005E05F5"/>
    <w:rsid w:val="005E06BD"/>
    <w:rsid w:val="005E1CD1"/>
    <w:rsid w:val="005E2F06"/>
    <w:rsid w:val="005E38C4"/>
    <w:rsid w:val="005E44BD"/>
    <w:rsid w:val="005E4D75"/>
    <w:rsid w:val="005E59B8"/>
    <w:rsid w:val="005F11DF"/>
    <w:rsid w:val="005F18A6"/>
    <w:rsid w:val="005F1DAE"/>
    <w:rsid w:val="005F43C0"/>
    <w:rsid w:val="005F4703"/>
    <w:rsid w:val="005F6F5B"/>
    <w:rsid w:val="005F7A92"/>
    <w:rsid w:val="00603DB7"/>
    <w:rsid w:val="006045FB"/>
    <w:rsid w:val="006124FB"/>
    <w:rsid w:val="00612F8A"/>
    <w:rsid w:val="00612FB0"/>
    <w:rsid w:val="006178E0"/>
    <w:rsid w:val="0062051F"/>
    <w:rsid w:val="0062077E"/>
    <w:rsid w:val="00620A34"/>
    <w:rsid w:val="00621618"/>
    <w:rsid w:val="00623F5A"/>
    <w:rsid w:val="006249CC"/>
    <w:rsid w:val="006260D7"/>
    <w:rsid w:val="0063153E"/>
    <w:rsid w:val="00632761"/>
    <w:rsid w:val="00632D23"/>
    <w:rsid w:val="006426C9"/>
    <w:rsid w:val="006446A7"/>
    <w:rsid w:val="00646E20"/>
    <w:rsid w:val="00652B4E"/>
    <w:rsid w:val="00653E56"/>
    <w:rsid w:val="00655303"/>
    <w:rsid w:val="006608B5"/>
    <w:rsid w:val="006611AB"/>
    <w:rsid w:val="006630AF"/>
    <w:rsid w:val="00665073"/>
    <w:rsid w:val="00667221"/>
    <w:rsid w:val="006715F3"/>
    <w:rsid w:val="00671BD6"/>
    <w:rsid w:val="006737F0"/>
    <w:rsid w:val="00673EB3"/>
    <w:rsid w:val="00674208"/>
    <w:rsid w:val="00675EC8"/>
    <w:rsid w:val="00676B17"/>
    <w:rsid w:val="0067724B"/>
    <w:rsid w:val="00677514"/>
    <w:rsid w:val="00681610"/>
    <w:rsid w:val="00681EBB"/>
    <w:rsid w:val="006902DF"/>
    <w:rsid w:val="006903A8"/>
    <w:rsid w:val="0069079F"/>
    <w:rsid w:val="00691009"/>
    <w:rsid w:val="00697134"/>
    <w:rsid w:val="006A12EF"/>
    <w:rsid w:val="006A16B0"/>
    <w:rsid w:val="006A3BA9"/>
    <w:rsid w:val="006A4A94"/>
    <w:rsid w:val="006A5D87"/>
    <w:rsid w:val="006A5F04"/>
    <w:rsid w:val="006B2A3D"/>
    <w:rsid w:val="006B7806"/>
    <w:rsid w:val="006C0390"/>
    <w:rsid w:val="006C1FC4"/>
    <w:rsid w:val="006C28ED"/>
    <w:rsid w:val="006C35BF"/>
    <w:rsid w:val="006C49D8"/>
    <w:rsid w:val="006C646C"/>
    <w:rsid w:val="006D05A2"/>
    <w:rsid w:val="006D30B1"/>
    <w:rsid w:val="006D384A"/>
    <w:rsid w:val="006D6579"/>
    <w:rsid w:val="006E09A9"/>
    <w:rsid w:val="006E2301"/>
    <w:rsid w:val="006E23D9"/>
    <w:rsid w:val="006E2B71"/>
    <w:rsid w:val="006E2C64"/>
    <w:rsid w:val="006E62B6"/>
    <w:rsid w:val="006E6B11"/>
    <w:rsid w:val="006F0DEB"/>
    <w:rsid w:val="006F31FA"/>
    <w:rsid w:val="006F4251"/>
    <w:rsid w:val="006F503E"/>
    <w:rsid w:val="006F6464"/>
    <w:rsid w:val="006F76F4"/>
    <w:rsid w:val="006F7D2F"/>
    <w:rsid w:val="0070421D"/>
    <w:rsid w:val="0070445F"/>
    <w:rsid w:val="00705509"/>
    <w:rsid w:val="00707C81"/>
    <w:rsid w:val="00707D23"/>
    <w:rsid w:val="007110FB"/>
    <w:rsid w:val="007128A0"/>
    <w:rsid w:val="0071517A"/>
    <w:rsid w:val="00723F49"/>
    <w:rsid w:val="00725B5C"/>
    <w:rsid w:val="00732F18"/>
    <w:rsid w:val="00736A3F"/>
    <w:rsid w:val="00741B0F"/>
    <w:rsid w:val="007425CD"/>
    <w:rsid w:val="00742925"/>
    <w:rsid w:val="007464F7"/>
    <w:rsid w:val="0074697C"/>
    <w:rsid w:val="00751CAE"/>
    <w:rsid w:val="00754AE6"/>
    <w:rsid w:val="00757171"/>
    <w:rsid w:val="00763B43"/>
    <w:rsid w:val="00764956"/>
    <w:rsid w:val="00764D92"/>
    <w:rsid w:val="007657F5"/>
    <w:rsid w:val="00765C74"/>
    <w:rsid w:val="00766C08"/>
    <w:rsid w:val="00766F3A"/>
    <w:rsid w:val="00770C15"/>
    <w:rsid w:val="0077174A"/>
    <w:rsid w:val="007749BE"/>
    <w:rsid w:val="00777FF5"/>
    <w:rsid w:val="007848D7"/>
    <w:rsid w:val="00787416"/>
    <w:rsid w:val="00790480"/>
    <w:rsid w:val="00791532"/>
    <w:rsid w:val="007916A4"/>
    <w:rsid w:val="00794023"/>
    <w:rsid w:val="0079766E"/>
    <w:rsid w:val="007A10EC"/>
    <w:rsid w:val="007A29E2"/>
    <w:rsid w:val="007A3188"/>
    <w:rsid w:val="007A5A03"/>
    <w:rsid w:val="007A6B3C"/>
    <w:rsid w:val="007B089E"/>
    <w:rsid w:val="007C1182"/>
    <w:rsid w:val="007C17C4"/>
    <w:rsid w:val="007C32CB"/>
    <w:rsid w:val="007C37DB"/>
    <w:rsid w:val="007C4288"/>
    <w:rsid w:val="007C488F"/>
    <w:rsid w:val="007C581F"/>
    <w:rsid w:val="007D0E60"/>
    <w:rsid w:val="007D149B"/>
    <w:rsid w:val="007D2D82"/>
    <w:rsid w:val="007D2E62"/>
    <w:rsid w:val="007D6A2D"/>
    <w:rsid w:val="007D6DF8"/>
    <w:rsid w:val="007E0262"/>
    <w:rsid w:val="007E0A1F"/>
    <w:rsid w:val="007E583B"/>
    <w:rsid w:val="007E5C08"/>
    <w:rsid w:val="007F068E"/>
    <w:rsid w:val="007F08C7"/>
    <w:rsid w:val="007F2BE9"/>
    <w:rsid w:val="007F3A95"/>
    <w:rsid w:val="007F4269"/>
    <w:rsid w:val="007F4498"/>
    <w:rsid w:val="007F4880"/>
    <w:rsid w:val="007F76E8"/>
    <w:rsid w:val="00800186"/>
    <w:rsid w:val="00801857"/>
    <w:rsid w:val="0080259C"/>
    <w:rsid w:val="00803357"/>
    <w:rsid w:val="008071D4"/>
    <w:rsid w:val="008076D1"/>
    <w:rsid w:val="00812C9A"/>
    <w:rsid w:val="008148B7"/>
    <w:rsid w:val="00815E3B"/>
    <w:rsid w:val="008162B4"/>
    <w:rsid w:val="008172DC"/>
    <w:rsid w:val="00817FB7"/>
    <w:rsid w:val="008228CB"/>
    <w:rsid w:val="00823B8A"/>
    <w:rsid w:val="008256F2"/>
    <w:rsid w:val="00825D5B"/>
    <w:rsid w:val="00826475"/>
    <w:rsid w:val="00832833"/>
    <w:rsid w:val="008328AA"/>
    <w:rsid w:val="00837C17"/>
    <w:rsid w:val="00841862"/>
    <w:rsid w:val="00843511"/>
    <w:rsid w:val="008437FF"/>
    <w:rsid w:val="00846061"/>
    <w:rsid w:val="0084634E"/>
    <w:rsid w:val="0085215E"/>
    <w:rsid w:val="00852DC9"/>
    <w:rsid w:val="00853450"/>
    <w:rsid w:val="008537B7"/>
    <w:rsid w:val="00853B36"/>
    <w:rsid w:val="00854473"/>
    <w:rsid w:val="0086075A"/>
    <w:rsid w:val="008620D0"/>
    <w:rsid w:val="0086381F"/>
    <w:rsid w:val="00863984"/>
    <w:rsid w:val="0086557B"/>
    <w:rsid w:val="00865BD7"/>
    <w:rsid w:val="00865F4A"/>
    <w:rsid w:val="00870FD0"/>
    <w:rsid w:val="00872033"/>
    <w:rsid w:val="0087306C"/>
    <w:rsid w:val="008761D0"/>
    <w:rsid w:val="00876D44"/>
    <w:rsid w:val="00880428"/>
    <w:rsid w:val="008809FE"/>
    <w:rsid w:val="00880B6B"/>
    <w:rsid w:val="00882E96"/>
    <w:rsid w:val="00884E1A"/>
    <w:rsid w:val="008865FC"/>
    <w:rsid w:val="00890E92"/>
    <w:rsid w:val="00893D57"/>
    <w:rsid w:val="008955DC"/>
    <w:rsid w:val="00897FBF"/>
    <w:rsid w:val="008A0946"/>
    <w:rsid w:val="008A1DFB"/>
    <w:rsid w:val="008A37EF"/>
    <w:rsid w:val="008A3D61"/>
    <w:rsid w:val="008A4D06"/>
    <w:rsid w:val="008A545F"/>
    <w:rsid w:val="008A5AD3"/>
    <w:rsid w:val="008A6C14"/>
    <w:rsid w:val="008A785B"/>
    <w:rsid w:val="008B307E"/>
    <w:rsid w:val="008B3890"/>
    <w:rsid w:val="008B607B"/>
    <w:rsid w:val="008B7839"/>
    <w:rsid w:val="008C0026"/>
    <w:rsid w:val="008C1923"/>
    <w:rsid w:val="008C248C"/>
    <w:rsid w:val="008C6C53"/>
    <w:rsid w:val="008D106C"/>
    <w:rsid w:val="008D3A00"/>
    <w:rsid w:val="008D3DEB"/>
    <w:rsid w:val="008D4395"/>
    <w:rsid w:val="008D5085"/>
    <w:rsid w:val="008E0410"/>
    <w:rsid w:val="008E2BC7"/>
    <w:rsid w:val="008E3748"/>
    <w:rsid w:val="008E452C"/>
    <w:rsid w:val="008E6AA0"/>
    <w:rsid w:val="008F0863"/>
    <w:rsid w:val="008F0CAD"/>
    <w:rsid w:val="008F1DDF"/>
    <w:rsid w:val="008F1DF7"/>
    <w:rsid w:val="008F369A"/>
    <w:rsid w:val="008F5307"/>
    <w:rsid w:val="0090513D"/>
    <w:rsid w:val="009058A2"/>
    <w:rsid w:val="00911CE1"/>
    <w:rsid w:val="0092164C"/>
    <w:rsid w:val="0092366F"/>
    <w:rsid w:val="0092392B"/>
    <w:rsid w:val="00926C98"/>
    <w:rsid w:val="0093062A"/>
    <w:rsid w:val="0093298A"/>
    <w:rsid w:val="009364C1"/>
    <w:rsid w:val="00941AAB"/>
    <w:rsid w:val="00947481"/>
    <w:rsid w:val="0095061F"/>
    <w:rsid w:val="00950E5E"/>
    <w:rsid w:val="00951AC4"/>
    <w:rsid w:val="00951E00"/>
    <w:rsid w:val="00953D31"/>
    <w:rsid w:val="00954B1E"/>
    <w:rsid w:val="0095546E"/>
    <w:rsid w:val="00956669"/>
    <w:rsid w:val="00964E18"/>
    <w:rsid w:val="00967BF7"/>
    <w:rsid w:val="00972A72"/>
    <w:rsid w:val="00972CF9"/>
    <w:rsid w:val="009743C3"/>
    <w:rsid w:val="00977540"/>
    <w:rsid w:val="00977FB8"/>
    <w:rsid w:val="009808FA"/>
    <w:rsid w:val="00981489"/>
    <w:rsid w:val="009838CF"/>
    <w:rsid w:val="00983A3A"/>
    <w:rsid w:val="00983E70"/>
    <w:rsid w:val="00983F9B"/>
    <w:rsid w:val="00985F39"/>
    <w:rsid w:val="0098614B"/>
    <w:rsid w:val="00994650"/>
    <w:rsid w:val="009954D4"/>
    <w:rsid w:val="00997645"/>
    <w:rsid w:val="009A0D12"/>
    <w:rsid w:val="009A1F96"/>
    <w:rsid w:val="009A69A7"/>
    <w:rsid w:val="009A716C"/>
    <w:rsid w:val="009B0DF3"/>
    <w:rsid w:val="009B1039"/>
    <w:rsid w:val="009B1E67"/>
    <w:rsid w:val="009B2EEC"/>
    <w:rsid w:val="009B2F9A"/>
    <w:rsid w:val="009B3259"/>
    <w:rsid w:val="009B5BF6"/>
    <w:rsid w:val="009B6E0D"/>
    <w:rsid w:val="009C1EEB"/>
    <w:rsid w:val="009C24F2"/>
    <w:rsid w:val="009C2AF7"/>
    <w:rsid w:val="009C409F"/>
    <w:rsid w:val="009C5A5E"/>
    <w:rsid w:val="009C617F"/>
    <w:rsid w:val="009D18F0"/>
    <w:rsid w:val="009D2D29"/>
    <w:rsid w:val="009D330E"/>
    <w:rsid w:val="009D4A1F"/>
    <w:rsid w:val="009D5457"/>
    <w:rsid w:val="009D56A4"/>
    <w:rsid w:val="009D621D"/>
    <w:rsid w:val="009D7804"/>
    <w:rsid w:val="009D792C"/>
    <w:rsid w:val="009E56C9"/>
    <w:rsid w:val="009E780B"/>
    <w:rsid w:val="009F02C1"/>
    <w:rsid w:val="009F2416"/>
    <w:rsid w:val="009F2433"/>
    <w:rsid w:val="009F5799"/>
    <w:rsid w:val="00A008D1"/>
    <w:rsid w:val="00A01289"/>
    <w:rsid w:val="00A014F6"/>
    <w:rsid w:val="00A02A02"/>
    <w:rsid w:val="00A03E61"/>
    <w:rsid w:val="00A062A9"/>
    <w:rsid w:val="00A114D9"/>
    <w:rsid w:val="00A12317"/>
    <w:rsid w:val="00A14318"/>
    <w:rsid w:val="00A14376"/>
    <w:rsid w:val="00A24937"/>
    <w:rsid w:val="00A25015"/>
    <w:rsid w:val="00A256CB"/>
    <w:rsid w:val="00A26B82"/>
    <w:rsid w:val="00A27BEB"/>
    <w:rsid w:val="00A30DAC"/>
    <w:rsid w:val="00A3281C"/>
    <w:rsid w:val="00A329EC"/>
    <w:rsid w:val="00A348FD"/>
    <w:rsid w:val="00A34BC9"/>
    <w:rsid w:val="00A35550"/>
    <w:rsid w:val="00A36965"/>
    <w:rsid w:val="00A36B60"/>
    <w:rsid w:val="00A40079"/>
    <w:rsid w:val="00A416C4"/>
    <w:rsid w:val="00A43818"/>
    <w:rsid w:val="00A43933"/>
    <w:rsid w:val="00A439A9"/>
    <w:rsid w:val="00A45EED"/>
    <w:rsid w:val="00A469DF"/>
    <w:rsid w:val="00A51282"/>
    <w:rsid w:val="00A51FE7"/>
    <w:rsid w:val="00A52BFC"/>
    <w:rsid w:val="00A53520"/>
    <w:rsid w:val="00A548F8"/>
    <w:rsid w:val="00A54DE0"/>
    <w:rsid w:val="00A600AE"/>
    <w:rsid w:val="00A611B1"/>
    <w:rsid w:val="00A61A4C"/>
    <w:rsid w:val="00A61D98"/>
    <w:rsid w:val="00A62677"/>
    <w:rsid w:val="00A6405F"/>
    <w:rsid w:val="00A66342"/>
    <w:rsid w:val="00A71017"/>
    <w:rsid w:val="00A71859"/>
    <w:rsid w:val="00A74CE7"/>
    <w:rsid w:val="00A76A54"/>
    <w:rsid w:val="00A77408"/>
    <w:rsid w:val="00A8029A"/>
    <w:rsid w:val="00A80F53"/>
    <w:rsid w:val="00A90CE9"/>
    <w:rsid w:val="00A91970"/>
    <w:rsid w:val="00A941D3"/>
    <w:rsid w:val="00A9494B"/>
    <w:rsid w:val="00A96951"/>
    <w:rsid w:val="00A97FF9"/>
    <w:rsid w:val="00AA0A0B"/>
    <w:rsid w:val="00AA0F98"/>
    <w:rsid w:val="00AA150E"/>
    <w:rsid w:val="00AA1CB7"/>
    <w:rsid w:val="00AA1FCE"/>
    <w:rsid w:val="00AA32E7"/>
    <w:rsid w:val="00AA6299"/>
    <w:rsid w:val="00AA73FF"/>
    <w:rsid w:val="00AA7B72"/>
    <w:rsid w:val="00AB0F8F"/>
    <w:rsid w:val="00AB1926"/>
    <w:rsid w:val="00AB1B89"/>
    <w:rsid w:val="00AB228E"/>
    <w:rsid w:val="00AB244D"/>
    <w:rsid w:val="00AB32BB"/>
    <w:rsid w:val="00AB7205"/>
    <w:rsid w:val="00AB7C34"/>
    <w:rsid w:val="00AC20F0"/>
    <w:rsid w:val="00AC2884"/>
    <w:rsid w:val="00AC2AE6"/>
    <w:rsid w:val="00AC3C3A"/>
    <w:rsid w:val="00AC5C95"/>
    <w:rsid w:val="00AC5F8C"/>
    <w:rsid w:val="00AC68A9"/>
    <w:rsid w:val="00AD33F1"/>
    <w:rsid w:val="00AD77F0"/>
    <w:rsid w:val="00AE0986"/>
    <w:rsid w:val="00AE29E9"/>
    <w:rsid w:val="00AE391E"/>
    <w:rsid w:val="00AE552E"/>
    <w:rsid w:val="00AE68C4"/>
    <w:rsid w:val="00AF099A"/>
    <w:rsid w:val="00AF36B8"/>
    <w:rsid w:val="00AF3708"/>
    <w:rsid w:val="00AF65B7"/>
    <w:rsid w:val="00B0223F"/>
    <w:rsid w:val="00B05877"/>
    <w:rsid w:val="00B05EA2"/>
    <w:rsid w:val="00B07149"/>
    <w:rsid w:val="00B10D53"/>
    <w:rsid w:val="00B11056"/>
    <w:rsid w:val="00B112C3"/>
    <w:rsid w:val="00B11C82"/>
    <w:rsid w:val="00B12E4C"/>
    <w:rsid w:val="00B130EE"/>
    <w:rsid w:val="00B146B2"/>
    <w:rsid w:val="00B16BAB"/>
    <w:rsid w:val="00B17FCC"/>
    <w:rsid w:val="00B2041C"/>
    <w:rsid w:val="00B21FDE"/>
    <w:rsid w:val="00B22513"/>
    <w:rsid w:val="00B22C19"/>
    <w:rsid w:val="00B24491"/>
    <w:rsid w:val="00B255F9"/>
    <w:rsid w:val="00B26163"/>
    <w:rsid w:val="00B26904"/>
    <w:rsid w:val="00B2743A"/>
    <w:rsid w:val="00B27E3E"/>
    <w:rsid w:val="00B3092F"/>
    <w:rsid w:val="00B30E53"/>
    <w:rsid w:val="00B32CAF"/>
    <w:rsid w:val="00B40D1C"/>
    <w:rsid w:val="00B45DDA"/>
    <w:rsid w:val="00B47F8B"/>
    <w:rsid w:val="00B52C4D"/>
    <w:rsid w:val="00B53165"/>
    <w:rsid w:val="00B5611D"/>
    <w:rsid w:val="00B6150D"/>
    <w:rsid w:val="00B64A2E"/>
    <w:rsid w:val="00B65C9F"/>
    <w:rsid w:val="00B66199"/>
    <w:rsid w:val="00B67BA3"/>
    <w:rsid w:val="00B67CEC"/>
    <w:rsid w:val="00B67F73"/>
    <w:rsid w:val="00B73F44"/>
    <w:rsid w:val="00B73F4F"/>
    <w:rsid w:val="00B80ABA"/>
    <w:rsid w:val="00B837F5"/>
    <w:rsid w:val="00B86012"/>
    <w:rsid w:val="00B860D1"/>
    <w:rsid w:val="00B866D5"/>
    <w:rsid w:val="00B86D03"/>
    <w:rsid w:val="00B86D8C"/>
    <w:rsid w:val="00B92319"/>
    <w:rsid w:val="00B94D43"/>
    <w:rsid w:val="00B95B70"/>
    <w:rsid w:val="00B95C8D"/>
    <w:rsid w:val="00BA1B08"/>
    <w:rsid w:val="00BA1B51"/>
    <w:rsid w:val="00BA593B"/>
    <w:rsid w:val="00BA7952"/>
    <w:rsid w:val="00BB0914"/>
    <w:rsid w:val="00BB4BC9"/>
    <w:rsid w:val="00BB5306"/>
    <w:rsid w:val="00BB5618"/>
    <w:rsid w:val="00BB759B"/>
    <w:rsid w:val="00BB7FAC"/>
    <w:rsid w:val="00BC4FE3"/>
    <w:rsid w:val="00BD0EED"/>
    <w:rsid w:val="00BD1506"/>
    <w:rsid w:val="00BD1D1D"/>
    <w:rsid w:val="00BD3A4E"/>
    <w:rsid w:val="00BD3DAD"/>
    <w:rsid w:val="00BD48F3"/>
    <w:rsid w:val="00BD4B98"/>
    <w:rsid w:val="00BD53DF"/>
    <w:rsid w:val="00BD640A"/>
    <w:rsid w:val="00BD6893"/>
    <w:rsid w:val="00BE0431"/>
    <w:rsid w:val="00BE118E"/>
    <w:rsid w:val="00BE146B"/>
    <w:rsid w:val="00BE15FE"/>
    <w:rsid w:val="00BE2D83"/>
    <w:rsid w:val="00BF0854"/>
    <w:rsid w:val="00BF44F5"/>
    <w:rsid w:val="00BF63AE"/>
    <w:rsid w:val="00C01F4A"/>
    <w:rsid w:val="00C026C3"/>
    <w:rsid w:val="00C03B0B"/>
    <w:rsid w:val="00C06152"/>
    <w:rsid w:val="00C0747D"/>
    <w:rsid w:val="00C075AF"/>
    <w:rsid w:val="00C077A7"/>
    <w:rsid w:val="00C078E8"/>
    <w:rsid w:val="00C10374"/>
    <w:rsid w:val="00C109D7"/>
    <w:rsid w:val="00C1100C"/>
    <w:rsid w:val="00C1152B"/>
    <w:rsid w:val="00C140D4"/>
    <w:rsid w:val="00C2241C"/>
    <w:rsid w:val="00C22445"/>
    <w:rsid w:val="00C22F5B"/>
    <w:rsid w:val="00C23D42"/>
    <w:rsid w:val="00C26440"/>
    <w:rsid w:val="00C30131"/>
    <w:rsid w:val="00C35D38"/>
    <w:rsid w:val="00C35D9D"/>
    <w:rsid w:val="00C3778D"/>
    <w:rsid w:val="00C4168B"/>
    <w:rsid w:val="00C4231F"/>
    <w:rsid w:val="00C42C0F"/>
    <w:rsid w:val="00C44F7C"/>
    <w:rsid w:val="00C453ED"/>
    <w:rsid w:val="00C51945"/>
    <w:rsid w:val="00C51AF3"/>
    <w:rsid w:val="00C52A77"/>
    <w:rsid w:val="00C55928"/>
    <w:rsid w:val="00C5705C"/>
    <w:rsid w:val="00C64551"/>
    <w:rsid w:val="00C705D7"/>
    <w:rsid w:val="00C73925"/>
    <w:rsid w:val="00C7478F"/>
    <w:rsid w:val="00C747C8"/>
    <w:rsid w:val="00C7588A"/>
    <w:rsid w:val="00C768DA"/>
    <w:rsid w:val="00C80A86"/>
    <w:rsid w:val="00C87798"/>
    <w:rsid w:val="00C95085"/>
    <w:rsid w:val="00C95BB0"/>
    <w:rsid w:val="00C9770C"/>
    <w:rsid w:val="00CA0E84"/>
    <w:rsid w:val="00CA459F"/>
    <w:rsid w:val="00CA51B6"/>
    <w:rsid w:val="00CA69DC"/>
    <w:rsid w:val="00CA7D90"/>
    <w:rsid w:val="00CB207B"/>
    <w:rsid w:val="00CB22D4"/>
    <w:rsid w:val="00CB24FF"/>
    <w:rsid w:val="00CB2523"/>
    <w:rsid w:val="00CB28DC"/>
    <w:rsid w:val="00CC0815"/>
    <w:rsid w:val="00CC3C73"/>
    <w:rsid w:val="00CC3E2B"/>
    <w:rsid w:val="00CC5959"/>
    <w:rsid w:val="00CD06A9"/>
    <w:rsid w:val="00CD0BDB"/>
    <w:rsid w:val="00CD2365"/>
    <w:rsid w:val="00CD3341"/>
    <w:rsid w:val="00CD352E"/>
    <w:rsid w:val="00CD3D26"/>
    <w:rsid w:val="00CD4155"/>
    <w:rsid w:val="00CD520C"/>
    <w:rsid w:val="00CD64F3"/>
    <w:rsid w:val="00CD67B3"/>
    <w:rsid w:val="00CE2FA5"/>
    <w:rsid w:val="00CF275E"/>
    <w:rsid w:val="00CF28E1"/>
    <w:rsid w:val="00CF3282"/>
    <w:rsid w:val="00CF3790"/>
    <w:rsid w:val="00CF3B96"/>
    <w:rsid w:val="00CF72F1"/>
    <w:rsid w:val="00CF78B9"/>
    <w:rsid w:val="00D00EF3"/>
    <w:rsid w:val="00D01D95"/>
    <w:rsid w:val="00D0219E"/>
    <w:rsid w:val="00D02788"/>
    <w:rsid w:val="00D05897"/>
    <w:rsid w:val="00D068D9"/>
    <w:rsid w:val="00D06CB8"/>
    <w:rsid w:val="00D07EB0"/>
    <w:rsid w:val="00D11EAB"/>
    <w:rsid w:val="00D22386"/>
    <w:rsid w:val="00D25B53"/>
    <w:rsid w:val="00D25F51"/>
    <w:rsid w:val="00D3224C"/>
    <w:rsid w:val="00D3235C"/>
    <w:rsid w:val="00D3337B"/>
    <w:rsid w:val="00D33D3F"/>
    <w:rsid w:val="00D34E15"/>
    <w:rsid w:val="00D34EC0"/>
    <w:rsid w:val="00D355EB"/>
    <w:rsid w:val="00D356F8"/>
    <w:rsid w:val="00D41EBD"/>
    <w:rsid w:val="00D42696"/>
    <w:rsid w:val="00D43153"/>
    <w:rsid w:val="00D46A89"/>
    <w:rsid w:val="00D47B1F"/>
    <w:rsid w:val="00D533BC"/>
    <w:rsid w:val="00D53F3B"/>
    <w:rsid w:val="00D54AE2"/>
    <w:rsid w:val="00D55442"/>
    <w:rsid w:val="00D565E2"/>
    <w:rsid w:val="00D57CE5"/>
    <w:rsid w:val="00D608D8"/>
    <w:rsid w:val="00D67582"/>
    <w:rsid w:val="00D7011D"/>
    <w:rsid w:val="00D70652"/>
    <w:rsid w:val="00D71ABC"/>
    <w:rsid w:val="00D732D0"/>
    <w:rsid w:val="00D73BEB"/>
    <w:rsid w:val="00D750EC"/>
    <w:rsid w:val="00D768A5"/>
    <w:rsid w:val="00D824AD"/>
    <w:rsid w:val="00D972EE"/>
    <w:rsid w:val="00D976A4"/>
    <w:rsid w:val="00DA23FA"/>
    <w:rsid w:val="00DA4B3B"/>
    <w:rsid w:val="00DA56ED"/>
    <w:rsid w:val="00DB1E44"/>
    <w:rsid w:val="00DB30E6"/>
    <w:rsid w:val="00DB7F8A"/>
    <w:rsid w:val="00DC0174"/>
    <w:rsid w:val="00DC02CE"/>
    <w:rsid w:val="00DC3540"/>
    <w:rsid w:val="00DC4B75"/>
    <w:rsid w:val="00DC4D99"/>
    <w:rsid w:val="00DC55C5"/>
    <w:rsid w:val="00DC6593"/>
    <w:rsid w:val="00DC65D2"/>
    <w:rsid w:val="00DD25F6"/>
    <w:rsid w:val="00DD3053"/>
    <w:rsid w:val="00DD52A4"/>
    <w:rsid w:val="00DD69D4"/>
    <w:rsid w:val="00DE657A"/>
    <w:rsid w:val="00DF015D"/>
    <w:rsid w:val="00DF1132"/>
    <w:rsid w:val="00DF1322"/>
    <w:rsid w:val="00DF286F"/>
    <w:rsid w:val="00DF52C3"/>
    <w:rsid w:val="00DF6FA6"/>
    <w:rsid w:val="00DF76B2"/>
    <w:rsid w:val="00E00CF9"/>
    <w:rsid w:val="00E06053"/>
    <w:rsid w:val="00E07EA1"/>
    <w:rsid w:val="00E10C6D"/>
    <w:rsid w:val="00E12438"/>
    <w:rsid w:val="00E12E9C"/>
    <w:rsid w:val="00E1687A"/>
    <w:rsid w:val="00E17115"/>
    <w:rsid w:val="00E17E54"/>
    <w:rsid w:val="00E220E7"/>
    <w:rsid w:val="00E316F8"/>
    <w:rsid w:val="00E32974"/>
    <w:rsid w:val="00E331F9"/>
    <w:rsid w:val="00E33F21"/>
    <w:rsid w:val="00E37DC1"/>
    <w:rsid w:val="00E41285"/>
    <w:rsid w:val="00E43960"/>
    <w:rsid w:val="00E466E4"/>
    <w:rsid w:val="00E46FF3"/>
    <w:rsid w:val="00E51CA2"/>
    <w:rsid w:val="00E53278"/>
    <w:rsid w:val="00E5328E"/>
    <w:rsid w:val="00E55CE8"/>
    <w:rsid w:val="00E57083"/>
    <w:rsid w:val="00E57B64"/>
    <w:rsid w:val="00E6224F"/>
    <w:rsid w:val="00E6339D"/>
    <w:rsid w:val="00E656DE"/>
    <w:rsid w:val="00E67467"/>
    <w:rsid w:val="00E7262A"/>
    <w:rsid w:val="00E74FBE"/>
    <w:rsid w:val="00E770F6"/>
    <w:rsid w:val="00E84603"/>
    <w:rsid w:val="00E84697"/>
    <w:rsid w:val="00E86183"/>
    <w:rsid w:val="00E87764"/>
    <w:rsid w:val="00E908FE"/>
    <w:rsid w:val="00E91238"/>
    <w:rsid w:val="00E91BEB"/>
    <w:rsid w:val="00E9222A"/>
    <w:rsid w:val="00E9313F"/>
    <w:rsid w:val="00E96877"/>
    <w:rsid w:val="00E97E35"/>
    <w:rsid w:val="00EA4CE7"/>
    <w:rsid w:val="00EA5B90"/>
    <w:rsid w:val="00EA620C"/>
    <w:rsid w:val="00EA6B7D"/>
    <w:rsid w:val="00EA7C13"/>
    <w:rsid w:val="00EA7DBF"/>
    <w:rsid w:val="00EB0429"/>
    <w:rsid w:val="00EB044B"/>
    <w:rsid w:val="00EB4130"/>
    <w:rsid w:val="00EB47BD"/>
    <w:rsid w:val="00EB5AA5"/>
    <w:rsid w:val="00EC39B4"/>
    <w:rsid w:val="00EC47FE"/>
    <w:rsid w:val="00ED1216"/>
    <w:rsid w:val="00ED22E6"/>
    <w:rsid w:val="00ED5711"/>
    <w:rsid w:val="00ED5D51"/>
    <w:rsid w:val="00ED7041"/>
    <w:rsid w:val="00EE0EC3"/>
    <w:rsid w:val="00EE4F4D"/>
    <w:rsid w:val="00EF0C12"/>
    <w:rsid w:val="00EF231E"/>
    <w:rsid w:val="00EF294C"/>
    <w:rsid w:val="00EF3DA8"/>
    <w:rsid w:val="00EF77F1"/>
    <w:rsid w:val="00EF7F6D"/>
    <w:rsid w:val="00F030EE"/>
    <w:rsid w:val="00F051EF"/>
    <w:rsid w:val="00F063D9"/>
    <w:rsid w:val="00F102EF"/>
    <w:rsid w:val="00F1284B"/>
    <w:rsid w:val="00F134C1"/>
    <w:rsid w:val="00F13EA0"/>
    <w:rsid w:val="00F16154"/>
    <w:rsid w:val="00F16E9A"/>
    <w:rsid w:val="00F20C42"/>
    <w:rsid w:val="00F23E5E"/>
    <w:rsid w:val="00F25126"/>
    <w:rsid w:val="00F27B0F"/>
    <w:rsid w:val="00F30DDE"/>
    <w:rsid w:val="00F31816"/>
    <w:rsid w:val="00F3355E"/>
    <w:rsid w:val="00F3441D"/>
    <w:rsid w:val="00F350CA"/>
    <w:rsid w:val="00F369A7"/>
    <w:rsid w:val="00F4129D"/>
    <w:rsid w:val="00F44065"/>
    <w:rsid w:val="00F44173"/>
    <w:rsid w:val="00F45A56"/>
    <w:rsid w:val="00F46155"/>
    <w:rsid w:val="00F47BA8"/>
    <w:rsid w:val="00F47D50"/>
    <w:rsid w:val="00F54160"/>
    <w:rsid w:val="00F55D7F"/>
    <w:rsid w:val="00F56921"/>
    <w:rsid w:val="00F60DAA"/>
    <w:rsid w:val="00F620D2"/>
    <w:rsid w:val="00F63024"/>
    <w:rsid w:val="00F67451"/>
    <w:rsid w:val="00F74924"/>
    <w:rsid w:val="00F75464"/>
    <w:rsid w:val="00F76915"/>
    <w:rsid w:val="00F7710B"/>
    <w:rsid w:val="00F80802"/>
    <w:rsid w:val="00F81454"/>
    <w:rsid w:val="00F81CBB"/>
    <w:rsid w:val="00F853EC"/>
    <w:rsid w:val="00F8549E"/>
    <w:rsid w:val="00F87499"/>
    <w:rsid w:val="00F905B2"/>
    <w:rsid w:val="00F930C1"/>
    <w:rsid w:val="00FA1955"/>
    <w:rsid w:val="00FA1B97"/>
    <w:rsid w:val="00FA1E0B"/>
    <w:rsid w:val="00FA2E00"/>
    <w:rsid w:val="00FA6A7F"/>
    <w:rsid w:val="00FA6FA4"/>
    <w:rsid w:val="00FA7EF1"/>
    <w:rsid w:val="00FB03A9"/>
    <w:rsid w:val="00FB16DD"/>
    <w:rsid w:val="00FB3703"/>
    <w:rsid w:val="00FB3C30"/>
    <w:rsid w:val="00FB4DF7"/>
    <w:rsid w:val="00FB6D5F"/>
    <w:rsid w:val="00FB7907"/>
    <w:rsid w:val="00FC035B"/>
    <w:rsid w:val="00FC1B63"/>
    <w:rsid w:val="00FC1D95"/>
    <w:rsid w:val="00FC2426"/>
    <w:rsid w:val="00FC4EA9"/>
    <w:rsid w:val="00FC559C"/>
    <w:rsid w:val="00FC5B7E"/>
    <w:rsid w:val="00FD03BE"/>
    <w:rsid w:val="00FD6A5C"/>
    <w:rsid w:val="00FD6E97"/>
    <w:rsid w:val="00FE12FD"/>
    <w:rsid w:val="00FE14D3"/>
    <w:rsid w:val="00FE19EB"/>
    <w:rsid w:val="00FE3D9E"/>
    <w:rsid w:val="00FF1172"/>
    <w:rsid w:val="00FF3FE2"/>
    <w:rsid w:val="00FF4BBA"/>
    <w:rsid w:val="00FF6034"/>
    <w:rsid w:val="00FF7685"/>
    <w:rsid w:val="00FF774A"/>
    <w:rsid w:val="0FE70455"/>
    <w:rsid w:val="10DC34E6"/>
    <w:rsid w:val="11A55A2B"/>
    <w:rsid w:val="14D763F0"/>
    <w:rsid w:val="1EDEE80C"/>
    <w:rsid w:val="1FAD014F"/>
    <w:rsid w:val="29A6391D"/>
    <w:rsid w:val="2C9C3E1F"/>
    <w:rsid w:val="2F8F0500"/>
    <w:rsid w:val="3B166DA3"/>
    <w:rsid w:val="563E4221"/>
    <w:rsid w:val="5680032B"/>
    <w:rsid w:val="57D318AD"/>
    <w:rsid w:val="5FA765D1"/>
    <w:rsid w:val="5FAD1FBC"/>
    <w:rsid w:val="63194D6A"/>
    <w:rsid w:val="63A32842"/>
    <w:rsid w:val="65F230D2"/>
    <w:rsid w:val="6BDB2C0A"/>
    <w:rsid w:val="6FFE3C7D"/>
    <w:rsid w:val="763653C6"/>
    <w:rsid w:val="79AE0AF8"/>
    <w:rsid w:val="7BCC1837"/>
    <w:rsid w:val="7FD5B928"/>
    <w:rsid w:val="AFEFB470"/>
    <w:rsid w:val="BFBEE98D"/>
    <w:rsid w:val="DBFDB5AA"/>
    <w:rsid w:val="EAEF7B81"/>
    <w:rsid w:val="EFDD9B0B"/>
    <w:rsid w:val="FEEDCEDA"/>
    <w:rsid w:val="FEFF48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link w:val="14"/>
    <w:unhideWhenUsed/>
    <w:qFormat/>
    <w:uiPriority w:val="99"/>
    <w:pPr>
      <w:ind w:firstLine="588" w:firstLineChars="200"/>
    </w:pPr>
    <w:rPr>
      <w:rFonts w:ascii="仿宋_GB2312" w:hAnsi="Calibri" w:eastAsia="仿宋_GB2312"/>
      <w:sz w:val="32"/>
    </w:rPr>
  </w:style>
  <w:style w:type="paragraph" w:styleId="3">
    <w:name w:val="Balloon Text"/>
    <w:basedOn w:val="1"/>
    <w:link w:val="17"/>
    <w:semiHidden/>
    <w:qFormat/>
    <w:uiPriority w:val="0"/>
    <w:rPr>
      <w:sz w:val="18"/>
      <w:szCs w:val="18"/>
    </w:rPr>
  </w:style>
  <w:style w:type="paragraph" w:styleId="4">
    <w:name w:val="footer"/>
    <w:basedOn w:val="1"/>
    <w:link w:val="11"/>
    <w:unhideWhenUsed/>
    <w:qFormat/>
    <w:uiPriority w:val="0"/>
    <w:pPr>
      <w:tabs>
        <w:tab w:val="center" w:pos="4153"/>
        <w:tab w:val="right" w:pos="8306"/>
      </w:tabs>
      <w:snapToGrid w:val="0"/>
      <w:jc w:val="left"/>
    </w:pPr>
    <w:rPr>
      <w:sz w:val="18"/>
      <w:szCs w:val="18"/>
    </w:rPr>
  </w:style>
  <w:style w:type="paragraph" w:styleId="5">
    <w:name w:val="header"/>
    <w:basedOn w:val="1"/>
    <w:link w:val="10"/>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9">
    <w:name w:val="page number"/>
    <w:qFormat/>
    <w:uiPriority w:val="0"/>
  </w:style>
  <w:style w:type="character" w:customStyle="1" w:styleId="10">
    <w:name w:val="页眉 Char"/>
    <w:basedOn w:val="8"/>
    <w:link w:val="5"/>
    <w:semiHidden/>
    <w:qFormat/>
    <w:uiPriority w:val="99"/>
    <w:rPr>
      <w:sz w:val="18"/>
      <w:szCs w:val="18"/>
    </w:rPr>
  </w:style>
  <w:style w:type="character" w:customStyle="1" w:styleId="11">
    <w:name w:val="页脚 Char"/>
    <w:basedOn w:val="8"/>
    <w:link w:val="4"/>
    <w:qFormat/>
    <w:uiPriority w:val="0"/>
    <w:rPr>
      <w:sz w:val="18"/>
      <w:szCs w:val="18"/>
    </w:rPr>
  </w:style>
  <w:style w:type="character" w:customStyle="1" w:styleId="12">
    <w:name w:val="标题 3 Char Char"/>
    <w:qFormat/>
    <w:uiPriority w:val="0"/>
    <w:rPr>
      <w:rFonts w:eastAsia="楷体_GB2312"/>
      <w:b/>
      <w:kern w:val="2"/>
      <w:sz w:val="32"/>
      <w:szCs w:val="24"/>
      <w:lang w:val="en-US" w:eastAsia="zh-CN" w:bidi="ar-SA"/>
    </w:rPr>
  </w:style>
  <w:style w:type="paragraph" w:customStyle="1" w:styleId="13">
    <w:name w:val="Char"/>
    <w:basedOn w:val="1"/>
    <w:qFormat/>
    <w:uiPriority w:val="0"/>
    <w:pPr>
      <w:autoSpaceDE w:val="0"/>
      <w:autoSpaceDN w:val="0"/>
      <w:adjustRightInd w:val="0"/>
    </w:pPr>
    <w:rPr>
      <w:rFonts w:ascii="宋体" w:cs="宋体"/>
      <w:kern w:val="0"/>
      <w:sz w:val="20"/>
      <w:szCs w:val="20"/>
      <w:lang w:val="zh-CN"/>
    </w:rPr>
  </w:style>
  <w:style w:type="character" w:customStyle="1" w:styleId="14">
    <w:name w:val="正文文本缩进 2 Char"/>
    <w:basedOn w:val="8"/>
    <w:link w:val="2"/>
    <w:qFormat/>
    <w:uiPriority w:val="99"/>
    <w:rPr>
      <w:rFonts w:ascii="仿宋_GB2312" w:hAnsi="Calibri" w:eastAsia="仿宋_GB2312" w:cs="Times New Roman"/>
      <w:sz w:val="32"/>
      <w:szCs w:val="24"/>
    </w:rPr>
  </w:style>
  <w:style w:type="paragraph" w:customStyle="1" w:styleId="15">
    <w:name w:val="Char1"/>
    <w:basedOn w:val="1"/>
    <w:qFormat/>
    <w:uiPriority w:val="0"/>
    <w:rPr>
      <w:rFonts w:ascii="仿宋_GB2312" w:eastAsia="仿宋_GB2312"/>
      <w:sz w:val="32"/>
    </w:rPr>
  </w:style>
  <w:style w:type="paragraph" w:customStyle="1" w:styleId="16">
    <w:name w:val="Char Char Char Char Char Char Char Char Char Char Char Char1 Char Char Char Char"/>
    <w:basedOn w:val="1"/>
    <w:qFormat/>
    <w:uiPriority w:val="0"/>
    <w:pPr>
      <w:numPr>
        <w:ilvl w:val="0"/>
        <w:numId w:val="1"/>
      </w:numPr>
      <w:tabs>
        <w:tab w:val="left" w:pos="720"/>
      </w:tabs>
    </w:pPr>
    <w:rPr>
      <w:szCs w:val="20"/>
    </w:rPr>
  </w:style>
  <w:style w:type="character" w:customStyle="1" w:styleId="17">
    <w:name w:val="批注框文本 Char"/>
    <w:basedOn w:val="8"/>
    <w:link w:val="3"/>
    <w:semiHidden/>
    <w:qFormat/>
    <w:uiPriority w:val="0"/>
    <w:rPr>
      <w:rFonts w:ascii="Times New Roman" w:hAnsi="Times New Roman" w:eastAsia="宋体" w:cs="Times New Roman"/>
      <w:sz w:val="18"/>
      <w:szCs w:val="18"/>
    </w:rPr>
  </w:style>
  <w:style w:type="paragraph" w:customStyle="1" w:styleId="18">
    <w:name w:val="Normal (Web)"/>
    <w:basedOn w:val="1"/>
    <w:qFormat/>
    <w:uiPriority w:val="0"/>
    <w:pPr>
      <w:spacing w:before="100" w:beforeAutospacing="1" w:after="100" w:afterAutospacing="1"/>
    </w:pPr>
  </w:style>
  <w:style w:type="paragraph" w:customStyle="1" w:styleId="19">
    <w:name w:val="Body text|1"/>
    <w:basedOn w:val="1"/>
    <w:qFormat/>
    <w:uiPriority w:val="0"/>
    <w:pPr>
      <w:spacing w:line="441" w:lineRule="auto"/>
      <w:ind w:firstLine="400"/>
    </w:pPr>
    <w:rPr>
      <w:rFonts w:ascii="MingLiU" w:hAnsi="MingLiU" w:eastAsia="MingLiU" w:cs="宋体"/>
      <w:sz w:val="18"/>
      <w:szCs w:val="18"/>
    </w:rPr>
  </w:style>
  <w:style w:type="character" w:customStyle="1" w:styleId="20">
    <w:name w:val="NormalCharacter"/>
    <w:semiHidden/>
    <w:qFormat/>
    <w:uiPriority w:val="0"/>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23</Pages>
  <Words>1642</Words>
  <Characters>9361</Characters>
  <Lines>78</Lines>
  <Paragraphs>21</Paragraphs>
  <TotalTime>10</TotalTime>
  <ScaleCrop>false</ScaleCrop>
  <LinksUpToDate>false</LinksUpToDate>
  <CharactersWithSpaces>10982</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2021-06-06T09:03:00Z</dcterms:created>
  <dc:creator>User</dc:creator>
  <cp:lastModifiedBy>瑶瑶</cp:lastModifiedBy>
  <cp:lastPrinted>2022-02-27T16:44:00Z</cp:lastPrinted>
  <dcterms:modified xsi:type="dcterms:W3CDTF">2022-06-06T16:30:50Z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59DFE6DCB32445A997B143156B31B889</vt:lpwstr>
  </property>
</Properties>
</file>