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3D" w:rsidRDefault="00495D3D">
      <w:pPr>
        <w:pStyle w:val="Default"/>
        <w:jc w:val="center"/>
        <w:rPr>
          <w:sz w:val="56"/>
          <w:szCs w:val="56"/>
        </w:rPr>
      </w:pPr>
    </w:p>
    <w:p w:rsidR="00495D3D" w:rsidRDefault="00495D3D">
      <w:pPr>
        <w:pStyle w:val="Default"/>
        <w:jc w:val="center"/>
        <w:rPr>
          <w:sz w:val="56"/>
          <w:szCs w:val="56"/>
        </w:rPr>
      </w:pPr>
    </w:p>
    <w:p w:rsidR="00495D3D" w:rsidRDefault="00495D3D">
      <w:pPr>
        <w:pStyle w:val="Default"/>
        <w:jc w:val="center"/>
        <w:rPr>
          <w:sz w:val="84"/>
          <w:szCs w:val="84"/>
        </w:rPr>
      </w:pPr>
    </w:p>
    <w:p w:rsidR="00495D3D" w:rsidRDefault="00495D3D">
      <w:pPr>
        <w:pStyle w:val="Default"/>
        <w:jc w:val="center"/>
        <w:rPr>
          <w:sz w:val="84"/>
          <w:szCs w:val="84"/>
        </w:rPr>
      </w:pPr>
    </w:p>
    <w:p w:rsidR="00495D3D" w:rsidRDefault="00C71BC8">
      <w:pPr>
        <w:pStyle w:val="Default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2021年度</w:t>
      </w:r>
    </w:p>
    <w:p w:rsidR="00495D3D" w:rsidRDefault="00C71BC8">
      <w:pPr>
        <w:pStyle w:val="Default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岳阳市法律援助中心</w:t>
      </w:r>
    </w:p>
    <w:p w:rsidR="00495D3D" w:rsidRDefault="00C71BC8">
      <w:pPr>
        <w:pStyle w:val="Default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部门决算</w:t>
      </w:r>
    </w:p>
    <w:p w:rsidR="00495D3D" w:rsidRDefault="00495D3D">
      <w:pPr>
        <w:pStyle w:val="Default"/>
        <w:jc w:val="center"/>
        <w:rPr>
          <w:sz w:val="56"/>
          <w:szCs w:val="56"/>
        </w:rPr>
      </w:pPr>
    </w:p>
    <w:p w:rsidR="00495D3D" w:rsidRDefault="00495D3D">
      <w:pPr>
        <w:pStyle w:val="Default"/>
        <w:jc w:val="center"/>
        <w:rPr>
          <w:sz w:val="56"/>
          <w:szCs w:val="56"/>
        </w:rPr>
      </w:pPr>
    </w:p>
    <w:p w:rsidR="00495D3D" w:rsidRDefault="00495D3D">
      <w:pPr>
        <w:pStyle w:val="Default"/>
        <w:jc w:val="center"/>
        <w:rPr>
          <w:sz w:val="56"/>
          <w:szCs w:val="56"/>
        </w:rPr>
      </w:pPr>
    </w:p>
    <w:p w:rsidR="00495D3D" w:rsidRDefault="00495D3D">
      <w:pPr>
        <w:pStyle w:val="Default"/>
        <w:jc w:val="center"/>
        <w:rPr>
          <w:sz w:val="56"/>
          <w:szCs w:val="56"/>
        </w:rPr>
      </w:pPr>
    </w:p>
    <w:p w:rsidR="00495D3D" w:rsidRDefault="00495D3D">
      <w:pPr>
        <w:pStyle w:val="Default"/>
        <w:jc w:val="center"/>
        <w:rPr>
          <w:sz w:val="32"/>
          <w:szCs w:val="32"/>
        </w:rPr>
      </w:pPr>
    </w:p>
    <w:p w:rsidR="00495D3D" w:rsidRDefault="00495D3D">
      <w:pPr>
        <w:pStyle w:val="Default"/>
        <w:jc w:val="center"/>
        <w:rPr>
          <w:sz w:val="32"/>
          <w:szCs w:val="32"/>
        </w:rPr>
      </w:pPr>
    </w:p>
    <w:p w:rsidR="00495D3D" w:rsidRDefault="00495D3D">
      <w:pPr>
        <w:pStyle w:val="Default"/>
        <w:jc w:val="center"/>
        <w:rPr>
          <w:sz w:val="32"/>
          <w:szCs w:val="32"/>
        </w:rPr>
      </w:pPr>
    </w:p>
    <w:p w:rsidR="00495D3D" w:rsidRDefault="00495D3D">
      <w:pPr>
        <w:pStyle w:val="Default"/>
        <w:jc w:val="center"/>
        <w:rPr>
          <w:sz w:val="32"/>
          <w:szCs w:val="32"/>
        </w:rPr>
      </w:pPr>
    </w:p>
    <w:p w:rsidR="00495D3D" w:rsidRDefault="00495D3D">
      <w:pPr>
        <w:pStyle w:val="Default"/>
        <w:jc w:val="center"/>
        <w:rPr>
          <w:sz w:val="32"/>
          <w:szCs w:val="32"/>
        </w:rPr>
      </w:pPr>
    </w:p>
    <w:p w:rsidR="00495D3D" w:rsidRDefault="00495D3D">
      <w:pPr>
        <w:pStyle w:val="Default"/>
        <w:spacing w:line="540" w:lineRule="exact"/>
        <w:jc w:val="center"/>
        <w:rPr>
          <w:sz w:val="56"/>
          <w:szCs w:val="56"/>
        </w:rPr>
      </w:pPr>
    </w:p>
    <w:p w:rsidR="00495D3D" w:rsidRDefault="00495D3D">
      <w:pPr>
        <w:pStyle w:val="Default"/>
        <w:spacing w:line="500" w:lineRule="exact"/>
        <w:jc w:val="center"/>
        <w:rPr>
          <w:b/>
          <w:sz w:val="36"/>
          <w:szCs w:val="28"/>
        </w:rPr>
      </w:pPr>
    </w:p>
    <w:p w:rsidR="00495D3D" w:rsidRDefault="00495D3D">
      <w:pPr>
        <w:pStyle w:val="Default"/>
        <w:spacing w:line="500" w:lineRule="exact"/>
        <w:jc w:val="center"/>
        <w:rPr>
          <w:b/>
          <w:sz w:val="36"/>
          <w:szCs w:val="28"/>
        </w:rPr>
      </w:pPr>
    </w:p>
    <w:p w:rsidR="00495D3D" w:rsidRDefault="00C71BC8">
      <w:pPr>
        <w:pStyle w:val="Default"/>
        <w:spacing w:line="48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目录</w:t>
      </w:r>
    </w:p>
    <w:p w:rsidR="00495D3D" w:rsidRDefault="00C71BC8">
      <w:pPr>
        <w:pStyle w:val="Default"/>
        <w:spacing w:line="48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第一部分单位概况</w:t>
      </w:r>
    </w:p>
    <w:p w:rsidR="00495D3D" w:rsidRDefault="00C71BC8">
      <w:pPr>
        <w:pStyle w:val="Default"/>
        <w:spacing w:line="48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一、部门职责</w:t>
      </w:r>
    </w:p>
    <w:p w:rsidR="00495D3D" w:rsidRDefault="00C71BC8">
      <w:pPr>
        <w:pStyle w:val="Default"/>
        <w:spacing w:line="48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二、机构设置</w:t>
      </w:r>
      <w:r w:rsidR="000F4578">
        <w:rPr>
          <w:rFonts w:asciiTheme="minorEastAsia" w:eastAsiaTheme="minorEastAsia" w:hAnsiTheme="minorEastAsia" w:cs="仿宋_GB2312" w:hint="eastAsia"/>
          <w:sz w:val="28"/>
          <w:szCs w:val="28"/>
        </w:rPr>
        <w:t>及决算单位构成</w:t>
      </w:r>
    </w:p>
    <w:p w:rsidR="00495D3D" w:rsidRDefault="00C71BC8">
      <w:pPr>
        <w:pStyle w:val="Default"/>
        <w:spacing w:line="48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Ansi="仿宋_GB2312" w:hint="eastAsia"/>
          <w:b/>
          <w:sz w:val="28"/>
          <w:szCs w:val="28"/>
        </w:rPr>
        <w:t>第二部分</w:t>
      </w:r>
      <w:r>
        <w:rPr>
          <w:rFonts w:hAnsi="仿宋_GB2312"/>
          <w:b/>
          <w:sz w:val="28"/>
          <w:szCs w:val="28"/>
        </w:rPr>
        <w:t>20</w:t>
      </w:r>
      <w:r>
        <w:rPr>
          <w:rFonts w:hAnsi="仿宋_GB2312" w:hint="eastAsia"/>
          <w:b/>
          <w:sz w:val="28"/>
          <w:szCs w:val="28"/>
        </w:rPr>
        <w:t>21年度部门决算表</w:t>
      </w:r>
    </w:p>
    <w:p w:rsidR="00495D3D" w:rsidRDefault="00C71BC8">
      <w:pPr>
        <w:pStyle w:val="Default"/>
        <w:spacing w:line="48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一、收入支出决算总表</w:t>
      </w:r>
    </w:p>
    <w:p w:rsidR="00495D3D" w:rsidRDefault="00C71BC8">
      <w:pPr>
        <w:pStyle w:val="Default"/>
        <w:spacing w:line="48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二、收入决算表</w:t>
      </w:r>
    </w:p>
    <w:p w:rsidR="00495D3D" w:rsidRDefault="00C71BC8">
      <w:pPr>
        <w:pStyle w:val="Default"/>
        <w:spacing w:line="48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三、支出决算表</w:t>
      </w:r>
    </w:p>
    <w:p w:rsidR="00495D3D" w:rsidRDefault="00C71BC8">
      <w:pPr>
        <w:pStyle w:val="Default"/>
        <w:spacing w:line="48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四、财政拨款收入支出决算总表</w:t>
      </w:r>
    </w:p>
    <w:p w:rsidR="00495D3D" w:rsidRDefault="00C71BC8">
      <w:pPr>
        <w:pStyle w:val="Default"/>
        <w:spacing w:line="48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五、一般公共预算财政拨款支出决算表</w:t>
      </w:r>
    </w:p>
    <w:p w:rsidR="00495D3D" w:rsidRDefault="00C71BC8">
      <w:pPr>
        <w:pStyle w:val="Default"/>
        <w:spacing w:line="48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六、一般公共预算财政拨款基本支出决算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明细</w:t>
      </w:r>
      <w:r>
        <w:rPr>
          <w:rFonts w:asciiTheme="minorEastAsia" w:eastAsiaTheme="minorEastAsia" w:hAnsiTheme="minorEastAsia" w:cs="仿宋_GB2312"/>
          <w:sz w:val="28"/>
          <w:szCs w:val="28"/>
        </w:rPr>
        <w:t>表</w:t>
      </w:r>
    </w:p>
    <w:p w:rsidR="00495D3D" w:rsidRDefault="00C71BC8">
      <w:pPr>
        <w:pStyle w:val="Default"/>
        <w:spacing w:line="48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七、一般公共预算财政拨款“三公”经费支出决算表</w:t>
      </w:r>
    </w:p>
    <w:p w:rsidR="00495D3D" w:rsidRDefault="00C71BC8">
      <w:pPr>
        <w:pStyle w:val="Default"/>
        <w:spacing w:line="48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八、政府性基金预算财政拨款收入支出决算表</w:t>
      </w:r>
    </w:p>
    <w:p w:rsidR="00495D3D" w:rsidRDefault="00C71BC8">
      <w:pPr>
        <w:pStyle w:val="Default"/>
        <w:spacing w:line="48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九、国有资本经营预算财政拨款支出决算表</w:t>
      </w:r>
    </w:p>
    <w:p w:rsidR="00495D3D" w:rsidRDefault="00C71BC8">
      <w:pPr>
        <w:pStyle w:val="Default"/>
        <w:spacing w:line="48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Ansi="仿宋_GB2312" w:hint="eastAsia"/>
          <w:b/>
          <w:sz w:val="28"/>
          <w:szCs w:val="28"/>
        </w:rPr>
        <w:t>第三部分</w:t>
      </w:r>
      <w:r>
        <w:rPr>
          <w:rFonts w:hAnsi="仿宋_GB2312"/>
          <w:b/>
          <w:sz w:val="28"/>
          <w:szCs w:val="28"/>
        </w:rPr>
        <w:t>20</w:t>
      </w:r>
      <w:r>
        <w:rPr>
          <w:rFonts w:hAnsi="仿宋_GB2312" w:hint="eastAsia"/>
          <w:b/>
          <w:sz w:val="28"/>
          <w:szCs w:val="28"/>
        </w:rPr>
        <w:t>21年度部门决算情况说明</w:t>
      </w:r>
    </w:p>
    <w:p w:rsidR="00495D3D" w:rsidRDefault="00C71BC8">
      <w:pPr>
        <w:pStyle w:val="Default"/>
        <w:spacing w:line="48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一、收入支出决算总体情况说明</w:t>
      </w:r>
    </w:p>
    <w:p w:rsidR="00495D3D" w:rsidRDefault="00C71BC8">
      <w:pPr>
        <w:spacing w:line="480" w:lineRule="exact"/>
        <w:ind w:firstLineChars="250" w:firstLine="70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二、收入决算情况说明</w:t>
      </w:r>
    </w:p>
    <w:p w:rsidR="00495D3D" w:rsidRDefault="00C71BC8">
      <w:pPr>
        <w:autoSpaceDE w:val="0"/>
        <w:autoSpaceDN w:val="0"/>
        <w:adjustRightInd w:val="0"/>
        <w:spacing w:line="48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三、支出决算情况说明</w:t>
      </w:r>
    </w:p>
    <w:p w:rsidR="00495D3D" w:rsidRDefault="00C71BC8">
      <w:pPr>
        <w:autoSpaceDE w:val="0"/>
        <w:autoSpaceDN w:val="0"/>
        <w:adjustRightInd w:val="0"/>
        <w:spacing w:line="48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 w:rsidR="00495D3D" w:rsidRDefault="00C71BC8">
      <w:pPr>
        <w:autoSpaceDE w:val="0"/>
        <w:autoSpaceDN w:val="0"/>
        <w:adjustRightInd w:val="0"/>
        <w:spacing w:line="48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 w:rsidR="00495D3D" w:rsidRDefault="00C71BC8">
      <w:pPr>
        <w:autoSpaceDE w:val="0"/>
        <w:autoSpaceDN w:val="0"/>
        <w:adjustRightInd w:val="0"/>
        <w:spacing w:line="48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 w:rsidR="00495D3D" w:rsidRDefault="00C71BC8">
      <w:pPr>
        <w:autoSpaceDE w:val="0"/>
        <w:autoSpaceDN w:val="0"/>
        <w:adjustRightInd w:val="0"/>
        <w:spacing w:line="48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七、一般公共预算财政拨款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“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三公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”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经费支出决算情况说明</w:t>
      </w:r>
    </w:p>
    <w:p w:rsidR="00495D3D" w:rsidRDefault="00C71BC8">
      <w:pPr>
        <w:autoSpaceDE w:val="0"/>
        <w:autoSpaceDN w:val="0"/>
        <w:adjustRightInd w:val="0"/>
        <w:spacing w:line="48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八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政府性基金预算收入支出决算情况</w:t>
      </w:r>
    </w:p>
    <w:p w:rsidR="00495D3D" w:rsidRDefault="00C71BC8">
      <w:pPr>
        <w:autoSpaceDE w:val="0"/>
        <w:autoSpaceDN w:val="0"/>
        <w:adjustRightInd w:val="0"/>
        <w:spacing w:line="48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九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asciiTheme="minorEastAsia" w:hAnsiTheme="minorEastAsia" w:cs="仿宋_GB2312" w:hint="eastAsia"/>
          <w:sz w:val="28"/>
          <w:szCs w:val="28"/>
        </w:rPr>
        <w:t>国有资本经营预算财政拨款支出决算情况</w:t>
      </w:r>
    </w:p>
    <w:p w:rsidR="00495D3D" w:rsidRDefault="00C71BC8">
      <w:pPr>
        <w:autoSpaceDE w:val="0"/>
        <w:autoSpaceDN w:val="0"/>
        <w:adjustRightInd w:val="0"/>
        <w:spacing w:line="48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十、机关运行经费支出说明</w:t>
      </w:r>
    </w:p>
    <w:p w:rsidR="00495D3D" w:rsidRDefault="00C71BC8">
      <w:pPr>
        <w:autoSpaceDE w:val="0"/>
        <w:autoSpaceDN w:val="0"/>
        <w:adjustRightInd w:val="0"/>
        <w:spacing w:line="48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十一、一般性支出情况说明</w:t>
      </w:r>
    </w:p>
    <w:p w:rsidR="00495D3D" w:rsidRDefault="00C71BC8">
      <w:pPr>
        <w:autoSpaceDE w:val="0"/>
        <w:autoSpaceDN w:val="0"/>
        <w:adjustRightInd w:val="0"/>
        <w:spacing w:line="480" w:lineRule="exact"/>
        <w:ind w:firstLineChars="250" w:firstLine="70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十二、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政府采购支出说明</w:t>
      </w:r>
    </w:p>
    <w:p w:rsidR="00495D3D" w:rsidRDefault="00C71BC8">
      <w:pPr>
        <w:pStyle w:val="Default"/>
        <w:spacing w:line="480" w:lineRule="exact"/>
        <w:ind w:firstLineChars="250" w:firstLine="700"/>
        <w:rPr>
          <w:rFonts w:ascii="仿宋_GB2312" w:eastAsiaTheme="minorEastAsia" w:hAnsi="仿宋_GB2312" w:cs="仿宋_GB2312"/>
          <w:sz w:val="28"/>
          <w:szCs w:val="28"/>
        </w:rPr>
      </w:pPr>
      <w:r>
        <w:rPr>
          <w:rFonts w:ascii="仿宋_GB2312" w:eastAsiaTheme="minorEastAsia" w:hAnsi="仿宋_GB2312" w:cs="仿宋_GB2312" w:hint="eastAsia"/>
          <w:sz w:val="28"/>
          <w:szCs w:val="28"/>
        </w:rPr>
        <w:t>十三、国有资产占用情况说明</w:t>
      </w:r>
    </w:p>
    <w:p w:rsidR="00495D3D" w:rsidRDefault="00C71BC8">
      <w:pPr>
        <w:pStyle w:val="Default"/>
        <w:spacing w:line="480" w:lineRule="exact"/>
        <w:ind w:firstLineChars="250" w:firstLine="700"/>
        <w:rPr>
          <w:rFonts w:ascii="仿宋_GB2312" w:eastAsiaTheme="minorEastAsia" w:hAnsi="仿宋_GB2312" w:cs="仿宋_GB2312"/>
          <w:sz w:val="28"/>
          <w:szCs w:val="28"/>
        </w:rPr>
      </w:pPr>
      <w:r>
        <w:rPr>
          <w:rFonts w:ascii="仿宋_GB2312" w:eastAsiaTheme="minorEastAsia" w:hAnsi="仿宋_GB2312" w:cs="仿宋_GB2312" w:hint="eastAsia"/>
          <w:sz w:val="28"/>
          <w:szCs w:val="28"/>
        </w:rPr>
        <w:lastRenderedPageBreak/>
        <w:t>十四、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2021年</w:t>
      </w:r>
      <w:r>
        <w:rPr>
          <w:rFonts w:ascii="仿宋_GB2312" w:eastAsiaTheme="minorEastAsia" w:hAnsi="仿宋_GB2312" w:cs="仿宋_GB2312" w:hint="eastAsia"/>
          <w:sz w:val="28"/>
          <w:szCs w:val="28"/>
        </w:rPr>
        <w:t>度预算绩效情况说明</w:t>
      </w:r>
    </w:p>
    <w:p w:rsidR="00495D3D" w:rsidRDefault="00C71BC8">
      <w:pPr>
        <w:autoSpaceDE w:val="0"/>
        <w:autoSpaceDN w:val="0"/>
        <w:adjustRightInd w:val="0"/>
        <w:spacing w:line="480" w:lineRule="exact"/>
        <w:jc w:val="left"/>
        <w:rPr>
          <w:rFonts w:ascii="黑体" w:eastAsia="黑体" w:hAnsi="黑体" w:cs="黑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黑体"/>
          <w:b/>
          <w:color w:val="000000"/>
          <w:kern w:val="0"/>
          <w:sz w:val="28"/>
          <w:szCs w:val="28"/>
        </w:rPr>
        <w:t>第四部分名词解释</w:t>
      </w:r>
    </w:p>
    <w:p w:rsidR="00495D3D" w:rsidRDefault="00C71BC8">
      <w:pPr>
        <w:autoSpaceDE w:val="0"/>
        <w:autoSpaceDN w:val="0"/>
        <w:adjustRightInd w:val="0"/>
        <w:spacing w:line="480" w:lineRule="exact"/>
        <w:jc w:val="left"/>
        <w:rPr>
          <w:rFonts w:ascii="黑体" w:eastAsia="黑体" w:hAnsi="黑体" w:cs="仿宋_GB2312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color w:val="000000"/>
          <w:kern w:val="0"/>
          <w:sz w:val="28"/>
          <w:szCs w:val="28"/>
        </w:rPr>
        <w:t>第五部分附件</w:t>
      </w:r>
    </w:p>
    <w:p w:rsidR="00495D3D" w:rsidRDefault="00495D3D">
      <w:pPr>
        <w:spacing w:line="620" w:lineRule="exact"/>
        <w:jc w:val="center"/>
        <w:rPr>
          <w:sz w:val="72"/>
          <w:szCs w:val="72"/>
        </w:rPr>
      </w:pPr>
    </w:p>
    <w:p w:rsidR="00495D3D" w:rsidRDefault="00495D3D">
      <w:pPr>
        <w:jc w:val="center"/>
        <w:rPr>
          <w:sz w:val="72"/>
          <w:szCs w:val="72"/>
        </w:rPr>
      </w:pPr>
    </w:p>
    <w:p w:rsidR="00495D3D" w:rsidRDefault="00495D3D">
      <w:pPr>
        <w:jc w:val="center"/>
        <w:rPr>
          <w:sz w:val="72"/>
          <w:szCs w:val="72"/>
        </w:rPr>
      </w:pPr>
    </w:p>
    <w:p w:rsidR="00495D3D" w:rsidRDefault="00495D3D">
      <w:pPr>
        <w:jc w:val="center"/>
        <w:rPr>
          <w:sz w:val="72"/>
          <w:szCs w:val="72"/>
        </w:rPr>
      </w:pPr>
    </w:p>
    <w:p w:rsidR="00495D3D" w:rsidRDefault="00495D3D">
      <w:pPr>
        <w:jc w:val="center"/>
        <w:rPr>
          <w:sz w:val="72"/>
          <w:szCs w:val="72"/>
        </w:rPr>
      </w:pPr>
    </w:p>
    <w:p w:rsidR="00495D3D" w:rsidRDefault="00495D3D">
      <w:pPr>
        <w:jc w:val="center"/>
        <w:rPr>
          <w:sz w:val="72"/>
          <w:szCs w:val="72"/>
        </w:rPr>
      </w:pPr>
    </w:p>
    <w:p w:rsidR="00495D3D" w:rsidRDefault="00495D3D">
      <w:pPr>
        <w:jc w:val="center"/>
        <w:rPr>
          <w:sz w:val="72"/>
          <w:szCs w:val="72"/>
        </w:rPr>
      </w:pPr>
    </w:p>
    <w:p w:rsidR="00495D3D" w:rsidRDefault="00495D3D">
      <w:pPr>
        <w:jc w:val="center"/>
        <w:rPr>
          <w:sz w:val="72"/>
          <w:szCs w:val="72"/>
        </w:rPr>
      </w:pPr>
    </w:p>
    <w:p w:rsidR="00495D3D" w:rsidRDefault="00495D3D">
      <w:pPr>
        <w:jc w:val="center"/>
        <w:rPr>
          <w:sz w:val="72"/>
          <w:szCs w:val="72"/>
        </w:rPr>
      </w:pPr>
    </w:p>
    <w:p w:rsidR="00495D3D" w:rsidRDefault="00495D3D">
      <w:pPr>
        <w:jc w:val="center"/>
        <w:rPr>
          <w:sz w:val="72"/>
          <w:szCs w:val="72"/>
        </w:rPr>
      </w:pPr>
    </w:p>
    <w:p w:rsidR="00495D3D" w:rsidRDefault="00495D3D">
      <w:pPr>
        <w:jc w:val="center"/>
        <w:rPr>
          <w:sz w:val="72"/>
          <w:szCs w:val="72"/>
        </w:rPr>
      </w:pPr>
    </w:p>
    <w:p w:rsidR="00495D3D" w:rsidRDefault="00495D3D">
      <w:pPr>
        <w:jc w:val="center"/>
        <w:rPr>
          <w:sz w:val="72"/>
          <w:szCs w:val="72"/>
        </w:rPr>
      </w:pPr>
    </w:p>
    <w:p w:rsidR="00495D3D" w:rsidRDefault="00495D3D">
      <w:pPr>
        <w:jc w:val="center"/>
        <w:rPr>
          <w:sz w:val="72"/>
          <w:szCs w:val="72"/>
        </w:rPr>
      </w:pPr>
    </w:p>
    <w:p w:rsidR="00495D3D" w:rsidRDefault="00495D3D">
      <w:pPr>
        <w:jc w:val="center"/>
        <w:rPr>
          <w:sz w:val="72"/>
          <w:szCs w:val="72"/>
        </w:rPr>
      </w:pPr>
    </w:p>
    <w:p w:rsidR="00495D3D" w:rsidRDefault="00495D3D">
      <w:pPr>
        <w:jc w:val="center"/>
        <w:rPr>
          <w:sz w:val="72"/>
          <w:szCs w:val="72"/>
        </w:rPr>
      </w:pPr>
    </w:p>
    <w:p w:rsidR="00495D3D" w:rsidRDefault="00495D3D">
      <w:pPr>
        <w:jc w:val="center"/>
        <w:rPr>
          <w:sz w:val="72"/>
          <w:szCs w:val="72"/>
        </w:rPr>
      </w:pPr>
    </w:p>
    <w:p w:rsidR="00495D3D" w:rsidRDefault="00495D3D">
      <w:pPr>
        <w:jc w:val="center"/>
        <w:rPr>
          <w:sz w:val="72"/>
          <w:szCs w:val="72"/>
        </w:rPr>
      </w:pPr>
    </w:p>
    <w:p w:rsidR="00495D3D" w:rsidRDefault="00495D3D">
      <w:pPr>
        <w:jc w:val="center"/>
        <w:rPr>
          <w:sz w:val="72"/>
          <w:szCs w:val="72"/>
        </w:rPr>
      </w:pPr>
    </w:p>
    <w:p w:rsidR="00495D3D" w:rsidRDefault="00495D3D">
      <w:pPr>
        <w:jc w:val="center"/>
        <w:rPr>
          <w:sz w:val="72"/>
          <w:szCs w:val="72"/>
        </w:rPr>
      </w:pPr>
    </w:p>
    <w:p w:rsidR="00495D3D" w:rsidRDefault="00495D3D">
      <w:pPr>
        <w:jc w:val="center"/>
        <w:rPr>
          <w:sz w:val="72"/>
          <w:szCs w:val="72"/>
        </w:rPr>
      </w:pPr>
    </w:p>
    <w:p w:rsidR="00495D3D" w:rsidRDefault="00495D3D">
      <w:pPr>
        <w:rPr>
          <w:sz w:val="72"/>
          <w:szCs w:val="72"/>
        </w:rPr>
      </w:pPr>
    </w:p>
    <w:p w:rsidR="00495D3D" w:rsidRDefault="00C71BC8">
      <w:pPr>
        <w:pStyle w:val="Default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第一部分</w:t>
      </w:r>
    </w:p>
    <w:p w:rsidR="00495D3D" w:rsidRDefault="00495D3D">
      <w:pPr>
        <w:pStyle w:val="Default"/>
        <w:jc w:val="center"/>
        <w:rPr>
          <w:sz w:val="84"/>
          <w:szCs w:val="84"/>
        </w:rPr>
      </w:pPr>
    </w:p>
    <w:p w:rsidR="00495D3D" w:rsidRDefault="00C71BC8">
      <w:pPr>
        <w:pStyle w:val="Default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单位概况</w:t>
      </w:r>
    </w:p>
    <w:p w:rsidR="00495D3D" w:rsidRDefault="00495D3D">
      <w:pPr>
        <w:jc w:val="center"/>
        <w:rPr>
          <w:sz w:val="72"/>
          <w:szCs w:val="72"/>
        </w:rPr>
      </w:pPr>
    </w:p>
    <w:p w:rsidR="00495D3D" w:rsidRDefault="00495D3D">
      <w:pPr>
        <w:jc w:val="center"/>
        <w:rPr>
          <w:sz w:val="72"/>
          <w:szCs w:val="72"/>
        </w:rPr>
      </w:pPr>
    </w:p>
    <w:p w:rsidR="00495D3D" w:rsidRDefault="00495D3D">
      <w:pPr>
        <w:jc w:val="center"/>
        <w:rPr>
          <w:sz w:val="72"/>
          <w:szCs w:val="72"/>
        </w:rPr>
      </w:pPr>
    </w:p>
    <w:p w:rsidR="00495D3D" w:rsidRDefault="00495D3D">
      <w:pPr>
        <w:jc w:val="center"/>
        <w:rPr>
          <w:sz w:val="72"/>
          <w:szCs w:val="72"/>
        </w:rPr>
      </w:pPr>
    </w:p>
    <w:p w:rsidR="00495D3D" w:rsidRDefault="00495D3D">
      <w:pPr>
        <w:jc w:val="left"/>
        <w:rPr>
          <w:sz w:val="72"/>
          <w:szCs w:val="72"/>
        </w:rPr>
      </w:pPr>
    </w:p>
    <w:p w:rsidR="00495D3D" w:rsidRDefault="00495D3D">
      <w:pPr>
        <w:jc w:val="left"/>
        <w:rPr>
          <w:sz w:val="72"/>
          <w:szCs w:val="72"/>
        </w:rPr>
      </w:pPr>
    </w:p>
    <w:p w:rsidR="00495D3D" w:rsidRDefault="00495D3D">
      <w:pPr>
        <w:jc w:val="left"/>
        <w:rPr>
          <w:rFonts w:ascii="黑体" w:eastAsia="黑体" w:hAnsi="黑体"/>
          <w:sz w:val="32"/>
          <w:szCs w:val="32"/>
        </w:rPr>
      </w:pPr>
    </w:p>
    <w:p w:rsidR="00495D3D" w:rsidRDefault="00C71BC8">
      <w:pPr>
        <w:pStyle w:val="a7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部门职责</w:t>
      </w:r>
    </w:p>
    <w:p w:rsidR="00495D3D" w:rsidRDefault="00C71BC8">
      <w:pPr>
        <w:ind w:firstLineChars="200" w:firstLine="640"/>
        <w:jc w:val="left"/>
        <w:rPr>
          <w:rFonts w:asciiTheme="minorEastAsia" w:hAnsiTheme="minorEastAsia"/>
          <w:bCs/>
          <w:kern w:val="0"/>
          <w:sz w:val="32"/>
          <w:szCs w:val="32"/>
        </w:rPr>
      </w:pPr>
      <w:r>
        <w:rPr>
          <w:rFonts w:asciiTheme="minorEastAsia" w:hAnsiTheme="minorEastAsia" w:hint="eastAsia"/>
          <w:bCs/>
          <w:kern w:val="0"/>
          <w:sz w:val="32"/>
          <w:szCs w:val="32"/>
        </w:rPr>
        <w:t>指导、检查法律援助法律法规和政策的执行工作；制定全市法律援助工作规划和年度计划；承担全市法律援助机构、法律援助人员的监督管理工作；指导全市法律援助服务质量监督管理；指导协调全市法律对外宣传和交流活动；承办公民申请的和人民法院、检察院、公安机关指定的法律援助案件；负责岳阳市12348法律咨询热线的运行和管理。</w:t>
      </w:r>
    </w:p>
    <w:p w:rsidR="00495D3D" w:rsidRDefault="00C71BC8">
      <w:pPr>
        <w:widowControl/>
        <w:spacing w:line="600" w:lineRule="exac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二、机构设置及决算单位构成</w:t>
      </w:r>
    </w:p>
    <w:p w:rsidR="00495D3D" w:rsidRDefault="00C71BC8">
      <w:pPr>
        <w:widowControl/>
        <w:spacing w:line="600" w:lineRule="exact"/>
        <w:rPr>
          <w:rFonts w:asciiTheme="minorEastAsia" w:hAnsiTheme="minorEastAsia"/>
          <w:bCs/>
          <w:kern w:val="0"/>
          <w:sz w:val="32"/>
          <w:szCs w:val="32"/>
        </w:rPr>
      </w:pPr>
      <w:r>
        <w:rPr>
          <w:rFonts w:asciiTheme="minorEastAsia" w:hAnsiTheme="minorEastAsia" w:hint="eastAsia"/>
          <w:bCs/>
          <w:kern w:val="0"/>
          <w:sz w:val="32"/>
          <w:szCs w:val="32"/>
        </w:rPr>
        <w:t>（一）内设机构设置。</w:t>
      </w:r>
    </w:p>
    <w:p w:rsidR="00495D3D" w:rsidRDefault="00C71BC8">
      <w:pPr>
        <w:widowControl/>
        <w:spacing w:line="600" w:lineRule="exact"/>
        <w:ind w:firstLineChars="200" w:firstLine="640"/>
        <w:rPr>
          <w:rFonts w:asciiTheme="minorEastAsia" w:hAnsiTheme="minorEastAsia"/>
          <w:bCs/>
          <w:iCs/>
          <w:color w:val="FF0000"/>
          <w:kern w:val="0"/>
          <w:sz w:val="32"/>
          <w:szCs w:val="32"/>
        </w:rPr>
      </w:pPr>
      <w:r>
        <w:rPr>
          <w:rFonts w:asciiTheme="minorEastAsia" w:hAnsiTheme="minorEastAsia" w:hint="eastAsia"/>
          <w:bCs/>
          <w:kern w:val="0"/>
          <w:sz w:val="32"/>
          <w:szCs w:val="32"/>
        </w:rPr>
        <w:t>市法律援助中心内设三个股（室）：业务股、财务股、办公室。我中心共有在职干部9人，全部为行政编制。</w:t>
      </w:r>
    </w:p>
    <w:p w:rsidR="00495D3D" w:rsidRDefault="00C71BC8">
      <w:pPr>
        <w:widowControl/>
        <w:numPr>
          <w:ilvl w:val="0"/>
          <w:numId w:val="2"/>
        </w:numPr>
        <w:spacing w:line="600" w:lineRule="exact"/>
        <w:rPr>
          <w:rFonts w:asciiTheme="minorEastAsia" w:hAnsiTheme="minorEastAsia"/>
          <w:bCs/>
          <w:i/>
          <w:iCs/>
          <w:kern w:val="0"/>
          <w:sz w:val="32"/>
          <w:szCs w:val="32"/>
        </w:rPr>
      </w:pPr>
      <w:r>
        <w:rPr>
          <w:rFonts w:asciiTheme="minorEastAsia" w:hAnsiTheme="minorEastAsia" w:hint="eastAsia"/>
          <w:bCs/>
          <w:kern w:val="0"/>
          <w:sz w:val="32"/>
          <w:szCs w:val="32"/>
        </w:rPr>
        <w:t>决算单位构成。</w:t>
      </w:r>
    </w:p>
    <w:p w:rsidR="00495D3D" w:rsidRDefault="00C71BC8">
      <w:pPr>
        <w:widowControl/>
        <w:spacing w:line="600" w:lineRule="exact"/>
        <w:ind w:firstLineChars="200" w:firstLine="640"/>
        <w:rPr>
          <w:rFonts w:asciiTheme="minorEastAsia" w:hAnsiTheme="minorEastAsia"/>
          <w:bCs/>
          <w:i/>
          <w:iCs/>
          <w:kern w:val="0"/>
          <w:sz w:val="32"/>
          <w:szCs w:val="32"/>
        </w:rPr>
      </w:pPr>
      <w:r>
        <w:rPr>
          <w:rFonts w:asciiTheme="minorEastAsia" w:hAnsiTheme="minorEastAsia" w:hint="eastAsia"/>
          <w:bCs/>
          <w:kern w:val="0"/>
          <w:sz w:val="32"/>
          <w:szCs w:val="32"/>
        </w:rPr>
        <w:t>我中心只有本级，没有其他二级预算单位，因此，纳入2021年部门决算编制范围的只有岳阳市法律援助中心本级。</w:t>
      </w:r>
    </w:p>
    <w:p w:rsidR="00495D3D" w:rsidRDefault="00495D3D">
      <w:pPr>
        <w:widowControl/>
        <w:spacing w:line="600" w:lineRule="exact"/>
        <w:rPr>
          <w:rFonts w:asciiTheme="minorEastAsia" w:hAnsiTheme="minorEastAsia"/>
          <w:bCs/>
          <w:i/>
          <w:iCs/>
          <w:kern w:val="0"/>
          <w:sz w:val="32"/>
          <w:szCs w:val="32"/>
        </w:rPr>
      </w:pPr>
    </w:p>
    <w:p w:rsidR="00495D3D" w:rsidRDefault="00495D3D">
      <w:pPr>
        <w:widowControl/>
        <w:spacing w:line="600" w:lineRule="exact"/>
        <w:ind w:firstLineChars="200" w:firstLine="640"/>
        <w:rPr>
          <w:rFonts w:asciiTheme="minorEastAsia" w:hAnsiTheme="minorEastAsia"/>
          <w:bCs/>
          <w:i/>
          <w:iCs/>
          <w:kern w:val="0"/>
          <w:sz w:val="32"/>
          <w:szCs w:val="32"/>
        </w:rPr>
      </w:pPr>
    </w:p>
    <w:p w:rsidR="00495D3D" w:rsidRDefault="00495D3D">
      <w:pPr>
        <w:jc w:val="left"/>
        <w:rPr>
          <w:rFonts w:ascii="仿宋_GB2312" w:eastAsia="仿宋_GB2312" w:hAnsiTheme="minorEastAsia"/>
          <w:sz w:val="28"/>
          <w:szCs w:val="32"/>
        </w:rPr>
      </w:pPr>
    </w:p>
    <w:p w:rsidR="00495D3D" w:rsidRDefault="00495D3D">
      <w:pPr>
        <w:jc w:val="center"/>
        <w:rPr>
          <w:rFonts w:ascii="黑体" w:eastAsia="黑体" w:hAnsi="黑体"/>
          <w:sz w:val="28"/>
          <w:szCs w:val="28"/>
        </w:rPr>
      </w:pPr>
    </w:p>
    <w:p w:rsidR="00495D3D" w:rsidRDefault="00495D3D">
      <w:pPr>
        <w:jc w:val="center"/>
        <w:rPr>
          <w:rFonts w:ascii="黑体" w:eastAsia="黑体" w:hAnsi="黑体"/>
          <w:sz w:val="28"/>
          <w:szCs w:val="28"/>
        </w:rPr>
      </w:pPr>
    </w:p>
    <w:p w:rsidR="00495D3D" w:rsidRDefault="00495D3D">
      <w:pPr>
        <w:jc w:val="center"/>
        <w:rPr>
          <w:rFonts w:ascii="黑体" w:eastAsia="黑体" w:hAnsi="黑体"/>
          <w:sz w:val="28"/>
          <w:szCs w:val="28"/>
        </w:rPr>
      </w:pPr>
    </w:p>
    <w:p w:rsidR="00495D3D" w:rsidRDefault="00495D3D">
      <w:pPr>
        <w:jc w:val="center"/>
        <w:rPr>
          <w:rFonts w:ascii="黑体" w:eastAsia="黑体" w:hAnsi="黑体"/>
          <w:sz w:val="28"/>
          <w:szCs w:val="28"/>
        </w:rPr>
      </w:pPr>
    </w:p>
    <w:p w:rsidR="00495D3D" w:rsidRDefault="00495D3D">
      <w:pPr>
        <w:jc w:val="center"/>
        <w:rPr>
          <w:rFonts w:ascii="黑体" w:eastAsia="黑体" w:hAnsi="黑体"/>
          <w:sz w:val="28"/>
          <w:szCs w:val="28"/>
        </w:rPr>
      </w:pPr>
    </w:p>
    <w:p w:rsidR="00495D3D" w:rsidRDefault="00495D3D">
      <w:pPr>
        <w:jc w:val="center"/>
        <w:rPr>
          <w:rFonts w:ascii="黑体" w:eastAsia="黑体" w:hAnsi="黑体"/>
          <w:sz w:val="28"/>
          <w:szCs w:val="28"/>
        </w:rPr>
      </w:pPr>
    </w:p>
    <w:p w:rsidR="00495D3D" w:rsidRDefault="00495D3D">
      <w:pPr>
        <w:jc w:val="center"/>
        <w:rPr>
          <w:rFonts w:ascii="黑体" w:eastAsia="黑体" w:hAnsi="黑体"/>
          <w:sz w:val="28"/>
          <w:szCs w:val="28"/>
        </w:rPr>
      </w:pPr>
    </w:p>
    <w:p w:rsidR="00495D3D" w:rsidRDefault="00495D3D">
      <w:pPr>
        <w:jc w:val="center"/>
        <w:rPr>
          <w:rFonts w:ascii="黑体" w:eastAsia="黑体" w:hAnsi="黑体"/>
          <w:sz w:val="28"/>
          <w:szCs w:val="28"/>
        </w:rPr>
      </w:pPr>
    </w:p>
    <w:p w:rsidR="00495D3D" w:rsidRDefault="00495D3D">
      <w:pPr>
        <w:jc w:val="center"/>
        <w:rPr>
          <w:rFonts w:ascii="黑体" w:eastAsia="黑体" w:hAnsi="黑体"/>
          <w:sz w:val="28"/>
          <w:szCs w:val="28"/>
        </w:rPr>
      </w:pPr>
    </w:p>
    <w:p w:rsidR="00495D3D" w:rsidRDefault="00495D3D">
      <w:pPr>
        <w:jc w:val="center"/>
        <w:rPr>
          <w:rFonts w:ascii="黑体" w:eastAsia="黑体" w:hAnsi="黑体"/>
          <w:sz w:val="28"/>
          <w:szCs w:val="28"/>
        </w:rPr>
      </w:pPr>
    </w:p>
    <w:p w:rsidR="00495D3D" w:rsidRDefault="00495D3D">
      <w:pPr>
        <w:jc w:val="center"/>
        <w:rPr>
          <w:rFonts w:ascii="黑体" w:eastAsia="黑体" w:hAnsi="黑体"/>
          <w:sz w:val="28"/>
          <w:szCs w:val="28"/>
        </w:rPr>
      </w:pPr>
    </w:p>
    <w:p w:rsidR="00495D3D" w:rsidRDefault="00495D3D">
      <w:pPr>
        <w:jc w:val="center"/>
        <w:rPr>
          <w:rFonts w:ascii="黑体" w:eastAsia="黑体" w:hAnsi="黑体"/>
          <w:sz w:val="28"/>
          <w:szCs w:val="28"/>
        </w:rPr>
      </w:pPr>
    </w:p>
    <w:p w:rsidR="00495D3D" w:rsidRDefault="00495D3D">
      <w:pPr>
        <w:jc w:val="center"/>
        <w:rPr>
          <w:sz w:val="72"/>
          <w:szCs w:val="72"/>
        </w:rPr>
      </w:pPr>
    </w:p>
    <w:p w:rsidR="00495D3D" w:rsidRDefault="00495D3D">
      <w:pPr>
        <w:jc w:val="center"/>
        <w:rPr>
          <w:sz w:val="72"/>
          <w:szCs w:val="72"/>
        </w:rPr>
      </w:pPr>
    </w:p>
    <w:p w:rsidR="00495D3D" w:rsidRDefault="00495D3D">
      <w:pPr>
        <w:jc w:val="center"/>
        <w:rPr>
          <w:sz w:val="72"/>
          <w:szCs w:val="72"/>
        </w:rPr>
      </w:pPr>
    </w:p>
    <w:p w:rsidR="00495D3D" w:rsidRDefault="00495D3D">
      <w:pPr>
        <w:jc w:val="center"/>
        <w:rPr>
          <w:sz w:val="72"/>
          <w:szCs w:val="72"/>
        </w:rPr>
      </w:pPr>
    </w:p>
    <w:p w:rsidR="00495D3D" w:rsidRDefault="00495D3D">
      <w:pPr>
        <w:jc w:val="center"/>
        <w:rPr>
          <w:sz w:val="72"/>
          <w:szCs w:val="72"/>
        </w:rPr>
      </w:pPr>
    </w:p>
    <w:p w:rsidR="00495D3D" w:rsidRDefault="00C71BC8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第二部分</w:t>
      </w:r>
    </w:p>
    <w:p w:rsidR="00495D3D" w:rsidRDefault="00495D3D">
      <w:pPr>
        <w:jc w:val="center"/>
        <w:rPr>
          <w:sz w:val="72"/>
          <w:szCs w:val="72"/>
        </w:rPr>
      </w:pPr>
    </w:p>
    <w:p w:rsidR="00495D3D" w:rsidRDefault="00C71BC8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部门决算表</w:t>
      </w:r>
    </w:p>
    <w:p w:rsidR="00495D3D" w:rsidRDefault="00C71BC8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（见附件）</w:t>
      </w:r>
    </w:p>
    <w:p w:rsidR="00495D3D" w:rsidRDefault="00495D3D">
      <w:pPr>
        <w:jc w:val="center"/>
        <w:rPr>
          <w:sz w:val="72"/>
          <w:szCs w:val="72"/>
        </w:rPr>
      </w:pPr>
    </w:p>
    <w:p w:rsidR="00495D3D" w:rsidRDefault="00495D3D">
      <w:pPr>
        <w:jc w:val="center"/>
        <w:rPr>
          <w:sz w:val="72"/>
          <w:szCs w:val="72"/>
        </w:rPr>
      </w:pPr>
    </w:p>
    <w:p w:rsidR="00495D3D" w:rsidRDefault="00495D3D">
      <w:pPr>
        <w:jc w:val="center"/>
        <w:rPr>
          <w:sz w:val="72"/>
          <w:szCs w:val="72"/>
        </w:rPr>
      </w:pPr>
    </w:p>
    <w:p w:rsidR="00495D3D" w:rsidRDefault="00495D3D">
      <w:pPr>
        <w:jc w:val="center"/>
        <w:rPr>
          <w:sz w:val="72"/>
          <w:szCs w:val="72"/>
        </w:rPr>
      </w:pPr>
    </w:p>
    <w:p w:rsidR="00495D3D" w:rsidRDefault="00495D3D">
      <w:pPr>
        <w:jc w:val="left"/>
        <w:rPr>
          <w:rFonts w:asciiTheme="minorEastAsia" w:hAnsiTheme="minorEastAsia"/>
          <w:sz w:val="32"/>
          <w:szCs w:val="32"/>
        </w:rPr>
        <w:sectPr w:rsidR="00495D3D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495D3D" w:rsidRDefault="00495D3D">
      <w:pPr>
        <w:pStyle w:val="Default"/>
        <w:jc w:val="both"/>
        <w:rPr>
          <w:sz w:val="72"/>
          <w:szCs w:val="72"/>
        </w:rPr>
      </w:pPr>
    </w:p>
    <w:p w:rsidR="00495D3D" w:rsidRDefault="00495D3D">
      <w:pPr>
        <w:pStyle w:val="Default"/>
        <w:jc w:val="center"/>
        <w:rPr>
          <w:sz w:val="72"/>
          <w:szCs w:val="72"/>
        </w:rPr>
      </w:pPr>
    </w:p>
    <w:p w:rsidR="00495D3D" w:rsidRDefault="00C71BC8">
      <w:pPr>
        <w:pStyle w:val="Default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第三部分</w:t>
      </w:r>
    </w:p>
    <w:p w:rsidR="00495D3D" w:rsidRDefault="00495D3D">
      <w:pPr>
        <w:pStyle w:val="Default"/>
        <w:jc w:val="center"/>
        <w:rPr>
          <w:sz w:val="70"/>
          <w:szCs w:val="70"/>
        </w:rPr>
      </w:pPr>
    </w:p>
    <w:p w:rsidR="00495D3D" w:rsidRDefault="00C71BC8">
      <w:pPr>
        <w:pStyle w:val="Default"/>
        <w:jc w:val="center"/>
        <w:rPr>
          <w:sz w:val="70"/>
          <w:szCs w:val="70"/>
        </w:rPr>
      </w:pPr>
      <w:r>
        <w:rPr>
          <w:sz w:val="70"/>
          <w:szCs w:val="70"/>
        </w:rPr>
        <w:t>20</w:t>
      </w:r>
      <w:r>
        <w:rPr>
          <w:rFonts w:hint="eastAsia"/>
          <w:sz w:val="70"/>
          <w:szCs w:val="70"/>
        </w:rPr>
        <w:t>21年度部门决算情况说明</w:t>
      </w:r>
    </w:p>
    <w:p w:rsidR="00495D3D" w:rsidRDefault="00C71BC8"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sz w:val="70"/>
          <w:szCs w:val="70"/>
        </w:rPr>
        <w:br w:type="page"/>
      </w:r>
    </w:p>
    <w:p w:rsidR="00495D3D" w:rsidRDefault="00495D3D">
      <w:pPr>
        <w:pStyle w:val="Default"/>
        <w:rPr>
          <w:rFonts w:asciiTheme="minorEastAsia" w:eastAsiaTheme="minorEastAsia" w:hAnsiTheme="minorEastAsia"/>
          <w:sz w:val="32"/>
          <w:szCs w:val="32"/>
        </w:rPr>
      </w:pPr>
    </w:p>
    <w:p w:rsidR="00495D3D" w:rsidRDefault="00C71BC8">
      <w:pPr>
        <w:pStyle w:val="Default"/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一、收入支出决算总体情况说明</w:t>
      </w:r>
    </w:p>
    <w:p w:rsidR="00495D3D" w:rsidRDefault="00C71BC8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2021年度收、支总计360.16万元。与上年相比，减少30.07万元，减少7.71%，主要是因为厉行节约，减少开支。</w:t>
      </w:r>
    </w:p>
    <w:p w:rsidR="00495D3D" w:rsidRDefault="00C71BC8">
      <w:pPr>
        <w:pStyle w:val="Default"/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二、收入决算情况说明</w:t>
      </w:r>
    </w:p>
    <w:p w:rsidR="00495D3D" w:rsidRDefault="00C71BC8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2021年度收入合计245.67万元，其中：财政拨款收入150.60万元，占61.30%；其他收入95.07万元，占38.70%；没有上级补助收入、事业收入、经营收入和附属单位上缴收入。</w:t>
      </w:r>
    </w:p>
    <w:p w:rsidR="00495D3D" w:rsidRDefault="00C71BC8">
      <w:pPr>
        <w:pStyle w:val="Default"/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三、支出决算情况说明</w:t>
      </w:r>
    </w:p>
    <w:p w:rsidR="00495D3D" w:rsidRDefault="00C71BC8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2021年度支出合计293.81万元，其中：基本支出158.40万元，占53.91%；项目支出135.41万元，占46.09%；没有上缴上级支出、经营支出和对附属单位补助支出。</w:t>
      </w:r>
    </w:p>
    <w:p w:rsidR="00495D3D" w:rsidRDefault="00C71BC8">
      <w:pPr>
        <w:pStyle w:val="Default"/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四、财政拨款收入支出决算总体情况说明</w:t>
      </w:r>
    </w:p>
    <w:p w:rsidR="00495D3D" w:rsidRDefault="00C71BC8">
      <w:pPr>
        <w:pStyle w:val="Default"/>
        <w:ind w:firstLine="645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2021年度财政拨款收、支总计220.44万元，与上年相比，减少46.31万元,减少17.36%，主要是因为厉行节约，减少开支。</w:t>
      </w:r>
    </w:p>
    <w:p w:rsidR="00495D3D" w:rsidRDefault="00C71BC8">
      <w:pPr>
        <w:pStyle w:val="Default"/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五、一般公共预算财政拨款支出决算情况说明</w:t>
      </w:r>
    </w:p>
    <w:p w:rsidR="00495D3D" w:rsidRDefault="00C71BC8" w:rsidP="000F4578">
      <w:pPr>
        <w:pStyle w:val="Defaul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（一）财政拨款支出决算总体情况</w:t>
      </w:r>
    </w:p>
    <w:p w:rsidR="00495D3D" w:rsidRDefault="00C71BC8">
      <w:pPr>
        <w:pStyle w:val="Default"/>
        <w:ind w:firstLineChars="250" w:firstLine="800"/>
        <w:rPr>
          <w:rFonts w:asciiTheme="minorEastAsia" w:eastAsiaTheme="minorEastAsia" w:hAnsiTheme="minorEastAsia"/>
          <w:iCs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2021年度财政拨款支出220.44万元，占本年支出合计的75.03%，与上年相比，财政拨款支出增加23.91万元，增长12.17%，主要是因为</w:t>
      </w:r>
      <w:r>
        <w:rPr>
          <w:rFonts w:asciiTheme="minorEastAsia" w:eastAsiaTheme="minorEastAsia" w:hAnsiTheme="minorEastAsia"/>
          <w:sz w:val="32"/>
          <w:szCs w:val="32"/>
        </w:rPr>
        <w:t>本年度法律援助案件数量较去年有所增长</w:t>
      </w:r>
      <w:r>
        <w:rPr>
          <w:rFonts w:asciiTheme="minorEastAsia" w:eastAsiaTheme="minorEastAsia" w:hAnsiTheme="minorEastAsia" w:hint="eastAsia"/>
          <w:sz w:val="32"/>
          <w:szCs w:val="32"/>
        </w:rPr>
        <w:t>，</w:t>
      </w:r>
      <w:r>
        <w:rPr>
          <w:rFonts w:asciiTheme="minorEastAsia" w:eastAsiaTheme="minorEastAsia" w:hAnsiTheme="minorEastAsia"/>
          <w:sz w:val="32"/>
          <w:szCs w:val="32"/>
        </w:rPr>
        <w:t>业务支出增加</w:t>
      </w:r>
      <w:r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495D3D" w:rsidRDefault="00C71BC8" w:rsidP="000F4578">
      <w:pPr>
        <w:pStyle w:val="Default"/>
        <w:ind w:firstLineChars="150" w:firstLine="482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（二）财政拨款支出决算结构情况</w:t>
      </w:r>
    </w:p>
    <w:p w:rsidR="00495D3D" w:rsidRDefault="00C71BC8">
      <w:pPr>
        <w:pStyle w:val="Default"/>
        <w:ind w:firstLineChars="200" w:firstLine="640"/>
        <w:rPr>
          <w:rFonts w:asciiTheme="minorEastAsia" w:eastAsiaTheme="minorEastAsia" w:hAnsiTheme="minorEastAsia"/>
          <w:color w:val="auto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2021年度财政拨款支出220.44万元，主要用于以下方面：一般公共服务（类）支出3.70万元，占1.68%；公共安全（类）支出147.99万元，占67.13%；社会</w:t>
      </w:r>
      <w:r>
        <w:rPr>
          <w:rFonts w:asciiTheme="minorEastAsia" w:eastAsiaTheme="minorEastAsia" w:hAnsiTheme="minorEastAsia"/>
          <w:sz w:val="32"/>
          <w:szCs w:val="32"/>
        </w:rPr>
        <w:t>保障和就业</w:t>
      </w:r>
      <w:r>
        <w:rPr>
          <w:rFonts w:asciiTheme="minorEastAsia" w:eastAsiaTheme="minorEastAsia" w:hAnsiTheme="minorEastAsia" w:hint="eastAsia"/>
          <w:sz w:val="32"/>
          <w:szCs w:val="32"/>
        </w:rPr>
        <w:t>（</w:t>
      </w:r>
      <w:r>
        <w:rPr>
          <w:rFonts w:asciiTheme="minorEastAsia" w:eastAsiaTheme="minorEastAsia" w:hAnsiTheme="minorEastAsia"/>
          <w:sz w:val="32"/>
          <w:szCs w:val="32"/>
        </w:rPr>
        <w:t>类</w:t>
      </w:r>
      <w:r>
        <w:rPr>
          <w:rFonts w:asciiTheme="minorEastAsia" w:eastAsiaTheme="minorEastAsia" w:hAnsiTheme="minorEastAsia" w:hint="eastAsia"/>
          <w:sz w:val="32"/>
          <w:szCs w:val="32"/>
        </w:rPr>
        <w:t>）</w:t>
      </w:r>
      <w:r>
        <w:rPr>
          <w:rFonts w:asciiTheme="minorEastAsia" w:eastAsiaTheme="minorEastAsia" w:hAnsiTheme="minorEastAsia"/>
          <w:sz w:val="32"/>
          <w:szCs w:val="32"/>
        </w:rPr>
        <w:t>支出</w:t>
      </w:r>
      <w:r>
        <w:rPr>
          <w:rFonts w:asciiTheme="minorEastAsia" w:eastAsiaTheme="minorEastAsia" w:hAnsiTheme="minorEastAsia" w:hint="eastAsia"/>
          <w:sz w:val="32"/>
          <w:szCs w:val="32"/>
        </w:rPr>
        <w:t>12.94万元，占5.87%；卫生健康（类）支出5.51</w:t>
      </w: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万元，占2.50%；其他（类）支出50.30万元，占22.82%</w:t>
      </w:r>
      <w:r>
        <w:rPr>
          <w:rFonts w:asciiTheme="minorEastAsia" w:eastAsiaTheme="minorEastAsia" w:hAnsiTheme="minorEastAsia" w:hint="eastAsia"/>
          <w:color w:val="auto"/>
          <w:sz w:val="32"/>
          <w:szCs w:val="32"/>
        </w:rPr>
        <w:t>。</w:t>
      </w:r>
    </w:p>
    <w:p w:rsidR="00495D3D" w:rsidRDefault="00C71BC8" w:rsidP="000F4578">
      <w:pPr>
        <w:pStyle w:val="Default"/>
        <w:ind w:firstLineChars="250" w:firstLine="803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（三）财政拨款支出决算具体情况</w:t>
      </w:r>
    </w:p>
    <w:p w:rsidR="00495D3D" w:rsidRDefault="00C71BC8">
      <w:pPr>
        <w:pStyle w:val="Defaul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2021年度财政拨款支出年初预算数为131.84万元，支出决算数为220.44万元，完成年初预算的167%，其中：</w:t>
      </w:r>
    </w:p>
    <w:p w:rsidR="00495D3D" w:rsidRDefault="00C71BC8">
      <w:pPr>
        <w:pStyle w:val="Defaul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1、一般公共服务支出（类）民主党派及工商联事务（款）一般行政管理事务（项）。</w:t>
      </w:r>
    </w:p>
    <w:p w:rsidR="00495D3D" w:rsidRDefault="00C71BC8">
      <w:pPr>
        <w:pStyle w:val="Defaul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年初预算为0万元，支出决算为2.70万元，由于预算数为0，无法计算百分比，决算数大于年初预算数的主要原因是：该</w:t>
      </w:r>
      <w:r>
        <w:rPr>
          <w:rFonts w:asciiTheme="minorEastAsia" w:eastAsiaTheme="minorEastAsia" w:hAnsiTheme="minorEastAsia"/>
          <w:sz w:val="32"/>
          <w:szCs w:val="32"/>
        </w:rPr>
        <w:t>指标属于下达错误</w:t>
      </w:r>
      <w:r>
        <w:rPr>
          <w:rFonts w:asciiTheme="minorEastAsia" w:eastAsiaTheme="minorEastAsia" w:hAnsiTheme="minorEastAsia" w:hint="eastAsia"/>
          <w:sz w:val="32"/>
          <w:szCs w:val="32"/>
        </w:rPr>
        <w:t>，</w:t>
      </w:r>
      <w:r>
        <w:rPr>
          <w:rFonts w:asciiTheme="minorEastAsia" w:eastAsiaTheme="minorEastAsia" w:hAnsiTheme="minorEastAsia"/>
          <w:sz w:val="32"/>
          <w:szCs w:val="32"/>
        </w:rPr>
        <w:t>应该列在</w:t>
      </w:r>
      <w:r>
        <w:rPr>
          <w:rFonts w:asciiTheme="minorEastAsia" w:eastAsiaTheme="minorEastAsia" w:hAnsiTheme="minorEastAsia" w:hint="eastAsia"/>
          <w:sz w:val="32"/>
          <w:szCs w:val="32"/>
        </w:rPr>
        <w:t>“公共安全支出（类</w:t>
      </w:r>
      <w:r>
        <w:rPr>
          <w:rFonts w:asciiTheme="minorEastAsia" w:eastAsiaTheme="minorEastAsia" w:hAnsiTheme="minorEastAsia"/>
          <w:sz w:val="32"/>
          <w:szCs w:val="32"/>
        </w:rPr>
        <w:t>）</w:t>
      </w:r>
      <w:r>
        <w:rPr>
          <w:rFonts w:asciiTheme="minorEastAsia" w:eastAsiaTheme="minorEastAsia" w:hAnsiTheme="minorEastAsia" w:hint="eastAsia"/>
          <w:sz w:val="32"/>
          <w:szCs w:val="32"/>
        </w:rPr>
        <w:t>司法（款）一般行政管理事务（项）”中。</w:t>
      </w:r>
    </w:p>
    <w:p w:rsidR="00495D3D" w:rsidRDefault="00C71BC8">
      <w:pPr>
        <w:pStyle w:val="Defaul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2、一般公共服务支出（类）其他一般公共服务支出（款）其他一般公共服务支出（项）。</w:t>
      </w:r>
    </w:p>
    <w:p w:rsidR="00495D3D" w:rsidRDefault="00C71BC8">
      <w:pPr>
        <w:pStyle w:val="Defaul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年初预算为0万元，支出决算为1万元，由于预算数为0，无法计算百分比，决算数大于年初预算数的主要原因是：该</w:t>
      </w:r>
      <w:r>
        <w:rPr>
          <w:rFonts w:asciiTheme="minorEastAsia" w:eastAsiaTheme="minorEastAsia" w:hAnsiTheme="minorEastAsia"/>
          <w:sz w:val="32"/>
          <w:szCs w:val="32"/>
        </w:rPr>
        <w:t>指标属于下达错误</w:t>
      </w:r>
      <w:r>
        <w:rPr>
          <w:rFonts w:asciiTheme="minorEastAsia" w:eastAsiaTheme="minorEastAsia" w:hAnsiTheme="minorEastAsia" w:hint="eastAsia"/>
          <w:sz w:val="32"/>
          <w:szCs w:val="32"/>
        </w:rPr>
        <w:t>，</w:t>
      </w:r>
      <w:r>
        <w:rPr>
          <w:rFonts w:asciiTheme="minorEastAsia" w:eastAsiaTheme="minorEastAsia" w:hAnsiTheme="minorEastAsia"/>
          <w:sz w:val="32"/>
          <w:szCs w:val="32"/>
        </w:rPr>
        <w:t>应该列在</w:t>
      </w:r>
      <w:r>
        <w:rPr>
          <w:rFonts w:asciiTheme="minorEastAsia" w:eastAsiaTheme="minorEastAsia" w:hAnsiTheme="minorEastAsia" w:hint="eastAsia"/>
          <w:sz w:val="32"/>
          <w:szCs w:val="32"/>
        </w:rPr>
        <w:t>“公共安全支出（类）其他公共安全支出（款）其他公共安全支出（项）”中。</w:t>
      </w:r>
    </w:p>
    <w:p w:rsidR="00495D3D" w:rsidRDefault="00C71BC8">
      <w:pPr>
        <w:pStyle w:val="Defaul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3、公共安全支出（类）司法（款）行政运行（项）。</w:t>
      </w:r>
    </w:p>
    <w:p w:rsidR="00495D3D" w:rsidRDefault="00C71BC8">
      <w:pPr>
        <w:pStyle w:val="Defaul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年初预算17.15万元，支出决算为95.99万元，完成年初预算的560%，决算数大于年初预算数的主要原因是：该项在年初预算中核算的主要是公用经费，而在决算中核算的主要是人员经费。</w:t>
      </w:r>
    </w:p>
    <w:p w:rsidR="00495D3D" w:rsidRDefault="00C71BC8">
      <w:pPr>
        <w:pStyle w:val="Defaul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4、公共安全支出（类</w:t>
      </w:r>
      <w:r>
        <w:rPr>
          <w:rFonts w:asciiTheme="minorEastAsia" w:eastAsiaTheme="minorEastAsia" w:hAnsiTheme="minorEastAsia"/>
          <w:sz w:val="32"/>
          <w:szCs w:val="32"/>
        </w:rPr>
        <w:t>）</w:t>
      </w:r>
      <w:r>
        <w:rPr>
          <w:rFonts w:asciiTheme="minorEastAsia" w:eastAsiaTheme="minorEastAsia" w:hAnsiTheme="minorEastAsia" w:hint="eastAsia"/>
          <w:sz w:val="32"/>
          <w:szCs w:val="32"/>
        </w:rPr>
        <w:t>司法（款）一般行政管理事务（项）。</w:t>
      </w:r>
    </w:p>
    <w:p w:rsidR="00495D3D" w:rsidRDefault="00C71BC8">
      <w:pPr>
        <w:pStyle w:val="Defaul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年初预算万元74.79，支出决算为38.35万元，完成年初预算的47.31%，决算数小于年初预算数的主要原因是：该项在年初预算中核算的主要是人员经费,而在决算中核算的主要是公用经费。</w:t>
      </w:r>
    </w:p>
    <w:p w:rsidR="00495D3D" w:rsidRDefault="00C71BC8">
      <w:pPr>
        <w:pStyle w:val="Defaul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5、公共安全支出（类）司法（款）公共法律服务（项）。</w:t>
      </w:r>
    </w:p>
    <w:p w:rsidR="00495D3D" w:rsidRDefault="00C71BC8">
      <w:pPr>
        <w:pStyle w:val="Defaul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年初预算9.48万元，支出决算为5.98万元，完成年初预算的63.08%，决算数小于年初预算数的主要原因是：部分法律援助案件年底未结案，无法发放办案补贴。</w:t>
      </w:r>
    </w:p>
    <w:p w:rsidR="00495D3D" w:rsidRDefault="00C71BC8">
      <w:pPr>
        <w:pStyle w:val="Defaul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6、公共安全支出（类）司法（款）其他司法支出（项）。</w:t>
      </w:r>
    </w:p>
    <w:p w:rsidR="00495D3D" w:rsidRDefault="00C71BC8">
      <w:pPr>
        <w:pStyle w:val="Defaul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年初预算0万元，支出决算1.11万元，比年初预算数增加1.11万元，决算数大于年初预算数的主要原因是年中追加了相关指标。</w:t>
      </w:r>
    </w:p>
    <w:p w:rsidR="00495D3D" w:rsidRDefault="00C71BC8">
      <w:pPr>
        <w:pStyle w:val="Defaul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7、公共安全支出（类）其他公共安全支出（款）其他公共安全支出（项）。</w:t>
      </w:r>
    </w:p>
    <w:p w:rsidR="00495D3D" w:rsidRDefault="00C71BC8">
      <w:pPr>
        <w:pStyle w:val="Defaul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年初预算0万元，支出决算6.56万元，由于预算数为0，无法计算百分比，决算数大于年初预算数的主要原因是年中追加了相关指标。</w:t>
      </w:r>
    </w:p>
    <w:p w:rsidR="00495D3D" w:rsidRDefault="00C71BC8">
      <w:pPr>
        <w:pStyle w:val="Defaul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8、社会保障和就业支出（类）行政事业单位养老支出（款）其他行政事业单位养老支出（项）。</w:t>
      </w:r>
    </w:p>
    <w:p w:rsidR="00495D3D" w:rsidRDefault="00C71BC8">
      <w:pPr>
        <w:pStyle w:val="Defaul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年初预算11.97万元，支出决算11.97万元，完成年初预算的100%.</w:t>
      </w:r>
    </w:p>
    <w:p w:rsidR="00495D3D" w:rsidRDefault="00C71BC8">
      <w:pPr>
        <w:pStyle w:val="Defaul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9、社会保障和就业支出（类）残疾人事业（款）其他残疾人事业支出（项）。</w:t>
      </w:r>
    </w:p>
    <w:p w:rsidR="00495D3D" w:rsidRDefault="00C71BC8">
      <w:pPr>
        <w:pStyle w:val="Defaul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年初预算0.97万元，支出决算0.97万元，完成年初预算的100%</w:t>
      </w:r>
    </w:p>
    <w:p w:rsidR="00495D3D" w:rsidRDefault="00C71BC8">
      <w:pPr>
        <w:pStyle w:val="Defaul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10、卫生健康支出（类）行政事业单位医疗（款）行政单位医疗（项）。</w:t>
      </w:r>
    </w:p>
    <w:p w:rsidR="00495D3D" w:rsidRDefault="00C71BC8">
      <w:pPr>
        <w:pStyle w:val="Defaul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年初预算5.51万元，支出决算5.51万元，完成年初预算的100%</w:t>
      </w:r>
    </w:p>
    <w:p w:rsidR="00495D3D" w:rsidRDefault="00C71BC8">
      <w:pPr>
        <w:pStyle w:val="Defaul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11、其他支出（类）其他支出（款）其他支出（项）。</w:t>
      </w:r>
    </w:p>
    <w:p w:rsidR="00495D3D" w:rsidRDefault="00C71BC8">
      <w:pPr>
        <w:pStyle w:val="Defaul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年初预算0万元，支出决算50.3万元，由于预算数为0，无法计算百分比，决算数大于年初预算数的主要原因是年中追加了相关指标。</w:t>
      </w:r>
    </w:p>
    <w:p w:rsidR="00495D3D" w:rsidRDefault="00C71BC8">
      <w:pPr>
        <w:pStyle w:val="Default"/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六、一般公共预算财政拨款基本支出决算情况说明</w:t>
      </w:r>
    </w:p>
    <w:p w:rsidR="00495D3D" w:rsidRDefault="00C71BC8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2021年度财政拨款基本支出158.40万元，其中：人员经费139.16万元，占基本支出的87.85%,主要包括基本工资、津贴补贴、</w:t>
      </w:r>
      <w:r>
        <w:rPr>
          <w:rFonts w:asciiTheme="minorEastAsia" w:eastAsiaTheme="minorEastAsia" w:hAnsiTheme="minorEastAsia" w:hint="eastAsia"/>
          <w:sz w:val="32"/>
          <w:szCs w:val="32"/>
          <w:lang w:val="zh-CN"/>
        </w:rPr>
        <w:t>奖金、伙食补助费、机关事业单位基本养老保险缴费、职工基本医疗保险缴费、其他社会保障缴</w:t>
      </w:r>
      <w:r>
        <w:rPr>
          <w:rFonts w:asciiTheme="minorEastAsia" w:eastAsiaTheme="minorEastAsia" w:hAnsiTheme="minorEastAsia" w:hint="eastAsia"/>
          <w:sz w:val="32"/>
          <w:szCs w:val="32"/>
          <w:lang w:val="zh-CN"/>
        </w:rPr>
        <w:lastRenderedPageBreak/>
        <w:t>费、住房公积金、医疗费、退休费、奖励金、其他对个人和家庭的补助</w:t>
      </w:r>
      <w:r>
        <w:rPr>
          <w:rFonts w:asciiTheme="minorEastAsia" w:eastAsiaTheme="minorEastAsia" w:hAnsiTheme="minorEastAsia" w:hint="eastAsia"/>
          <w:sz w:val="32"/>
          <w:szCs w:val="32"/>
        </w:rPr>
        <w:t>；公用经费19.24万元，占基本支出的12.15%，主要包括办公费、印刷费、水费、电费、邮电费、差旅费、维修（护）费、公务接待费、劳务费、工会经费、其他交通费用、其他商品和服务支出。</w:t>
      </w:r>
    </w:p>
    <w:p w:rsidR="00495D3D" w:rsidRDefault="00C71BC8">
      <w:pPr>
        <w:pStyle w:val="Default"/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七、一般公共预算财政拨款“三公”经费支出决算情况说明</w:t>
      </w:r>
    </w:p>
    <w:p w:rsidR="00495D3D" w:rsidRDefault="00C71BC8">
      <w:pPr>
        <w:pStyle w:val="Default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（一）“三公”经费财政拨款支出决算总体情况说明</w:t>
      </w:r>
    </w:p>
    <w:p w:rsidR="00495D3D" w:rsidRDefault="00C71BC8">
      <w:pPr>
        <w:pStyle w:val="Defaul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2021年度“三公”经费财政拨款支出预算为16.20万元，支出决算为0.87万元，完成预算的5.37%，其中：</w:t>
      </w:r>
    </w:p>
    <w:p w:rsidR="00495D3D" w:rsidRDefault="00C71BC8">
      <w:pPr>
        <w:pStyle w:val="Defaul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因公出国（境）费支出预算为0万元，支出决算为0万元，与预算一致，与上年相比持平,主要原因是严格控制开支，合理规划预算。</w:t>
      </w:r>
    </w:p>
    <w:p w:rsidR="00495D3D" w:rsidRDefault="00C71BC8">
      <w:pPr>
        <w:pStyle w:val="Defaul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公务接待费支出预算为10.80万元，支出决算为0.87万元，完成预算的8.06%，决算数小于预算数的主要原因是厉行节约，减少开支，与上年相比减少0.54万元，减少38.30%,减少的主要原因是厉行节约，减少开支。</w:t>
      </w:r>
    </w:p>
    <w:p w:rsidR="00495D3D" w:rsidRDefault="00C71BC8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公务用车购置费支出预算为0万元，支出决算为0万元，与预算一致，与上年相比持平，主要原因是严格控制开支，合理规划预算。</w:t>
      </w:r>
    </w:p>
    <w:p w:rsidR="00495D3D" w:rsidRDefault="00C71BC8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公务用车运行维护费支出预算为5.4万元，支出决算为0万元，完成预算的0%，决算数小于预算数的主要原因是我单位今年起无公务用车，与上年相比持平，主要原因是严格规划和控制开支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495D3D" w:rsidRDefault="00C71BC8">
      <w:pPr>
        <w:pStyle w:val="Default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（二）“三公”经费财政拨款支出决算具体情况说明</w:t>
      </w:r>
    </w:p>
    <w:p w:rsidR="00495D3D" w:rsidRDefault="00C71BC8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2021年度“三公”经费财政拨款支出决算中，公务接待费支出决算0.87万元，占100%,无因公出国（境）费和公务用车购置费及运行维护费。其中：</w:t>
      </w:r>
    </w:p>
    <w:p w:rsidR="00495D3D" w:rsidRDefault="00C71BC8">
      <w:pPr>
        <w:pStyle w:val="Default"/>
        <w:ind w:firstLineChars="200" w:firstLine="640"/>
        <w:rPr>
          <w:rFonts w:asciiTheme="minorEastAsia" w:eastAsiaTheme="minorEastAsia" w:hAnsiTheme="minorEastAsia"/>
          <w:color w:val="auto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1、因公出国（境）费支出决算为0万元，全年安排因公出国（境）团组0个，累计0人次</w:t>
      </w:r>
      <w:r>
        <w:rPr>
          <w:rFonts w:asciiTheme="minorEastAsia" w:eastAsiaTheme="minorEastAsia" w:hAnsiTheme="minorEastAsia" w:hint="eastAsia"/>
          <w:color w:val="auto"/>
          <w:sz w:val="32"/>
          <w:szCs w:val="32"/>
        </w:rPr>
        <w:t>。</w:t>
      </w:r>
    </w:p>
    <w:p w:rsidR="00495D3D" w:rsidRDefault="00C71BC8">
      <w:pPr>
        <w:pStyle w:val="Defaul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2、公务接待费支出决算为0.87万元，全年共接待来访团组7个、来宾</w:t>
      </w: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70人次，主要是工作交流和汇报发生的接待支出。</w:t>
      </w:r>
    </w:p>
    <w:p w:rsidR="00495D3D" w:rsidRDefault="00C71BC8">
      <w:pPr>
        <w:ind w:firstLineChars="250" w:firstLine="80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3、公务用车购置费及运行维护费支出决算为0万元，其中：公务用车购置费0万元，更新公务用车0辆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  <w:r>
        <w:rPr>
          <w:rFonts w:asciiTheme="minorEastAsia" w:hAnsiTheme="minorEastAsia" w:hint="eastAsia"/>
          <w:sz w:val="32"/>
          <w:szCs w:val="32"/>
        </w:rPr>
        <w:t>公务用车运行维护费0万元，截止2021年12月31日，我单位开支财政拨款的公务用车保有量为0辆。</w:t>
      </w:r>
    </w:p>
    <w:p w:rsidR="00495D3D" w:rsidRDefault="00C71BC8">
      <w:pPr>
        <w:pStyle w:val="Default"/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八、政府性基金预算收入支出决算情况</w:t>
      </w:r>
    </w:p>
    <w:p w:rsidR="00495D3D" w:rsidRDefault="00C71BC8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本单位无政府性基金收支。</w:t>
      </w:r>
    </w:p>
    <w:p w:rsidR="00495D3D" w:rsidRDefault="00C71BC8">
      <w:pPr>
        <w:pStyle w:val="Default"/>
        <w:numPr>
          <w:ilvl w:val="0"/>
          <w:numId w:val="3"/>
        </w:numPr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国有资本经营预算财政拨款支出决算情况</w:t>
      </w:r>
    </w:p>
    <w:p w:rsidR="00495D3D" w:rsidRDefault="00C71BC8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本单位无国有资本经营预算财政拨款支出。</w:t>
      </w:r>
    </w:p>
    <w:p w:rsidR="00495D3D" w:rsidRDefault="00C71BC8">
      <w:pPr>
        <w:pStyle w:val="Default"/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十、机关运行经费支出说明</w:t>
      </w:r>
    </w:p>
    <w:p w:rsidR="00495D3D" w:rsidRDefault="00C71BC8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本部门2021年度机关运行经费支出19.24万元，比年初预算数增加2.09万元，增长12.18%，主要原因是：职务职级晋升导致其他交通费（交通费补助）有所增长。</w:t>
      </w:r>
    </w:p>
    <w:p w:rsidR="00495D3D" w:rsidRDefault="00C71BC8">
      <w:pPr>
        <w:pStyle w:val="Default"/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十一、一般性支出情况说明</w:t>
      </w:r>
    </w:p>
    <w:p w:rsidR="00495D3D" w:rsidRDefault="00C71BC8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2021年本部门开支会议费0万元；开支培训费1.93万元，用于开展法律援助业务培训，人数200多人，内容为法律援助案件质量和法律援助业务；举办节庆、晚会、论坛、赛事活动，开支0万元。</w:t>
      </w:r>
    </w:p>
    <w:p w:rsidR="00495D3D" w:rsidRDefault="00C71BC8">
      <w:pPr>
        <w:pStyle w:val="Default"/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十二、政府采购支出说明</w:t>
      </w:r>
    </w:p>
    <w:p w:rsidR="00495D3D" w:rsidRDefault="00C71BC8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本部门2021年度政府采购支出总额0万元，其中：政府采购货物支出0 万元、政府采购工程支出0万元、政府采购服务支出0万元。授予中小企业合同金额0万元，占政府采购支出总额的0%，其中：授予小微企业合同金额0万元，占授予中小企业合同金额的0%；货物采购授予中小企业合同金额占货物支出金额的0%，工程采购授予中小企业合同金额占工程支出金额的0%，服务采购授予中小企业合同金额占服务支出金额的0%。</w:t>
      </w:r>
    </w:p>
    <w:p w:rsidR="00495D3D" w:rsidRDefault="00C71BC8">
      <w:pPr>
        <w:pStyle w:val="Default"/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十三、国有资产占用情况说明</w:t>
      </w:r>
    </w:p>
    <w:p w:rsidR="00495D3D" w:rsidRDefault="00C71BC8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截至2021年12月31日，部门（单位）共有车辆0辆，其中，主要领导干部用车0辆，机要通信用车0辆、应急保障用车0辆、执法执勤用车0辆、特种专业技术用车0辆、其他用车0辆，；单位价值50万元以上通用设备0台（套）；单位价值100万元以上专用设备0台（套）。</w:t>
      </w:r>
    </w:p>
    <w:p w:rsidR="00495D3D" w:rsidRDefault="00C71BC8">
      <w:pPr>
        <w:pStyle w:val="Default"/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十四、2021年度预算绩效情况说明</w:t>
      </w:r>
    </w:p>
    <w:p w:rsidR="00A82A5F" w:rsidRPr="00A82A5F" w:rsidRDefault="00A82A5F" w:rsidP="00A82A5F">
      <w:pPr>
        <w:autoSpaceDE w:val="0"/>
        <w:autoSpaceDN w:val="0"/>
        <w:adjustRightInd w:val="0"/>
        <w:ind w:firstLineChars="200" w:firstLine="643"/>
        <w:jc w:val="left"/>
        <w:rPr>
          <w:rFonts w:ascii="宋体" w:hAnsi="宋体" w:cs="黑体"/>
          <w:color w:val="000000"/>
          <w:kern w:val="0"/>
          <w:sz w:val="32"/>
          <w:szCs w:val="32"/>
        </w:rPr>
      </w:pPr>
      <w:r>
        <w:rPr>
          <w:rFonts w:ascii="宋体" w:eastAsia="宋体" w:hAnsi="宋体" w:cs="黑体" w:hint="eastAsia"/>
          <w:b/>
          <w:color w:val="000000"/>
          <w:kern w:val="0"/>
          <w:sz w:val="32"/>
          <w:szCs w:val="32"/>
        </w:rPr>
        <w:t>（1）绩效管理评价工作开展情况</w:t>
      </w:r>
      <w:r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。</w:t>
      </w:r>
    </w:p>
    <w:p w:rsidR="00A06E53" w:rsidRDefault="00A06E53" w:rsidP="00A06E53">
      <w:pPr>
        <w:autoSpaceDE w:val="0"/>
        <w:autoSpaceDN w:val="0"/>
        <w:adjustRightInd w:val="0"/>
        <w:ind w:firstLineChars="200" w:firstLine="640"/>
        <w:jc w:val="left"/>
        <w:rPr>
          <w:rFonts w:ascii="宋体" w:hAnsi="宋体" w:cs="黑体"/>
          <w:color w:val="000000"/>
          <w:kern w:val="0"/>
          <w:sz w:val="32"/>
          <w:szCs w:val="32"/>
        </w:rPr>
      </w:pPr>
      <w:r>
        <w:rPr>
          <w:rFonts w:ascii="宋体" w:hAnsi="宋体" w:cs="黑体" w:hint="eastAsia"/>
          <w:color w:val="000000"/>
          <w:kern w:val="0"/>
          <w:sz w:val="32"/>
          <w:szCs w:val="32"/>
        </w:rPr>
        <w:t>根据预算绩效管理要求，我中心组织对</w:t>
      </w:r>
      <w:r>
        <w:rPr>
          <w:rFonts w:ascii="宋体" w:hAnsi="宋体" w:cs="黑体"/>
          <w:color w:val="000000"/>
          <w:kern w:val="0"/>
          <w:sz w:val="32"/>
          <w:szCs w:val="32"/>
        </w:rPr>
        <w:t>2021</w:t>
      </w:r>
      <w:r>
        <w:rPr>
          <w:rFonts w:ascii="宋体" w:hAnsi="宋体" w:cs="黑体" w:hint="eastAsia"/>
          <w:color w:val="000000"/>
          <w:kern w:val="0"/>
          <w:sz w:val="32"/>
          <w:szCs w:val="32"/>
        </w:rPr>
        <w:t>年度一般公共预算项目支出全面开展绩效自评，共涉及资金135.41万元，占一般公共预算项目支出总额的46.09</w:t>
      </w:r>
      <w:r>
        <w:rPr>
          <w:rFonts w:ascii="宋体" w:hAnsi="宋体" w:cs="黑体"/>
          <w:color w:val="000000"/>
          <w:kern w:val="0"/>
          <w:sz w:val="32"/>
          <w:szCs w:val="32"/>
        </w:rPr>
        <w:t>%</w:t>
      </w:r>
      <w:r>
        <w:rPr>
          <w:rFonts w:ascii="宋体" w:hAnsi="宋体" w:cs="黑体" w:hint="eastAsia"/>
          <w:color w:val="000000"/>
          <w:kern w:val="0"/>
          <w:sz w:val="32"/>
          <w:szCs w:val="32"/>
        </w:rPr>
        <w:t>。2021年我中心没有政府性基金预算项目和国有资本经营预算项目</w:t>
      </w:r>
      <w:r w:rsidR="00B632D5">
        <w:rPr>
          <w:rFonts w:ascii="宋体" w:hAnsi="宋体" w:cs="黑体" w:hint="eastAsia"/>
          <w:color w:val="000000"/>
          <w:kern w:val="0"/>
          <w:sz w:val="32"/>
          <w:szCs w:val="32"/>
        </w:rPr>
        <w:t>，故未</w:t>
      </w:r>
      <w:r>
        <w:rPr>
          <w:rFonts w:ascii="宋体" w:hAnsi="宋体" w:cs="黑体" w:hint="eastAsia"/>
          <w:color w:val="000000"/>
          <w:kern w:val="0"/>
          <w:sz w:val="32"/>
          <w:szCs w:val="32"/>
        </w:rPr>
        <w:t>组织对</w:t>
      </w:r>
      <w:r>
        <w:rPr>
          <w:rFonts w:ascii="宋体" w:hAnsi="宋体" w:cs="黑体"/>
          <w:color w:val="000000"/>
          <w:kern w:val="0"/>
          <w:sz w:val="32"/>
          <w:szCs w:val="32"/>
        </w:rPr>
        <w:t>2021</w:t>
      </w:r>
      <w:r>
        <w:rPr>
          <w:rFonts w:ascii="宋体" w:hAnsi="宋体" w:cs="黑体" w:hint="eastAsia"/>
          <w:color w:val="000000"/>
          <w:kern w:val="0"/>
          <w:sz w:val="32"/>
          <w:szCs w:val="32"/>
        </w:rPr>
        <w:t>年度政府性基金预算项目支出</w:t>
      </w:r>
      <w:r w:rsidR="00B632D5">
        <w:rPr>
          <w:rFonts w:ascii="宋体" w:hAnsi="宋体" w:cs="黑体" w:hint="eastAsia"/>
          <w:color w:val="000000"/>
          <w:kern w:val="0"/>
          <w:sz w:val="32"/>
          <w:szCs w:val="32"/>
        </w:rPr>
        <w:t>和国有资本经营预算项目支出</w:t>
      </w:r>
      <w:r>
        <w:rPr>
          <w:rFonts w:ascii="宋体" w:hAnsi="宋体" w:cs="黑体" w:hint="eastAsia"/>
          <w:color w:val="000000"/>
          <w:kern w:val="0"/>
          <w:sz w:val="32"/>
          <w:szCs w:val="32"/>
        </w:rPr>
        <w:t>开展绩效自评。</w:t>
      </w:r>
    </w:p>
    <w:p w:rsidR="00A06E53" w:rsidRDefault="00A06E53" w:rsidP="00A06E53">
      <w:pPr>
        <w:autoSpaceDE w:val="0"/>
        <w:autoSpaceDN w:val="0"/>
        <w:adjustRightInd w:val="0"/>
        <w:ind w:firstLineChars="200" w:firstLine="640"/>
        <w:jc w:val="left"/>
        <w:rPr>
          <w:rFonts w:ascii="宋体" w:hAnsi="宋体" w:cs="黑体"/>
          <w:color w:val="000000"/>
          <w:kern w:val="0"/>
          <w:sz w:val="32"/>
          <w:szCs w:val="32"/>
        </w:rPr>
      </w:pPr>
      <w:r>
        <w:rPr>
          <w:rFonts w:ascii="宋体" w:hAnsi="宋体" w:cs="黑体" w:hint="eastAsia"/>
          <w:color w:val="000000"/>
          <w:kern w:val="0"/>
          <w:sz w:val="32"/>
          <w:szCs w:val="32"/>
        </w:rPr>
        <w:t>组织对“</w:t>
      </w:r>
      <w:r w:rsidR="00B632D5">
        <w:rPr>
          <w:rFonts w:ascii="宋体" w:hAnsi="宋体" w:cs="黑体" w:hint="eastAsia"/>
          <w:color w:val="000000"/>
          <w:kern w:val="0"/>
          <w:sz w:val="32"/>
          <w:szCs w:val="32"/>
        </w:rPr>
        <w:t>法律援助专项服务</w:t>
      </w:r>
      <w:r>
        <w:rPr>
          <w:rFonts w:ascii="宋体" w:hAnsi="宋体" w:cs="黑体" w:hint="eastAsia"/>
          <w:color w:val="000000"/>
          <w:kern w:val="0"/>
          <w:sz w:val="32"/>
          <w:szCs w:val="32"/>
        </w:rPr>
        <w:t>”“</w:t>
      </w:r>
      <w:r w:rsidR="00B632D5">
        <w:rPr>
          <w:rFonts w:ascii="宋体" w:hAnsi="宋体" w:cs="黑体" w:hint="eastAsia"/>
          <w:color w:val="000000"/>
          <w:kern w:val="0"/>
          <w:sz w:val="32"/>
          <w:szCs w:val="32"/>
        </w:rPr>
        <w:t>政法转移支付</w:t>
      </w:r>
      <w:r>
        <w:rPr>
          <w:rFonts w:ascii="宋体" w:hAnsi="宋体" w:cs="黑体" w:hint="eastAsia"/>
          <w:color w:val="000000"/>
          <w:kern w:val="0"/>
          <w:sz w:val="32"/>
          <w:szCs w:val="32"/>
        </w:rPr>
        <w:t>”</w:t>
      </w:r>
      <w:r w:rsidR="00B632D5">
        <w:rPr>
          <w:rFonts w:ascii="宋体" w:hAnsi="宋体" w:cs="黑体" w:hint="eastAsia"/>
          <w:color w:val="000000"/>
          <w:kern w:val="0"/>
          <w:sz w:val="32"/>
          <w:szCs w:val="32"/>
        </w:rPr>
        <w:t>“政府购买法律援助服务”</w:t>
      </w:r>
      <w:r>
        <w:rPr>
          <w:rFonts w:ascii="宋体" w:hAnsi="宋体" w:cs="黑体" w:hint="eastAsia"/>
          <w:color w:val="000000"/>
          <w:kern w:val="0"/>
          <w:sz w:val="32"/>
          <w:szCs w:val="32"/>
        </w:rPr>
        <w:t>等</w:t>
      </w:r>
      <w:r w:rsidR="00B632D5">
        <w:rPr>
          <w:rFonts w:ascii="宋体" w:hAnsi="宋体" w:cs="黑体" w:hint="eastAsia"/>
          <w:color w:val="000000"/>
          <w:kern w:val="0"/>
          <w:sz w:val="32"/>
          <w:szCs w:val="32"/>
        </w:rPr>
        <w:t>3</w:t>
      </w:r>
      <w:r>
        <w:rPr>
          <w:rFonts w:ascii="宋体" w:hAnsi="宋体" w:cs="黑体" w:hint="eastAsia"/>
          <w:color w:val="000000"/>
          <w:kern w:val="0"/>
          <w:sz w:val="32"/>
          <w:szCs w:val="32"/>
        </w:rPr>
        <w:t>个项目开展了部门评价，涉及一般公共预算支出</w:t>
      </w:r>
      <w:r w:rsidR="00B632D5">
        <w:rPr>
          <w:rFonts w:ascii="宋体" w:hAnsi="宋体" w:cs="黑体" w:hint="eastAsia"/>
          <w:color w:val="000000"/>
          <w:kern w:val="0"/>
          <w:sz w:val="32"/>
          <w:szCs w:val="32"/>
        </w:rPr>
        <w:t>135.41</w:t>
      </w:r>
      <w:r>
        <w:rPr>
          <w:rFonts w:ascii="宋体" w:hAnsi="宋体" w:cs="黑体" w:hint="eastAsia"/>
          <w:color w:val="000000"/>
          <w:kern w:val="0"/>
          <w:sz w:val="32"/>
          <w:szCs w:val="32"/>
        </w:rPr>
        <w:t>万元，</w:t>
      </w:r>
      <w:r w:rsidR="00B632D5">
        <w:rPr>
          <w:rFonts w:ascii="宋体" w:hAnsi="宋体" w:cs="黑体" w:hint="eastAsia"/>
          <w:color w:val="000000"/>
          <w:kern w:val="0"/>
          <w:sz w:val="32"/>
          <w:szCs w:val="32"/>
        </w:rPr>
        <w:t>不涉及</w:t>
      </w:r>
      <w:r>
        <w:rPr>
          <w:rFonts w:ascii="宋体" w:hAnsi="宋体" w:cs="黑体" w:hint="eastAsia"/>
          <w:color w:val="000000"/>
          <w:kern w:val="0"/>
          <w:sz w:val="32"/>
          <w:szCs w:val="32"/>
        </w:rPr>
        <w:t>政府性基金预算支出</w:t>
      </w:r>
      <w:r w:rsidR="00B632D5">
        <w:rPr>
          <w:rFonts w:ascii="宋体" w:hAnsi="宋体" w:cs="黑体" w:hint="eastAsia"/>
          <w:color w:val="000000"/>
          <w:kern w:val="0"/>
          <w:sz w:val="32"/>
          <w:szCs w:val="32"/>
        </w:rPr>
        <w:t>和</w:t>
      </w:r>
      <w:r>
        <w:rPr>
          <w:rFonts w:ascii="宋体" w:hAnsi="宋体" w:cs="黑体" w:hint="eastAsia"/>
          <w:color w:val="000000"/>
          <w:kern w:val="0"/>
          <w:sz w:val="32"/>
          <w:szCs w:val="32"/>
        </w:rPr>
        <w:t>国有资本经营预算支出。从评价情况来看，</w:t>
      </w:r>
      <w:r w:rsidR="00ED5F92"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我中心</w:t>
      </w:r>
      <w:r w:rsidR="00A82A5F"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按照专项工作的计划进度和预算安排支出专项资金，大力加强专项资金的保障力度，确保主要工作专项工作有序开展。专项资金全部用于专项工作，不存在被挪用、挤占的情况，全部按进度支付到位</w:t>
      </w:r>
      <w:r>
        <w:rPr>
          <w:rFonts w:ascii="宋体" w:hAnsi="宋体" w:cs="黑体" w:hint="eastAsia"/>
          <w:color w:val="000000"/>
          <w:kern w:val="0"/>
          <w:sz w:val="32"/>
          <w:szCs w:val="32"/>
        </w:rPr>
        <w:t>。</w:t>
      </w:r>
    </w:p>
    <w:p w:rsidR="00A06E53" w:rsidRDefault="00A06E53" w:rsidP="00A06E53">
      <w:pPr>
        <w:autoSpaceDE w:val="0"/>
        <w:autoSpaceDN w:val="0"/>
        <w:adjustRightInd w:val="0"/>
        <w:ind w:firstLineChars="200" w:firstLine="640"/>
        <w:jc w:val="left"/>
        <w:rPr>
          <w:rFonts w:ascii="宋体" w:hAnsi="宋体" w:cs="黑体"/>
          <w:color w:val="000000"/>
          <w:kern w:val="0"/>
          <w:sz w:val="32"/>
          <w:szCs w:val="32"/>
        </w:rPr>
      </w:pPr>
      <w:r>
        <w:rPr>
          <w:rFonts w:ascii="宋体" w:hAnsi="宋体" w:cs="黑体" w:hint="eastAsia"/>
          <w:color w:val="000000"/>
          <w:kern w:val="0"/>
          <w:sz w:val="32"/>
          <w:szCs w:val="32"/>
        </w:rPr>
        <w:t>组织对</w:t>
      </w:r>
      <w:r w:rsidR="00A82A5F">
        <w:rPr>
          <w:rFonts w:ascii="宋体" w:hAnsi="宋体" w:cs="黑体" w:hint="eastAsia"/>
          <w:color w:val="000000"/>
          <w:kern w:val="0"/>
          <w:sz w:val="32"/>
          <w:szCs w:val="32"/>
        </w:rPr>
        <w:t>岳阳市法律援助中心1</w:t>
      </w:r>
      <w:r>
        <w:rPr>
          <w:rFonts w:ascii="宋体" w:hAnsi="宋体" w:cs="黑体" w:hint="eastAsia"/>
          <w:color w:val="000000"/>
          <w:kern w:val="0"/>
          <w:sz w:val="32"/>
          <w:szCs w:val="32"/>
        </w:rPr>
        <w:t>个单位开展整体支出绩效评价，涉及一般公共预算支出</w:t>
      </w:r>
      <w:r w:rsidR="00A82A5F">
        <w:rPr>
          <w:rFonts w:ascii="宋体" w:hAnsi="宋体" w:cs="黑体" w:hint="eastAsia"/>
          <w:color w:val="000000"/>
          <w:kern w:val="0"/>
          <w:sz w:val="32"/>
          <w:szCs w:val="32"/>
        </w:rPr>
        <w:t>293.81</w:t>
      </w:r>
      <w:r>
        <w:rPr>
          <w:rFonts w:ascii="宋体" w:hAnsi="宋体" w:cs="黑体" w:hint="eastAsia"/>
          <w:color w:val="000000"/>
          <w:kern w:val="0"/>
          <w:sz w:val="32"/>
          <w:szCs w:val="32"/>
        </w:rPr>
        <w:t>万元，</w:t>
      </w:r>
      <w:r w:rsidR="00A82A5F">
        <w:rPr>
          <w:rFonts w:ascii="宋体" w:hAnsi="宋体" w:cs="黑体" w:hint="eastAsia"/>
          <w:color w:val="000000"/>
          <w:kern w:val="0"/>
          <w:sz w:val="32"/>
          <w:szCs w:val="32"/>
        </w:rPr>
        <w:t>不涉及</w:t>
      </w:r>
      <w:r>
        <w:rPr>
          <w:rFonts w:ascii="宋体" w:hAnsi="宋体" w:cs="黑体" w:hint="eastAsia"/>
          <w:color w:val="000000"/>
          <w:kern w:val="0"/>
          <w:sz w:val="32"/>
          <w:szCs w:val="32"/>
        </w:rPr>
        <w:t>政府性基金预算支出</w:t>
      </w:r>
      <w:r w:rsidR="00A82A5F">
        <w:rPr>
          <w:rFonts w:ascii="宋体" w:hAnsi="宋体" w:cs="黑体" w:hint="eastAsia"/>
          <w:color w:val="000000"/>
          <w:kern w:val="0"/>
          <w:sz w:val="32"/>
          <w:szCs w:val="32"/>
        </w:rPr>
        <w:t>和国有资本经营预算支出</w:t>
      </w:r>
      <w:r>
        <w:rPr>
          <w:rFonts w:ascii="宋体" w:hAnsi="宋体" w:cs="黑体" w:hint="eastAsia"/>
          <w:color w:val="000000"/>
          <w:kern w:val="0"/>
          <w:sz w:val="32"/>
          <w:szCs w:val="32"/>
        </w:rPr>
        <w:t>。从评价情况来看，</w:t>
      </w:r>
      <w:r w:rsidR="00A82A5F"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我中心资金使用规范，注重绩效，支出审批程序严格，厉行节约，支出费用合理，确保了专款专用，最大限度地提高资金的使用效益。严格按照预算编制控制人员经费的使用，不安排编制外人员经费</w:t>
      </w:r>
      <w:r>
        <w:rPr>
          <w:rFonts w:ascii="宋体" w:hAnsi="宋体" w:cs="黑体" w:hint="eastAsia"/>
          <w:color w:val="000000"/>
          <w:kern w:val="0"/>
          <w:sz w:val="32"/>
          <w:szCs w:val="32"/>
        </w:rPr>
        <w:t>。</w:t>
      </w:r>
    </w:p>
    <w:p w:rsidR="00A06E53" w:rsidRDefault="00A06E53" w:rsidP="00A06E53">
      <w:pPr>
        <w:autoSpaceDE w:val="0"/>
        <w:autoSpaceDN w:val="0"/>
        <w:adjustRightInd w:val="0"/>
        <w:ind w:firstLineChars="200" w:firstLine="643"/>
        <w:jc w:val="left"/>
        <w:rPr>
          <w:rFonts w:ascii="宋体" w:hAnsi="宋体" w:cs="黑体"/>
          <w:b/>
          <w:color w:val="000000"/>
          <w:kern w:val="0"/>
          <w:sz w:val="32"/>
          <w:szCs w:val="32"/>
        </w:rPr>
      </w:pPr>
      <w:r>
        <w:rPr>
          <w:rFonts w:ascii="宋体" w:hAnsi="宋体" w:cs="黑体" w:hint="eastAsia"/>
          <w:b/>
          <w:color w:val="000000"/>
          <w:kern w:val="0"/>
          <w:sz w:val="32"/>
          <w:szCs w:val="32"/>
        </w:rPr>
        <w:t>（2）部门决算中项目绩效自评结果。</w:t>
      </w:r>
    </w:p>
    <w:p w:rsidR="00A06E53" w:rsidRDefault="00A82A5F" w:rsidP="00A06E53">
      <w:pPr>
        <w:autoSpaceDE w:val="0"/>
        <w:autoSpaceDN w:val="0"/>
        <w:adjustRightInd w:val="0"/>
        <w:ind w:firstLineChars="200" w:firstLine="640"/>
        <w:jc w:val="left"/>
        <w:rPr>
          <w:rFonts w:ascii="宋体" w:hAnsi="宋体" w:cs="黑体"/>
          <w:color w:val="000000"/>
          <w:kern w:val="0"/>
          <w:sz w:val="32"/>
          <w:szCs w:val="32"/>
        </w:rPr>
      </w:pPr>
      <w:r>
        <w:rPr>
          <w:rFonts w:ascii="宋体" w:hAnsi="宋体" w:cs="黑体" w:hint="eastAsia"/>
          <w:color w:val="000000"/>
          <w:kern w:val="0"/>
          <w:sz w:val="32"/>
          <w:szCs w:val="32"/>
        </w:rPr>
        <w:t>法律援助</w:t>
      </w:r>
      <w:r w:rsidR="00A06E53">
        <w:rPr>
          <w:rFonts w:ascii="宋体" w:hAnsi="宋体" w:cs="黑体" w:hint="eastAsia"/>
          <w:color w:val="000000"/>
          <w:kern w:val="0"/>
          <w:sz w:val="32"/>
          <w:szCs w:val="32"/>
        </w:rPr>
        <w:t>项目绩效自评综述：根据年初设定的绩效目标，项目绩效自评</w:t>
      </w:r>
      <w:r w:rsidR="00A06E53">
        <w:rPr>
          <w:rFonts w:ascii="宋体" w:hAnsi="宋体" w:cs="黑体" w:hint="eastAsia"/>
          <w:color w:val="000000"/>
          <w:kern w:val="0"/>
          <w:sz w:val="32"/>
          <w:szCs w:val="32"/>
        </w:rPr>
        <w:lastRenderedPageBreak/>
        <w:t>得分为</w:t>
      </w:r>
      <w:r w:rsidR="00CF59F3">
        <w:rPr>
          <w:rFonts w:ascii="宋体" w:hAnsi="宋体" w:cs="黑体" w:hint="eastAsia"/>
          <w:color w:val="000000"/>
          <w:kern w:val="0"/>
          <w:sz w:val="32"/>
          <w:szCs w:val="32"/>
        </w:rPr>
        <w:t>97</w:t>
      </w:r>
      <w:r w:rsidR="00A06E53">
        <w:rPr>
          <w:rFonts w:ascii="宋体" w:hAnsi="宋体" w:cs="黑体" w:hint="eastAsia"/>
          <w:color w:val="000000"/>
          <w:kern w:val="0"/>
          <w:sz w:val="32"/>
          <w:szCs w:val="32"/>
        </w:rPr>
        <w:t>分。项目全年预算数为</w:t>
      </w:r>
      <w:r>
        <w:rPr>
          <w:rFonts w:ascii="宋体" w:hAnsi="宋体" w:cs="黑体" w:hint="eastAsia"/>
          <w:color w:val="000000"/>
          <w:kern w:val="0"/>
          <w:sz w:val="32"/>
          <w:szCs w:val="32"/>
        </w:rPr>
        <w:t>9.48</w:t>
      </w:r>
      <w:r w:rsidR="00A06E53">
        <w:rPr>
          <w:rFonts w:ascii="宋体" w:hAnsi="宋体" w:cs="黑体" w:hint="eastAsia"/>
          <w:color w:val="000000"/>
          <w:kern w:val="0"/>
          <w:sz w:val="32"/>
          <w:szCs w:val="32"/>
        </w:rPr>
        <w:t>万元，执行数为</w:t>
      </w:r>
      <w:r>
        <w:rPr>
          <w:rFonts w:ascii="宋体" w:hAnsi="宋体" w:cs="黑体" w:hint="eastAsia"/>
          <w:color w:val="000000"/>
          <w:kern w:val="0"/>
          <w:sz w:val="32"/>
          <w:szCs w:val="32"/>
        </w:rPr>
        <w:t>9.48</w:t>
      </w:r>
      <w:r w:rsidR="00A06E53">
        <w:rPr>
          <w:rFonts w:ascii="宋体" w:hAnsi="宋体" w:cs="黑体" w:hint="eastAsia"/>
          <w:color w:val="000000"/>
          <w:kern w:val="0"/>
          <w:sz w:val="32"/>
          <w:szCs w:val="32"/>
        </w:rPr>
        <w:t>万元，完成预算的</w:t>
      </w:r>
      <w:r>
        <w:rPr>
          <w:rFonts w:ascii="宋体" w:hAnsi="宋体" w:cs="黑体" w:hint="eastAsia"/>
          <w:color w:val="000000"/>
          <w:kern w:val="0"/>
          <w:sz w:val="32"/>
          <w:szCs w:val="32"/>
        </w:rPr>
        <w:t>100</w:t>
      </w:r>
      <w:r w:rsidR="00A06E53">
        <w:rPr>
          <w:rFonts w:ascii="宋体" w:hAnsi="宋体" w:cs="黑体"/>
          <w:color w:val="000000"/>
          <w:kern w:val="0"/>
          <w:sz w:val="32"/>
          <w:szCs w:val="32"/>
        </w:rPr>
        <w:t>%</w:t>
      </w:r>
      <w:r w:rsidR="00A06E53">
        <w:rPr>
          <w:rFonts w:ascii="宋体" w:hAnsi="宋体" w:cs="黑体" w:hint="eastAsia"/>
          <w:color w:val="000000"/>
          <w:kern w:val="0"/>
          <w:sz w:val="32"/>
          <w:szCs w:val="32"/>
        </w:rPr>
        <w:t>。项目绩效目标完成情况：一是</w:t>
      </w:r>
      <w:r w:rsidRPr="00A82A5F">
        <w:rPr>
          <w:rFonts w:ascii="宋体" w:hAnsi="宋体" w:cs="黑体" w:hint="eastAsia"/>
          <w:color w:val="000000"/>
          <w:kern w:val="0"/>
          <w:sz w:val="32"/>
          <w:szCs w:val="32"/>
        </w:rPr>
        <w:t>市中心受理法援案件584件，年度目标440件，完成率达132.73%</w:t>
      </w:r>
      <w:r w:rsidR="00A06E53">
        <w:rPr>
          <w:rFonts w:ascii="宋体" w:hAnsi="宋体" w:cs="黑体" w:hint="eastAsia"/>
          <w:color w:val="000000"/>
          <w:kern w:val="0"/>
          <w:sz w:val="32"/>
          <w:szCs w:val="32"/>
        </w:rPr>
        <w:t>；二是</w:t>
      </w:r>
      <w:r>
        <w:rPr>
          <w:rFonts w:ascii="宋体" w:hAnsi="宋体" w:cs="黑体" w:hint="eastAsia"/>
          <w:color w:val="000000"/>
          <w:kern w:val="0"/>
          <w:sz w:val="32"/>
          <w:szCs w:val="32"/>
        </w:rPr>
        <w:t>受援人满意度达95%以上</w:t>
      </w:r>
      <w:r w:rsidR="00A06E53">
        <w:rPr>
          <w:rFonts w:ascii="宋体" w:hAnsi="宋体" w:cs="黑体" w:hint="eastAsia"/>
          <w:color w:val="000000"/>
          <w:kern w:val="0"/>
          <w:sz w:val="32"/>
          <w:szCs w:val="32"/>
        </w:rPr>
        <w:t>。发现的主要问题及原因：</w:t>
      </w:r>
      <w:r w:rsidR="006C2C47">
        <w:rPr>
          <w:rFonts w:ascii="宋体" w:hAnsi="宋体" w:cs="黑体" w:hint="eastAsia"/>
          <w:color w:val="000000"/>
          <w:kern w:val="0"/>
          <w:sz w:val="32"/>
          <w:szCs w:val="32"/>
        </w:rPr>
        <w:t>一是经费不足，二是结案率有待提高</w:t>
      </w:r>
      <w:r w:rsidR="00A06E53">
        <w:rPr>
          <w:rFonts w:ascii="宋体" w:hAnsi="宋体" w:cs="黑体" w:hint="eastAsia"/>
          <w:color w:val="000000"/>
          <w:kern w:val="0"/>
          <w:sz w:val="32"/>
          <w:szCs w:val="32"/>
        </w:rPr>
        <w:t>。下一步改进措施：一是</w:t>
      </w:r>
      <w:r w:rsidR="006C2C47">
        <w:rPr>
          <w:rFonts w:ascii="宋体" w:hAnsi="宋体" w:cs="黑体" w:hint="eastAsia"/>
          <w:color w:val="000000"/>
          <w:kern w:val="0"/>
          <w:sz w:val="32"/>
          <w:szCs w:val="32"/>
        </w:rPr>
        <w:t>加强与财政部门的沟通协调，扩大经费保障</w:t>
      </w:r>
      <w:r w:rsidR="00A06E53">
        <w:rPr>
          <w:rFonts w:ascii="宋体" w:hAnsi="宋体" w:cs="黑体" w:hint="eastAsia"/>
          <w:color w:val="000000"/>
          <w:kern w:val="0"/>
          <w:sz w:val="32"/>
          <w:szCs w:val="32"/>
        </w:rPr>
        <w:t>；二是</w:t>
      </w:r>
      <w:r w:rsidR="006C2C47">
        <w:rPr>
          <w:rFonts w:ascii="宋体" w:hAnsi="宋体" w:cs="黑体" w:hint="eastAsia"/>
          <w:color w:val="000000"/>
          <w:kern w:val="0"/>
          <w:sz w:val="32"/>
          <w:szCs w:val="32"/>
        </w:rPr>
        <w:t>与案件承办律师和法院加强联系，提升结案率</w:t>
      </w:r>
      <w:r w:rsidR="00A06E53">
        <w:rPr>
          <w:rFonts w:ascii="宋体" w:hAnsi="宋体" w:cs="黑体" w:hint="eastAsia"/>
          <w:color w:val="000000"/>
          <w:kern w:val="0"/>
          <w:sz w:val="32"/>
          <w:szCs w:val="32"/>
        </w:rPr>
        <w:t>。</w:t>
      </w:r>
    </w:p>
    <w:p w:rsidR="00A06E53" w:rsidRDefault="00A82A5F" w:rsidP="00A06E53">
      <w:pPr>
        <w:autoSpaceDE w:val="0"/>
        <w:autoSpaceDN w:val="0"/>
        <w:adjustRightInd w:val="0"/>
        <w:ind w:firstLineChars="200" w:firstLine="640"/>
        <w:jc w:val="left"/>
        <w:rPr>
          <w:rFonts w:ascii="宋体" w:hAnsi="宋体" w:cs="黑体"/>
          <w:color w:val="000000"/>
          <w:kern w:val="0"/>
          <w:sz w:val="32"/>
          <w:szCs w:val="32"/>
        </w:rPr>
      </w:pPr>
      <w:r>
        <w:rPr>
          <w:rFonts w:ascii="宋体" w:hAnsi="宋体" w:cs="黑体" w:hint="eastAsia"/>
          <w:color w:val="000000"/>
          <w:kern w:val="0"/>
          <w:sz w:val="32"/>
          <w:szCs w:val="32"/>
        </w:rPr>
        <w:t>政法转移支付</w:t>
      </w:r>
      <w:r w:rsidR="00A06E53">
        <w:rPr>
          <w:rFonts w:ascii="宋体" w:hAnsi="宋体" w:cs="黑体" w:hint="eastAsia"/>
          <w:color w:val="000000"/>
          <w:kern w:val="0"/>
          <w:sz w:val="32"/>
          <w:szCs w:val="32"/>
        </w:rPr>
        <w:t>项目绩效自评综述：</w:t>
      </w:r>
      <w:r w:rsidR="006C2C47">
        <w:rPr>
          <w:rFonts w:ascii="宋体" w:hAnsi="宋体" w:cs="黑体" w:hint="eastAsia"/>
          <w:color w:val="000000"/>
          <w:kern w:val="0"/>
          <w:sz w:val="32"/>
          <w:szCs w:val="32"/>
        </w:rPr>
        <w:t>根据年初设定的绩效目标，项目绩效自评得分为</w:t>
      </w:r>
      <w:r w:rsidR="00406A9C">
        <w:rPr>
          <w:rFonts w:ascii="宋体" w:hAnsi="宋体" w:cs="黑体" w:hint="eastAsia"/>
          <w:color w:val="000000"/>
          <w:kern w:val="0"/>
          <w:sz w:val="32"/>
          <w:szCs w:val="32"/>
        </w:rPr>
        <w:t>97</w:t>
      </w:r>
      <w:r w:rsidR="006C2C47">
        <w:rPr>
          <w:rFonts w:ascii="宋体" w:hAnsi="宋体" w:cs="黑体" w:hint="eastAsia"/>
          <w:color w:val="000000"/>
          <w:kern w:val="0"/>
          <w:sz w:val="32"/>
          <w:szCs w:val="32"/>
        </w:rPr>
        <w:t>分。项目全年预算数为95.93万元，执行数为95.93万元，完成预算的100</w:t>
      </w:r>
      <w:r w:rsidR="006C2C47">
        <w:rPr>
          <w:rFonts w:ascii="宋体" w:hAnsi="宋体" w:cs="黑体"/>
          <w:color w:val="000000"/>
          <w:kern w:val="0"/>
          <w:sz w:val="32"/>
          <w:szCs w:val="32"/>
        </w:rPr>
        <w:t>%</w:t>
      </w:r>
      <w:r w:rsidR="006C2C47">
        <w:rPr>
          <w:rFonts w:ascii="宋体" w:hAnsi="宋体" w:cs="黑体" w:hint="eastAsia"/>
          <w:color w:val="000000"/>
          <w:kern w:val="0"/>
          <w:sz w:val="32"/>
          <w:szCs w:val="32"/>
        </w:rPr>
        <w:t>。项目绩效目标完成情况：一是</w:t>
      </w:r>
      <w:r w:rsidR="006C2C47" w:rsidRPr="00A82A5F">
        <w:rPr>
          <w:rFonts w:ascii="宋体" w:hAnsi="宋体" w:cs="黑体" w:hint="eastAsia"/>
          <w:color w:val="000000"/>
          <w:kern w:val="0"/>
          <w:sz w:val="32"/>
          <w:szCs w:val="32"/>
        </w:rPr>
        <w:t>市中心受理法援案件584件，年度目标440件，完成率达132.73%</w:t>
      </w:r>
      <w:r w:rsidR="006C2C47">
        <w:rPr>
          <w:rFonts w:ascii="宋体" w:hAnsi="宋体" w:cs="黑体" w:hint="eastAsia"/>
          <w:color w:val="000000"/>
          <w:kern w:val="0"/>
          <w:sz w:val="32"/>
          <w:szCs w:val="32"/>
        </w:rPr>
        <w:t>；二是受援人满意度达95%以上。发现的主要问题及原因：一是经费不足，二是结案率有待提高。下一步改进措施：一是加强与财政部门的沟通协调，扩大经费保障；二是与案件承办律师和法院加强联系，提升结案率。</w:t>
      </w:r>
    </w:p>
    <w:p w:rsidR="006C2C47" w:rsidRDefault="006C2C47" w:rsidP="00A06E53">
      <w:pPr>
        <w:autoSpaceDE w:val="0"/>
        <w:autoSpaceDN w:val="0"/>
        <w:adjustRightInd w:val="0"/>
        <w:ind w:firstLineChars="200" w:firstLine="640"/>
        <w:jc w:val="left"/>
        <w:rPr>
          <w:rFonts w:ascii="宋体" w:hAnsi="宋体" w:cs="黑体"/>
          <w:color w:val="000000"/>
          <w:kern w:val="0"/>
          <w:sz w:val="32"/>
          <w:szCs w:val="32"/>
        </w:rPr>
      </w:pPr>
      <w:r>
        <w:rPr>
          <w:rFonts w:ascii="宋体" w:hAnsi="宋体" w:cs="黑体" w:hint="eastAsia"/>
          <w:color w:val="000000"/>
          <w:kern w:val="0"/>
          <w:sz w:val="32"/>
          <w:szCs w:val="32"/>
        </w:rPr>
        <w:t>政府购买法律援助服务项目绩效自评综述：根据年初设定的绩效目标，项目绩效自评得分为</w:t>
      </w:r>
      <w:r w:rsidR="00CF59F3">
        <w:rPr>
          <w:rFonts w:ascii="宋体" w:hAnsi="宋体" w:cs="黑体" w:hint="eastAsia"/>
          <w:color w:val="000000"/>
          <w:kern w:val="0"/>
          <w:sz w:val="32"/>
          <w:szCs w:val="32"/>
        </w:rPr>
        <w:t>97</w:t>
      </w:r>
      <w:r>
        <w:rPr>
          <w:rFonts w:ascii="宋体" w:hAnsi="宋体" w:cs="黑体" w:hint="eastAsia"/>
          <w:color w:val="000000"/>
          <w:kern w:val="0"/>
          <w:sz w:val="32"/>
          <w:szCs w:val="32"/>
        </w:rPr>
        <w:t>分。项目全年预算数为30万元，执行数为30万元，完成预算的100</w:t>
      </w:r>
      <w:r>
        <w:rPr>
          <w:rFonts w:ascii="宋体" w:hAnsi="宋体" w:cs="黑体"/>
          <w:color w:val="000000"/>
          <w:kern w:val="0"/>
          <w:sz w:val="32"/>
          <w:szCs w:val="32"/>
        </w:rPr>
        <w:t>%</w:t>
      </w:r>
      <w:r>
        <w:rPr>
          <w:rFonts w:ascii="宋体" w:hAnsi="宋体" w:cs="黑体" w:hint="eastAsia"/>
          <w:color w:val="000000"/>
          <w:kern w:val="0"/>
          <w:sz w:val="32"/>
          <w:szCs w:val="32"/>
        </w:rPr>
        <w:t>。项目绩效目标完成情况：一是</w:t>
      </w:r>
      <w:r w:rsidRPr="00A82A5F">
        <w:rPr>
          <w:rFonts w:ascii="宋体" w:hAnsi="宋体" w:cs="黑体" w:hint="eastAsia"/>
          <w:color w:val="000000"/>
          <w:kern w:val="0"/>
          <w:sz w:val="32"/>
          <w:szCs w:val="32"/>
        </w:rPr>
        <w:t>市中心受理法援案件584件，年度目标440件，完成率达132.73%</w:t>
      </w:r>
      <w:r>
        <w:rPr>
          <w:rFonts w:ascii="宋体" w:hAnsi="宋体" w:cs="黑体" w:hint="eastAsia"/>
          <w:color w:val="000000"/>
          <w:kern w:val="0"/>
          <w:sz w:val="32"/>
          <w:szCs w:val="32"/>
        </w:rPr>
        <w:t>；二是受援人满意度达95%以上。发现的主要问题及原因：一是经费不足，二是结案率有待提高。下一步改进措施：一是加强与财政部门的沟通协调，扩大经费保障；二是与案件承办律师和法院加强联系，提升结案率。</w:t>
      </w:r>
    </w:p>
    <w:p w:rsidR="00A06E53" w:rsidRDefault="00A06E53" w:rsidP="00A06E53">
      <w:pPr>
        <w:autoSpaceDE w:val="0"/>
        <w:autoSpaceDN w:val="0"/>
        <w:adjustRightInd w:val="0"/>
        <w:ind w:firstLineChars="200" w:firstLine="643"/>
        <w:jc w:val="left"/>
        <w:rPr>
          <w:rFonts w:ascii="宋体" w:hAnsi="宋体" w:cs="黑体"/>
          <w:color w:val="000000"/>
          <w:kern w:val="0"/>
          <w:sz w:val="32"/>
          <w:szCs w:val="32"/>
        </w:rPr>
      </w:pPr>
      <w:r>
        <w:rPr>
          <w:rFonts w:ascii="宋体" w:hAnsi="宋体" w:cs="黑体" w:hint="eastAsia"/>
          <w:b/>
          <w:color w:val="000000"/>
          <w:kern w:val="0"/>
          <w:sz w:val="32"/>
          <w:szCs w:val="32"/>
        </w:rPr>
        <w:t>（</w:t>
      </w:r>
      <w:r>
        <w:rPr>
          <w:rFonts w:ascii="宋体" w:hAnsi="宋体" w:cs="黑体"/>
          <w:b/>
          <w:color w:val="000000"/>
          <w:kern w:val="0"/>
          <w:sz w:val="32"/>
          <w:szCs w:val="32"/>
        </w:rPr>
        <w:t>3</w:t>
      </w:r>
      <w:r>
        <w:rPr>
          <w:rFonts w:ascii="宋体" w:hAnsi="宋体" w:cs="黑体" w:hint="eastAsia"/>
          <w:b/>
          <w:color w:val="000000"/>
          <w:kern w:val="0"/>
          <w:sz w:val="32"/>
          <w:szCs w:val="32"/>
        </w:rPr>
        <w:t>）部门评价项目绩效评价结果。</w:t>
      </w:r>
    </w:p>
    <w:p w:rsidR="00A06E53" w:rsidRDefault="00A06E53" w:rsidP="00A06E53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绩效管理工作开展顺利，部门决算中项目绩效自评结果为</w:t>
      </w:r>
      <w:r w:rsidR="00A82A5F">
        <w:rPr>
          <w:rFonts w:ascii="宋体" w:hAnsi="宋体" w:cs="黑体" w:hint="eastAsia"/>
          <w:color w:val="000000"/>
          <w:kern w:val="0"/>
          <w:sz w:val="32"/>
          <w:szCs w:val="32"/>
        </w:rPr>
        <w:t>优秀</w:t>
      </w:r>
      <w:r>
        <w:rPr>
          <w:rFonts w:hint="eastAsia"/>
          <w:sz w:val="32"/>
          <w:szCs w:val="32"/>
        </w:rPr>
        <w:t>，部门评价项目绩效评价结果为</w:t>
      </w:r>
      <w:r w:rsidR="00A82A5F">
        <w:rPr>
          <w:rFonts w:ascii="宋体" w:hAnsi="宋体" w:cs="黑体" w:hint="eastAsia"/>
          <w:color w:val="000000"/>
          <w:kern w:val="0"/>
          <w:sz w:val="32"/>
          <w:szCs w:val="32"/>
        </w:rPr>
        <w:t>优秀</w:t>
      </w:r>
      <w:r>
        <w:rPr>
          <w:rFonts w:hint="eastAsia"/>
          <w:sz w:val="32"/>
          <w:szCs w:val="32"/>
        </w:rPr>
        <w:t>，以部门为主体开展的重点绩效评价结果为</w:t>
      </w:r>
      <w:r w:rsidR="00A82A5F">
        <w:rPr>
          <w:rFonts w:ascii="宋体" w:hAnsi="宋体" w:cs="黑体" w:hint="eastAsia"/>
          <w:color w:val="000000"/>
          <w:kern w:val="0"/>
          <w:sz w:val="32"/>
          <w:szCs w:val="32"/>
        </w:rPr>
        <w:t>优秀</w:t>
      </w:r>
      <w:r>
        <w:rPr>
          <w:rFonts w:hint="eastAsia"/>
          <w:sz w:val="32"/>
          <w:szCs w:val="32"/>
        </w:rPr>
        <w:t>。</w:t>
      </w:r>
    </w:p>
    <w:p w:rsidR="00A06E53" w:rsidRDefault="00A06E53" w:rsidP="00A06E53">
      <w:pPr>
        <w:autoSpaceDE w:val="0"/>
        <w:autoSpaceDN w:val="0"/>
        <w:adjustRightInd w:val="0"/>
        <w:ind w:firstLineChars="200" w:firstLine="640"/>
        <w:jc w:val="left"/>
        <w:rPr>
          <w:rFonts w:asciiTheme="minorEastAsia" w:hAnsiTheme="minorEastAsia" w:cs="黑体"/>
          <w:color w:val="000000"/>
          <w:kern w:val="0"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预算绩效管理开展情况、绩效目标和绩效评价报告等，一并作为附件公开。</w:t>
      </w:r>
    </w:p>
    <w:p w:rsidR="00495D3D" w:rsidRDefault="00C71BC8">
      <w:pPr>
        <w:autoSpaceDE w:val="0"/>
        <w:autoSpaceDN w:val="0"/>
        <w:adjustRightInd w:val="0"/>
        <w:ind w:firstLineChars="200" w:firstLine="640"/>
        <w:jc w:val="left"/>
        <w:rPr>
          <w:rFonts w:asciiTheme="minorEastAsia" w:hAnsiTheme="minorEastAsia" w:cs="黑体"/>
          <w:color w:val="000000"/>
          <w:kern w:val="0"/>
          <w:sz w:val="32"/>
          <w:szCs w:val="32"/>
        </w:rPr>
      </w:pP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（具体绩效评价报告见附件）</w:t>
      </w:r>
    </w:p>
    <w:p w:rsidR="00495D3D" w:rsidRDefault="00495D3D" w:rsidP="000F4578">
      <w:pPr>
        <w:autoSpaceDE w:val="0"/>
        <w:autoSpaceDN w:val="0"/>
        <w:adjustRightInd w:val="0"/>
        <w:ind w:firstLineChars="200" w:firstLine="643"/>
        <w:jc w:val="left"/>
        <w:rPr>
          <w:rFonts w:asciiTheme="minorEastAsia" w:hAnsiTheme="minorEastAsia" w:cs="黑体"/>
          <w:b/>
          <w:color w:val="000000"/>
          <w:kern w:val="0"/>
          <w:sz w:val="32"/>
          <w:szCs w:val="32"/>
        </w:rPr>
      </w:pPr>
    </w:p>
    <w:p w:rsidR="00495D3D" w:rsidRDefault="00495D3D" w:rsidP="000F4578">
      <w:pPr>
        <w:autoSpaceDE w:val="0"/>
        <w:autoSpaceDN w:val="0"/>
        <w:adjustRightInd w:val="0"/>
        <w:ind w:firstLineChars="200" w:firstLine="643"/>
        <w:jc w:val="left"/>
        <w:rPr>
          <w:rFonts w:asciiTheme="minorEastAsia" w:hAnsiTheme="minorEastAsia" w:cs="黑体"/>
          <w:b/>
          <w:color w:val="000000"/>
          <w:kern w:val="0"/>
          <w:sz w:val="32"/>
          <w:szCs w:val="32"/>
        </w:rPr>
      </w:pPr>
    </w:p>
    <w:p w:rsidR="00495D3D" w:rsidRDefault="00495D3D" w:rsidP="000F4578">
      <w:pPr>
        <w:autoSpaceDE w:val="0"/>
        <w:autoSpaceDN w:val="0"/>
        <w:adjustRightInd w:val="0"/>
        <w:ind w:firstLineChars="200" w:firstLine="643"/>
        <w:jc w:val="left"/>
        <w:rPr>
          <w:rFonts w:asciiTheme="minorEastAsia" w:hAnsiTheme="minorEastAsia" w:cs="黑体"/>
          <w:b/>
          <w:color w:val="000000"/>
          <w:kern w:val="0"/>
          <w:sz w:val="32"/>
          <w:szCs w:val="32"/>
        </w:rPr>
      </w:pPr>
    </w:p>
    <w:p w:rsidR="00495D3D" w:rsidRDefault="00495D3D" w:rsidP="000F4578">
      <w:pPr>
        <w:autoSpaceDE w:val="0"/>
        <w:autoSpaceDN w:val="0"/>
        <w:adjustRightInd w:val="0"/>
        <w:ind w:firstLineChars="200" w:firstLine="643"/>
        <w:jc w:val="left"/>
        <w:rPr>
          <w:rFonts w:asciiTheme="minorEastAsia" w:hAnsiTheme="minorEastAsia" w:cs="黑体"/>
          <w:b/>
          <w:color w:val="000000"/>
          <w:kern w:val="0"/>
          <w:sz w:val="32"/>
          <w:szCs w:val="32"/>
        </w:rPr>
      </w:pPr>
    </w:p>
    <w:p w:rsidR="00495D3D" w:rsidRDefault="00495D3D" w:rsidP="000F4578">
      <w:pPr>
        <w:autoSpaceDE w:val="0"/>
        <w:autoSpaceDN w:val="0"/>
        <w:adjustRightInd w:val="0"/>
        <w:ind w:firstLineChars="200" w:firstLine="643"/>
        <w:jc w:val="left"/>
        <w:rPr>
          <w:rFonts w:asciiTheme="minorEastAsia" w:hAnsiTheme="minorEastAsia" w:cs="黑体"/>
          <w:b/>
          <w:color w:val="000000"/>
          <w:kern w:val="0"/>
          <w:sz w:val="32"/>
          <w:szCs w:val="32"/>
        </w:rPr>
      </w:pPr>
    </w:p>
    <w:p w:rsidR="00495D3D" w:rsidRDefault="00495D3D" w:rsidP="000F4578">
      <w:pPr>
        <w:autoSpaceDE w:val="0"/>
        <w:autoSpaceDN w:val="0"/>
        <w:adjustRightInd w:val="0"/>
        <w:ind w:firstLineChars="200" w:firstLine="643"/>
        <w:jc w:val="left"/>
        <w:rPr>
          <w:rFonts w:asciiTheme="minorEastAsia" w:hAnsiTheme="minorEastAsia" w:cs="黑体"/>
          <w:b/>
          <w:color w:val="000000"/>
          <w:kern w:val="0"/>
          <w:sz w:val="32"/>
          <w:szCs w:val="32"/>
        </w:rPr>
      </w:pPr>
    </w:p>
    <w:p w:rsidR="00495D3D" w:rsidRDefault="00495D3D" w:rsidP="000F4578">
      <w:pPr>
        <w:autoSpaceDE w:val="0"/>
        <w:autoSpaceDN w:val="0"/>
        <w:adjustRightInd w:val="0"/>
        <w:ind w:firstLineChars="200" w:firstLine="643"/>
        <w:jc w:val="left"/>
        <w:rPr>
          <w:rFonts w:asciiTheme="minorEastAsia" w:hAnsiTheme="minorEastAsia" w:cs="黑体"/>
          <w:b/>
          <w:color w:val="000000"/>
          <w:kern w:val="0"/>
          <w:sz w:val="32"/>
          <w:szCs w:val="32"/>
        </w:rPr>
      </w:pPr>
    </w:p>
    <w:p w:rsidR="00495D3D" w:rsidRDefault="00495D3D" w:rsidP="000F4578">
      <w:pPr>
        <w:autoSpaceDE w:val="0"/>
        <w:autoSpaceDN w:val="0"/>
        <w:adjustRightInd w:val="0"/>
        <w:ind w:firstLineChars="200" w:firstLine="643"/>
        <w:jc w:val="left"/>
        <w:rPr>
          <w:rFonts w:asciiTheme="minorEastAsia" w:hAnsiTheme="minorEastAsia" w:cs="黑体"/>
          <w:b/>
          <w:color w:val="000000"/>
          <w:kern w:val="0"/>
          <w:sz w:val="32"/>
          <w:szCs w:val="32"/>
        </w:rPr>
      </w:pPr>
    </w:p>
    <w:p w:rsidR="00495D3D" w:rsidRDefault="00495D3D" w:rsidP="000F4578">
      <w:pPr>
        <w:autoSpaceDE w:val="0"/>
        <w:autoSpaceDN w:val="0"/>
        <w:adjustRightInd w:val="0"/>
        <w:ind w:firstLineChars="200" w:firstLine="643"/>
        <w:jc w:val="left"/>
        <w:rPr>
          <w:rFonts w:asciiTheme="minorEastAsia" w:hAnsiTheme="minorEastAsia" w:cs="黑体"/>
          <w:b/>
          <w:color w:val="000000"/>
          <w:kern w:val="0"/>
          <w:sz w:val="32"/>
          <w:szCs w:val="32"/>
        </w:rPr>
      </w:pPr>
    </w:p>
    <w:p w:rsidR="00495D3D" w:rsidRDefault="00495D3D" w:rsidP="000F4578">
      <w:pPr>
        <w:autoSpaceDE w:val="0"/>
        <w:autoSpaceDN w:val="0"/>
        <w:adjustRightInd w:val="0"/>
        <w:ind w:firstLineChars="200" w:firstLine="643"/>
        <w:jc w:val="left"/>
        <w:rPr>
          <w:rFonts w:asciiTheme="minorEastAsia" w:hAnsiTheme="minorEastAsia" w:cs="黑体"/>
          <w:b/>
          <w:color w:val="000000"/>
          <w:kern w:val="0"/>
          <w:sz w:val="32"/>
          <w:szCs w:val="32"/>
        </w:rPr>
      </w:pPr>
    </w:p>
    <w:p w:rsidR="00495D3D" w:rsidRDefault="00495D3D" w:rsidP="000F4578">
      <w:pPr>
        <w:autoSpaceDE w:val="0"/>
        <w:autoSpaceDN w:val="0"/>
        <w:adjustRightInd w:val="0"/>
        <w:ind w:firstLineChars="200" w:firstLine="643"/>
        <w:jc w:val="left"/>
        <w:rPr>
          <w:rFonts w:asciiTheme="minorEastAsia" w:hAnsiTheme="minorEastAsia" w:cs="黑体"/>
          <w:b/>
          <w:color w:val="000000"/>
          <w:kern w:val="0"/>
          <w:sz w:val="32"/>
          <w:szCs w:val="32"/>
        </w:rPr>
      </w:pPr>
    </w:p>
    <w:p w:rsidR="00495D3D" w:rsidRDefault="00495D3D">
      <w:pPr>
        <w:autoSpaceDE w:val="0"/>
        <w:autoSpaceDN w:val="0"/>
        <w:adjustRightInd w:val="0"/>
        <w:ind w:firstLineChars="200" w:firstLine="640"/>
        <w:jc w:val="left"/>
        <w:rPr>
          <w:rFonts w:asciiTheme="minorEastAsia" w:hAnsiTheme="minorEastAsia" w:cs="黑体"/>
          <w:color w:val="000000"/>
          <w:kern w:val="0"/>
          <w:sz w:val="32"/>
          <w:szCs w:val="32"/>
        </w:rPr>
      </w:pPr>
    </w:p>
    <w:p w:rsidR="00495D3D" w:rsidRDefault="00495D3D">
      <w:pPr>
        <w:pStyle w:val="Default"/>
        <w:rPr>
          <w:sz w:val="72"/>
          <w:szCs w:val="72"/>
        </w:rPr>
      </w:pPr>
    </w:p>
    <w:p w:rsidR="00495D3D" w:rsidRDefault="00495D3D">
      <w:pPr>
        <w:pStyle w:val="Default"/>
        <w:jc w:val="both"/>
        <w:rPr>
          <w:sz w:val="72"/>
          <w:szCs w:val="72"/>
        </w:rPr>
      </w:pPr>
    </w:p>
    <w:p w:rsidR="00A83E33" w:rsidRDefault="00A83E33">
      <w:pPr>
        <w:pStyle w:val="Default"/>
        <w:jc w:val="center"/>
        <w:rPr>
          <w:sz w:val="72"/>
          <w:szCs w:val="72"/>
        </w:rPr>
      </w:pPr>
    </w:p>
    <w:p w:rsidR="00A83E33" w:rsidRDefault="00A83E33">
      <w:pPr>
        <w:pStyle w:val="Default"/>
        <w:jc w:val="center"/>
        <w:rPr>
          <w:sz w:val="72"/>
          <w:szCs w:val="72"/>
        </w:rPr>
      </w:pPr>
    </w:p>
    <w:p w:rsidR="00A83E33" w:rsidRDefault="00A83E33">
      <w:pPr>
        <w:pStyle w:val="Default"/>
        <w:jc w:val="center"/>
        <w:rPr>
          <w:sz w:val="72"/>
          <w:szCs w:val="72"/>
        </w:rPr>
      </w:pPr>
    </w:p>
    <w:p w:rsidR="00A83E33" w:rsidRDefault="00A83E33">
      <w:pPr>
        <w:pStyle w:val="Default"/>
        <w:jc w:val="center"/>
        <w:rPr>
          <w:sz w:val="72"/>
          <w:szCs w:val="72"/>
        </w:rPr>
      </w:pPr>
    </w:p>
    <w:p w:rsidR="00A83E33" w:rsidRDefault="00A83E33">
      <w:pPr>
        <w:pStyle w:val="Default"/>
        <w:jc w:val="center"/>
        <w:rPr>
          <w:sz w:val="72"/>
          <w:szCs w:val="72"/>
        </w:rPr>
      </w:pPr>
    </w:p>
    <w:p w:rsidR="00A83E33" w:rsidRDefault="00A83E33">
      <w:pPr>
        <w:pStyle w:val="Default"/>
        <w:jc w:val="center"/>
        <w:rPr>
          <w:sz w:val="72"/>
          <w:szCs w:val="72"/>
        </w:rPr>
      </w:pPr>
    </w:p>
    <w:p w:rsidR="00A83E33" w:rsidRDefault="00A83E33">
      <w:pPr>
        <w:pStyle w:val="Default"/>
        <w:jc w:val="center"/>
        <w:rPr>
          <w:sz w:val="72"/>
          <w:szCs w:val="72"/>
        </w:rPr>
      </w:pPr>
    </w:p>
    <w:p w:rsidR="00495D3D" w:rsidRDefault="00C71BC8">
      <w:pPr>
        <w:pStyle w:val="Default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第四部分</w:t>
      </w:r>
    </w:p>
    <w:p w:rsidR="00495D3D" w:rsidRDefault="00495D3D"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 w:rsidR="00495D3D" w:rsidRDefault="00C71BC8"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ascii="黑体" w:eastAsia="黑体" w:cs="黑体" w:hint="eastAsia"/>
          <w:color w:val="000000"/>
          <w:kern w:val="0"/>
          <w:sz w:val="70"/>
          <w:szCs w:val="70"/>
        </w:rPr>
        <w:t>名词解释</w:t>
      </w:r>
    </w:p>
    <w:p w:rsidR="00495D3D" w:rsidRDefault="00C71BC8"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ascii="黑体" w:eastAsia="黑体" w:cs="黑体"/>
          <w:color w:val="000000"/>
          <w:kern w:val="0"/>
          <w:sz w:val="70"/>
          <w:szCs w:val="70"/>
        </w:rPr>
        <w:br w:type="page"/>
      </w:r>
    </w:p>
    <w:p w:rsidR="00495D3D" w:rsidRDefault="00C71BC8">
      <w:pPr>
        <w:ind w:firstLineChars="200" w:firstLine="640"/>
        <w:jc w:val="left"/>
        <w:rPr>
          <w:rFonts w:asciiTheme="minorEastAsia" w:hAnsiTheme="minorEastAsia" w:cs="黑体"/>
          <w:color w:val="000000"/>
          <w:kern w:val="0"/>
          <w:sz w:val="32"/>
          <w:szCs w:val="32"/>
        </w:rPr>
      </w:pP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lastRenderedPageBreak/>
        <w:t>一、“三公”经费：指用财政拨款安排的因公出国（境）费、公务用车购置及运行费和公务接待费。其中，因公出国（境）费反映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495D3D" w:rsidRDefault="00C71BC8">
      <w:pPr>
        <w:ind w:firstLineChars="200" w:firstLine="640"/>
        <w:jc w:val="left"/>
        <w:rPr>
          <w:rFonts w:asciiTheme="minorEastAsia" w:hAnsiTheme="minorEastAsia" w:cs="黑体"/>
          <w:color w:val="000000"/>
          <w:kern w:val="0"/>
          <w:sz w:val="32"/>
          <w:szCs w:val="32"/>
        </w:rPr>
      </w:pP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二、机关运行经费，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495D3D" w:rsidRDefault="00495D3D">
      <w:pPr>
        <w:pStyle w:val="Default"/>
        <w:jc w:val="center"/>
        <w:rPr>
          <w:sz w:val="72"/>
          <w:szCs w:val="72"/>
        </w:rPr>
      </w:pPr>
    </w:p>
    <w:p w:rsidR="00495D3D" w:rsidRDefault="00495D3D">
      <w:pPr>
        <w:pStyle w:val="Default"/>
        <w:jc w:val="center"/>
        <w:rPr>
          <w:sz w:val="72"/>
          <w:szCs w:val="72"/>
        </w:rPr>
      </w:pPr>
    </w:p>
    <w:p w:rsidR="00495D3D" w:rsidRDefault="00495D3D">
      <w:pPr>
        <w:pStyle w:val="Default"/>
        <w:jc w:val="center"/>
        <w:rPr>
          <w:sz w:val="72"/>
          <w:szCs w:val="72"/>
        </w:rPr>
      </w:pPr>
    </w:p>
    <w:p w:rsidR="00495D3D" w:rsidRDefault="00495D3D">
      <w:pPr>
        <w:pStyle w:val="Default"/>
        <w:jc w:val="center"/>
        <w:rPr>
          <w:sz w:val="72"/>
          <w:szCs w:val="72"/>
        </w:rPr>
      </w:pPr>
    </w:p>
    <w:p w:rsidR="00495D3D" w:rsidRDefault="00495D3D">
      <w:pPr>
        <w:pStyle w:val="Default"/>
        <w:jc w:val="center"/>
        <w:rPr>
          <w:sz w:val="72"/>
          <w:szCs w:val="72"/>
        </w:rPr>
      </w:pPr>
    </w:p>
    <w:p w:rsidR="00495D3D" w:rsidRDefault="00495D3D">
      <w:pPr>
        <w:pStyle w:val="Default"/>
        <w:jc w:val="center"/>
        <w:rPr>
          <w:sz w:val="72"/>
          <w:szCs w:val="72"/>
        </w:rPr>
      </w:pPr>
    </w:p>
    <w:p w:rsidR="00495D3D" w:rsidRDefault="00495D3D">
      <w:pPr>
        <w:pStyle w:val="Default"/>
        <w:jc w:val="center"/>
        <w:rPr>
          <w:sz w:val="72"/>
          <w:szCs w:val="72"/>
        </w:rPr>
      </w:pPr>
    </w:p>
    <w:p w:rsidR="00495D3D" w:rsidRDefault="00495D3D">
      <w:pPr>
        <w:pStyle w:val="Default"/>
        <w:jc w:val="center"/>
        <w:rPr>
          <w:sz w:val="72"/>
          <w:szCs w:val="72"/>
        </w:rPr>
      </w:pPr>
    </w:p>
    <w:p w:rsidR="00495D3D" w:rsidRDefault="00495D3D">
      <w:pPr>
        <w:pStyle w:val="Default"/>
        <w:jc w:val="center"/>
        <w:rPr>
          <w:sz w:val="72"/>
          <w:szCs w:val="72"/>
        </w:rPr>
      </w:pPr>
    </w:p>
    <w:p w:rsidR="00495D3D" w:rsidRDefault="00495D3D">
      <w:pPr>
        <w:pStyle w:val="Default"/>
        <w:jc w:val="center"/>
        <w:rPr>
          <w:sz w:val="72"/>
          <w:szCs w:val="72"/>
        </w:rPr>
      </w:pPr>
    </w:p>
    <w:p w:rsidR="00495D3D" w:rsidRDefault="00495D3D">
      <w:pPr>
        <w:pStyle w:val="Default"/>
        <w:jc w:val="center"/>
        <w:rPr>
          <w:sz w:val="72"/>
          <w:szCs w:val="72"/>
        </w:rPr>
      </w:pPr>
    </w:p>
    <w:p w:rsidR="00495D3D" w:rsidRDefault="00495D3D">
      <w:pPr>
        <w:pStyle w:val="Default"/>
        <w:jc w:val="center"/>
        <w:rPr>
          <w:sz w:val="72"/>
          <w:szCs w:val="72"/>
        </w:rPr>
      </w:pPr>
    </w:p>
    <w:p w:rsidR="00495D3D" w:rsidRDefault="00495D3D">
      <w:pPr>
        <w:pStyle w:val="Default"/>
        <w:jc w:val="center"/>
        <w:rPr>
          <w:sz w:val="72"/>
          <w:szCs w:val="72"/>
        </w:rPr>
      </w:pPr>
    </w:p>
    <w:p w:rsidR="00495D3D" w:rsidRDefault="00495D3D">
      <w:pPr>
        <w:pStyle w:val="Default"/>
        <w:jc w:val="center"/>
        <w:rPr>
          <w:sz w:val="72"/>
          <w:szCs w:val="72"/>
        </w:rPr>
      </w:pPr>
    </w:p>
    <w:p w:rsidR="00495D3D" w:rsidRDefault="00C71BC8">
      <w:pPr>
        <w:pStyle w:val="Default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第五部分</w:t>
      </w:r>
    </w:p>
    <w:p w:rsidR="00495D3D" w:rsidRDefault="00495D3D"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 w:rsidR="00495D3D" w:rsidRDefault="00C71BC8"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ascii="黑体" w:eastAsia="黑体" w:cs="黑体" w:hint="eastAsia"/>
          <w:color w:val="000000"/>
          <w:kern w:val="0"/>
          <w:sz w:val="70"/>
          <w:szCs w:val="70"/>
        </w:rPr>
        <w:t>附件</w:t>
      </w:r>
    </w:p>
    <w:p w:rsidR="00495D3D" w:rsidRDefault="00C71BC8"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ascii="黑体" w:eastAsia="黑体" w:cs="黑体"/>
          <w:color w:val="000000"/>
          <w:kern w:val="0"/>
          <w:sz w:val="70"/>
          <w:szCs w:val="70"/>
        </w:rPr>
        <w:br w:type="page"/>
      </w:r>
    </w:p>
    <w:p w:rsidR="00495D3D" w:rsidRDefault="00495D3D"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 w:rsidR="00495D3D" w:rsidRDefault="00C71BC8" w:rsidP="000F4578">
      <w:pPr>
        <w:ind w:firstLineChars="200" w:firstLine="643"/>
        <w:jc w:val="left"/>
        <w:rPr>
          <w:rFonts w:asciiTheme="minorEastAsia" w:hAnsiTheme="minorEastAsia" w:cs="黑体"/>
          <w:b/>
          <w:color w:val="000000"/>
          <w:kern w:val="0"/>
          <w:sz w:val="32"/>
          <w:szCs w:val="32"/>
        </w:rPr>
      </w:pPr>
      <w:r>
        <w:rPr>
          <w:rFonts w:asciiTheme="minorEastAsia" w:hAnsiTheme="minorEastAsia" w:cs="黑体" w:hint="eastAsia"/>
          <w:b/>
          <w:color w:val="000000"/>
          <w:kern w:val="0"/>
          <w:sz w:val="32"/>
          <w:szCs w:val="32"/>
        </w:rPr>
        <w:t>1、2021年部门决算公开表格</w:t>
      </w:r>
    </w:p>
    <w:p w:rsidR="00495D3D" w:rsidRDefault="00C71BC8" w:rsidP="000F4578">
      <w:pPr>
        <w:ind w:firstLineChars="200" w:firstLine="643"/>
        <w:jc w:val="left"/>
        <w:rPr>
          <w:rFonts w:asciiTheme="minorEastAsia" w:hAnsiTheme="minorEastAsia" w:cs="黑体"/>
          <w:b/>
          <w:color w:val="000000"/>
          <w:kern w:val="0"/>
          <w:sz w:val="32"/>
          <w:szCs w:val="32"/>
        </w:rPr>
      </w:pPr>
      <w:r>
        <w:rPr>
          <w:rFonts w:asciiTheme="minorEastAsia" w:hAnsiTheme="minorEastAsia" w:cs="黑体" w:hint="eastAsia"/>
          <w:b/>
          <w:color w:val="000000"/>
          <w:kern w:val="0"/>
          <w:sz w:val="32"/>
          <w:szCs w:val="32"/>
        </w:rPr>
        <w:t>2、2021年度部门整体支出绩效评价报告</w:t>
      </w:r>
    </w:p>
    <w:p w:rsidR="00495D3D" w:rsidRPr="00F60EA8" w:rsidRDefault="00241334" w:rsidP="00F60EA8">
      <w:pPr>
        <w:ind w:firstLineChars="200" w:firstLine="643"/>
        <w:jc w:val="left"/>
        <w:rPr>
          <w:rFonts w:asciiTheme="minorEastAsia" w:hAnsiTheme="minorEastAsia" w:cs="黑体"/>
          <w:b/>
          <w:color w:val="000000"/>
          <w:kern w:val="0"/>
          <w:sz w:val="32"/>
          <w:szCs w:val="32"/>
        </w:rPr>
      </w:pPr>
      <w:r w:rsidRPr="00F60EA8">
        <w:rPr>
          <w:rFonts w:asciiTheme="minorEastAsia" w:hAnsiTheme="minorEastAsia" w:cs="黑体" w:hint="eastAsia"/>
          <w:b/>
          <w:color w:val="000000"/>
          <w:kern w:val="0"/>
          <w:sz w:val="32"/>
          <w:szCs w:val="32"/>
        </w:rPr>
        <w:t>3、2021年度项目支出绩效评价自评报告</w:t>
      </w:r>
    </w:p>
    <w:sectPr w:rsidR="00495D3D" w:rsidRPr="00F60EA8" w:rsidSect="00495D3D">
      <w:pgSz w:w="11906" w:h="16838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4B5" w:rsidRDefault="001C14B5" w:rsidP="000F4578">
      <w:r>
        <w:separator/>
      </w:r>
    </w:p>
  </w:endnote>
  <w:endnote w:type="continuationSeparator" w:id="1">
    <w:p w:rsidR="001C14B5" w:rsidRDefault="001C14B5" w:rsidP="000F4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4B5" w:rsidRDefault="001C14B5" w:rsidP="000F4578">
      <w:r>
        <w:separator/>
      </w:r>
    </w:p>
  </w:footnote>
  <w:footnote w:type="continuationSeparator" w:id="1">
    <w:p w:rsidR="001C14B5" w:rsidRDefault="001C14B5" w:rsidP="000F45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6A298D"/>
    <w:multiLevelType w:val="singleLevel"/>
    <w:tmpl w:val="B16A298D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C5F40D2"/>
    <w:multiLevelType w:val="singleLevel"/>
    <w:tmpl w:val="FC5F40D2"/>
    <w:lvl w:ilvl="0">
      <w:start w:val="2"/>
      <w:numFmt w:val="chineseCounting"/>
      <w:suff w:val="nothing"/>
      <w:lvlText w:val="（%1）"/>
      <w:lvlJc w:val="left"/>
      <w:rPr>
        <w:rFonts w:hint="eastAsia"/>
        <w:i w:val="0"/>
      </w:rPr>
    </w:lvl>
  </w:abstractNum>
  <w:abstractNum w:abstractNumId="2">
    <w:nsid w:val="373518C1"/>
    <w:multiLevelType w:val="multilevel"/>
    <w:tmpl w:val="373518C1"/>
    <w:lvl w:ilvl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229B"/>
    <w:rsid w:val="00023522"/>
    <w:rsid w:val="000273BD"/>
    <w:rsid w:val="000415B7"/>
    <w:rsid w:val="00041954"/>
    <w:rsid w:val="00041E3F"/>
    <w:rsid w:val="00055DAA"/>
    <w:rsid w:val="00061F7B"/>
    <w:rsid w:val="000658A3"/>
    <w:rsid w:val="00074155"/>
    <w:rsid w:val="00081531"/>
    <w:rsid w:val="00082FF9"/>
    <w:rsid w:val="00085CEA"/>
    <w:rsid w:val="000873EF"/>
    <w:rsid w:val="00090C9E"/>
    <w:rsid w:val="000A3F69"/>
    <w:rsid w:val="000C2C3D"/>
    <w:rsid w:val="000F4578"/>
    <w:rsid w:val="000F6891"/>
    <w:rsid w:val="00103957"/>
    <w:rsid w:val="00124A1F"/>
    <w:rsid w:val="00152C6D"/>
    <w:rsid w:val="00162D39"/>
    <w:rsid w:val="001635B4"/>
    <w:rsid w:val="001678BD"/>
    <w:rsid w:val="00172A27"/>
    <w:rsid w:val="00177E55"/>
    <w:rsid w:val="00182373"/>
    <w:rsid w:val="001A67DB"/>
    <w:rsid w:val="001C14B5"/>
    <w:rsid w:val="001C3C29"/>
    <w:rsid w:val="001D51E5"/>
    <w:rsid w:val="001E080D"/>
    <w:rsid w:val="001E53D0"/>
    <w:rsid w:val="001F0C3B"/>
    <w:rsid w:val="001F14BE"/>
    <w:rsid w:val="00202C14"/>
    <w:rsid w:val="00202C82"/>
    <w:rsid w:val="00214427"/>
    <w:rsid w:val="00216892"/>
    <w:rsid w:val="00223113"/>
    <w:rsid w:val="00224A0A"/>
    <w:rsid w:val="00226CB7"/>
    <w:rsid w:val="00241334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C4197"/>
    <w:rsid w:val="003C47E6"/>
    <w:rsid w:val="003C4FC2"/>
    <w:rsid w:val="003E2331"/>
    <w:rsid w:val="00406A9C"/>
    <w:rsid w:val="00416E61"/>
    <w:rsid w:val="00417AAE"/>
    <w:rsid w:val="0042790C"/>
    <w:rsid w:val="004506F9"/>
    <w:rsid w:val="004717A2"/>
    <w:rsid w:val="00473DF3"/>
    <w:rsid w:val="00487911"/>
    <w:rsid w:val="00491741"/>
    <w:rsid w:val="00495D3D"/>
    <w:rsid w:val="004B0CEE"/>
    <w:rsid w:val="00500E5F"/>
    <w:rsid w:val="005122EF"/>
    <w:rsid w:val="0051441A"/>
    <w:rsid w:val="00517C33"/>
    <w:rsid w:val="00517D5F"/>
    <w:rsid w:val="00521AF2"/>
    <w:rsid w:val="00523644"/>
    <w:rsid w:val="00525CFC"/>
    <w:rsid w:val="0054069E"/>
    <w:rsid w:val="00544866"/>
    <w:rsid w:val="00554BBC"/>
    <w:rsid w:val="005767CC"/>
    <w:rsid w:val="00590D9F"/>
    <w:rsid w:val="00595D26"/>
    <w:rsid w:val="005A74E6"/>
    <w:rsid w:val="005B404E"/>
    <w:rsid w:val="005C5224"/>
    <w:rsid w:val="005D4D55"/>
    <w:rsid w:val="005E2CFB"/>
    <w:rsid w:val="005F2103"/>
    <w:rsid w:val="005F3D1C"/>
    <w:rsid w:val="005F4BE3"/>
    <w:rsid w:val="006063D7"/>
    <w:rsid w:val="00607989"/>
    <w:rsid w:val="0062378F"/>
    <w:rsid w:val="00641842"/>
    <w:rsid w:val="00651EEC"/>
    <w:rsid w:val="00686673"/>
    <w:rsid w:val="00691E8C"/>
    <w:rsid w:val="006A22C4"/>
    <w:rsid w:val="006A348B"/>
    <w:rsid w:val="006A351B"/>
    <w:rsid w:val="006B0422"/>
    <w:rsid w:val="006B1FD0"/>
    <w:rsid w:val="006C1B53"/>
    <w:rsid w:val="006C2C47"/>
    <w:rsid w:val="006D7730"/>
    <w:rsid w:val="006E5284"/>
    <w:rsid w:val="006E786A"/>
    <w:rsid w:val="006F3EB5"/>
    <w:rsid w:val="00702E34"/>
    <w:rsid w:val="00704395"/>
    <w:rsid w:val="00710FE7"/>
    <w:rsid w:val="00717621"/>
    <w:rsid w:val="00720FF1"/>
    <w:rsid w:val="00727A53"/>
    <w:rsid w:val="00745810"/>
    <w:rsid w:val="00752119"/>
    <w:rsid w:val="00762094"/>
    <w:rsid w:val="00775FDE"/>
    <w:rsid w:val="00787B42"/>
    <w:rsid w:val="007B29CA"/>
    <w:rsid w:val="007C11D6"/>
    <w:rsid w:val="007C4539"/>
    <w:rsid w:val="007F3657"/>
    <w:rsid w:val="007F63B3"/>
    <w:rsid w:val="00812ED5"/>
    <w:rsid w:val="008277D9"/>
    <w:rsid w:val="0084478C"/>
    <w:rsid w:val="0086638C"/>
    <w:rsid w:val="008A3E8D"/>
    <w:rsid w:val="00912517"/>
    <w:rsid w:val="009155A8"/>
    <w:rsid w:val="009237C4"/>
    <w:rsid w:val="009402CC"/>
    <w:rsid w:val="00944C48"/>
    <w:rsid w:val="00946C06"/>
    <w:rsid w:val="00950252"/>
    <w:rsid w:val="00967F5D"/>
    <w:rsid w:val="00982FFB"/>
    <w:rsid w:val="00987FB0"/>
    <w:rsid w:val="009A0F95"/>
    <w:rsid w:val="009B3ADF"/>
    <w:rsid w:val="009C0A6D"/>
    <w:rsid w:val="009C3B52"/>
    <w:rsid w:val="009E6817"/>
    <w:rsid w:val="009E6E9A"/>
    <w:rsid w:val="009F1272"/>
    <w:rsid w:val="00A01D2B"/>
    <w:rsid w:val="00A06E53"/>
    <w:rsid w:val="00A42218"/>
    <w:rsid w:val="00A43800"/>
    <w:rsid w:val="00A54D36"/>
    <w:rsid w:val="00A65048"/>
    <w:rsid w:val="00A70249"/>
    <w:rsid w:val="00A70B02"/>
    <w:rsid w:val="00A71D9F"/>
    <w:rsid w:val="00A82A5F"/>
    <w:rsid w:val="00A83E33"/>
    <w:rsid w:val="00A92E9F"/>
    <w:rsid w:val="00AC7C32"/>
    <w:rsid w:val="00AD0841"/>
    <w:rsid w:val="00AE6045"/>
    <w:rsid w:val="00AF6D30"/>
    <w:rsid w:val="00B03CE3"/>
    <w:rsid w:val="00B045B6"/>
    <w:rsid w:val="00B33BEA"/>
    <w:rsid w:val="00B57C9F"/>
    <w:rsid w:val="00B632D5"/>
    <w:rsid w:val="00B63572"/>
    <w:rsid w:val="00B7254D"/>
    <w:rsid w:val="00B845B3"/>
    <w:rsid w:val="00B85D8B"/>
    <w:rsid w:val="00BB4A40"/>
    <w:rsid w:val="00BD6C3E"/>
    <w:rsid w:val="00BE3674"/>
    <w:rsid w:val="00C10681"/>
    <w:rsid w:val="00C11BCC"/>
    <w:rsid w:val="00C22582"/>
    <w:rsid w:val="00C3049A"/>
    <w:rsid w:val="00C31B1E"/>
    <w:rsid w:val="00C71BC8"/>
    <w:rsid w:val="00C77645"/>
    <w:rsid w:val="00CE04C3"/>
    <w:rsid w:val="00CE3FF5"/>
    <w:rsid w:val="00CE60BF"/>
    <w:rsid w:val="00CE76A0"/>
    <w:rsid w:val="00CF59F3"/>
    <w:rsid w:val="00D148C6"/>
    <w:rsid w:val="00D17A8A"/>
    <w:rsid w:val="00D37F71"/>
    <w:rsid w:val="00D415BA"/>
    <w:rsid w:val="00D63780"/>
    <w:rsid w:val="00D644EE"/>
    <w:rsid w:val="00D75489"/>
    <w:rsid w:val="00DD06FF"/>
    <w:rsid w:val="00DD5FE9"/>
    <w:rsid w:val="00DD7F59"/>
    <w:rsid w:val="00DF699A"/>
    <w:rsid w:val="00E00C7A"/>
    <w:rsid w:val="00E20334"/>
    <w:rsid w:val="00E209CF"/>
    <w:rsid w:val="00E37D6C"/>
    <w:rsid w:val="00E544A5"/>
    <w:rsid w:val="00E5484B"/>
    <w:rsid w:val="00E55B68"/>
    <w:rsid w:val="00E67BE6"/>
    <w:rsid w:val="00E8683C"/>
    <w:rsid w:val="00EA2B72"/>
    <w:rsid w:val="00EB0981"/>
    <w:rsid w:val="00ED5F92"/>
    <w:rsid w:val="00F06190"/>
    <w:rsid w:val="00F161FD"/>
    <w:rsid w:val="00F40906"/>
    <w:rsid w:val="00F43857"/>
    <w:rsid w:val="00F56425"/>
    <w:rsid w:val="00F60EA8"/>
    <w:rsid w:val="00F74360"/>
    <w:rsid w:val="00F82A81"/>
    <w:rsid w:val="00F97C99"/>
    <w:rsid w:val="00FB331B"/>
    <w:rsid w:val="00FB462F"/>
    <w:rsid w:val="00FE16FA"/>
    <w:rsid w:val="00FE328A"/>
    <w:rsid w:val="00FE6269"/>
    <w:rsid w:val="00FF5CD6"/>
    <w:rsid w:val="05633A58"/>
    <w:rsid w:val="06B411F0"/>
    <w:rsid w:val="087403E0"/>
    <w:rsid w:val="0BE56081"/>
    <w:rsid w:val="13BE003E"/>
    <w:rsid w:val="17A87124"/>
    <w:rsid w:val="27DB542D"/>
    <w:rsid w:val="366364DD"/>
    <w:rsid w:val="370B6762"/>
    <w:rsid w:val="45F9639D"/>
    <w:rsid w:val="48ED43E7"/>
    <w:rsid w:val="60A907EA"/>
    <w:rsid w:val="6145544E"/>
    <w:rsid w:val="70277327"/>
    <w:rsid w:val="703B0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5D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5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95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95D3D"/>
    <w:rPr>
      <w:rFonts w:ascii="Times New Roman" w:hAnsi="Times New Roman" w:cs="Times New Roman"/>
      <w:sz w:val="24"/>
      <w:szCs w:val="24"/>
    </w:rPr>
  </w:style>
  <w:style w:type="character" w:customStyle="1" w:styleId="Char1">
    <w:name w:val="页眉 Char"/>
    <w:basedOn w:val="a0"/>
    <w:link w:val="a5"/>
    <w:uiPriority w:val="99"/>
    <w:rsid w:val="00495D3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D3D"/>
    <w:rPr>
      <w:sz w:val="18"/>
      <w:szCs w:val="18"/>
    </w:rPr>
  </w:style>
  <w:style w:type="paragraph" w:customStyle="1" w:styleId="Default">
    <w:name w:val="Default"/>
    <w:rsid w:val="00495D3D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95D3D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495D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873B3-9C37-446F-86D6-8173884E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19</Pages>
  <Words>910</Words>
  <Characters>5191</Characters>
  <Application>Microsoft Office Word</Application>
  <DocSecurity>0</DocSecurity>
  <Lines>43</Lines>
  <Paragraphs>12</Paragraphs>
  <ScaleCrop>false</ScaleCrop>
  <Company>Microsoft</Company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李航 null</dc:creator>
  <cp:lastModifiedBy>PC</cp:lastModifiedBy>
  <cp:revision>101</cp:revision>
  <cp:lastPrinted>2022-07-27T12:55:00Z</cp:lastPrinted>
  <dcterms:created xsi:type="dcterms:W3CDTF">2020-07-02T02:32:00Z</dcterms:created>
  <dcterms:modified xsi:type="dcterms:W3CDTF">2023-09-22T04:11:00Z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C02081F76A1C414C807C3137DC2EA958</vt:lpwstr>
  </property>
</Properties>
</file>