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岳阳市科技事务中心部门</w:t>
      </w:r>
    </w:p>
    <w:p>
      <w:pPr>
        <w:pStyle w:val="10"/>
        <w:jc w:val="center"/>
        <w:rPr>
          <w:sz w:val="84"/>
          <w:szCs w:val="84"/>
        </w:rPr>
      </w:pPr>
      <w:r>
        <w:rPr>
          <w:rFonts w:hint="eastAsia"/>
          <w:sz w:val="84"/>
          <w:szCs w:val="84"/>
        </w:rPr>
        <w:t>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center"/>
        <w:rPr>
          <w:b/>
          <w:sz w:val="36"/>
          <w:szCs w:val="28"/>
        </w:rPr>
      </w:pPr>
    </w:p>
    <w:p>
      <w:pPr>
        <w:pStyle w:val="10"/>
        <w:spacing w:line="480" w:lineRule="exact"/>
        <w:jc w:val="center"/>
        <w:rPr>
          <w:b/>
          <w:sz w:val="36"/>
          <w:szCs w:val="28"/>
        </w:rPr>
      </w:pPr>
      <w:r>
        <w:rPr>
          <w:rFonts w:hint="eastAsia"/>
          <w:b/>
          <w:sz w:val="36"/>
          <w:szCs w:val="28"/>
        </w:rPr>
        <w:t>目录</w:t>
      </w:r>
    </w:p>
    <w:p>
      <w:pPr>
        <w:pStyle w:val="10"/>
        <w:spacing w:line="480" w:lineRule="exact"/>
        <w:rPr>
          <w:rFonts w:ascii="仿宋_GB2312" w:hAnsi="仿宋_GB2312" w:cs="仿宋_GB2312"/>
          <w:b/>
          <w:sz w:val="28"/>
          <w:szCs w:val="28"/>
        </w:rPr>
      </w:pPr>
      <w:r>
        <w:rPr>
          <w:rFonts w:hint="eastAsia"/>
          <w:b/>
          <w:sz w:val="28"/>
          <w:szCs w:val="28"/>
        </w:rPr>
        <w:t>第一部分  岳阳市科技事务中心概况</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480" w:lineRule="exact"/>
        <w:ind w:firstLine="700" w:firstLineChars="250"/>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pPr>
        <w:pStyle w:val="10"/>
        <w:spacing w:line="48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21年度部门决算表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48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48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21年度部门决算情况说明</w:t>
      </w:r>
    </w:p>
    <w:p>
      <w:pPr>
        <w:pStyle w:val="10"/>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10"/>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岳阳市科技事务中心概况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jc w:val="left"/>
        <w:rPr>
          <w:rFonts w:asciiTheme="minorEastAsia" w:hAnsiTheme="minorEastAsia"/>
          <w:sz w:val="32"/>
          <w:szCs w:val="32"/>
        </w:rPr>
      </w:pPr>
      <w:r>
        <w:rPr>
          <w:rFonts w:hint="eastAsia" w:asciiTheme="minorEastAsia" w:hAnsiTheme="minorEastAsia"/>
          <w:sz w:val="32"/>
          <w:szCs w:val="32"/>
        </w:rPr>
        <w:t xml:space="preserve"> 为全市科技管理提供技术支撑服务，为社会提供公益性科技信息服务。</w:t>
      </w:r>
    </w:p>
    <w:p>
      <w:pPr>
        <w:widowControl/>
        <w:numPr>
          <w:ilvl w:val="0"/>
          <w:numId w:val="2"/>
        </w:numPr>
        <w:spacing w:line="600" w:lineRule="exact"/>
        <w:rPr>
          <w:rFonts w:ascii="黑体" w:hAnsi="黑体" w:eastAsia="黑体"/>
          <w:bCs/>
          <w:kern w:val="0"/>
          <w:sz w:val="32"/>
          <w:szCs w:val="32"/>
        </w:rPr>
      </w:pPr>
      <w:r>
        <w:rPr>
          <w:rFonts w:hint="eastAsia" w:ascii="黑体" w:hAnsi="黑体" w:eastAsia="黑体"/>
          <w:bCs/>
          <w:kern w:val="0"/>
          <w:sz w:val="32"/>
          <w:szCs w:val="32"/>
        </w:rPr>
        <w:t>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（一）内设机构设置。岳阳市科技事务中心内设机构包括：综合室、业务一室、业务二室。</w:t>
      </w:r>
    </w:p>
    <w:p>
      <w:pPr>
        <w:widowControl/>
        <w:numPr>
          <w:ilvl w:val="0"/>
          <w:numId w:val="3"/>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决算单位构成。岳阳市科技事务中心</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21年部门决算汇总公开单位构成包括：岳阳市科技事务中心本级。岳阳市科技事务中心为岳阳市科技局所属正科级公益一类事业单位，无下属单位或机构。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sz w:val="32"/>
          <w:szCs w:val="32"/>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2021年度收、支总计281.83万元。与上年相比，增加57.86万元，增长25.83%，主要是因为平台维护费增加；退休人员增加，退休费增多。</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2021年度收入合计257.24万元，其中：财政拨款收入257.24万元，占100%。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2021年度支出合计258.87万元，其中：基本支出258.87万元，占100%。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2021年度财政拨款收、支总计281.83万元，与上年相比，增加57.86万元，增长25.83%，主要是因为退休人员增加，退休费增多。</w:t>
      </w:r>
    </w:p>
    <w:p>
      <w:pPr>
        <w:pStyle w:val="10"/>
        <w:rPr>
          <w:rFonts w:hAnsi="黑体"/>
          <w:b/>
          <w:sz w:val="32"/>
          <w:szCs w:val="32"/>
        </w:rPr>
      </w:pPr>
      <w:r>
        <w:rPr>
          <w:rFonts w:hint="eastAsia" w:hAnsi="黑体"/>
          <w:b/>
          <w:sz w:val="32"/>
          <w:szCs w:val="32"/>
        </w:rPr>
        <w:t>五、一般公共预算财政拨款支出决算情况说明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（一）财政拨款支出决算总体情况</w:t>
      </w:r>
    </w:p>
    <w:p>
      <w:pPr>
        <w:pStyle w:val="10"/>
        <w:ind w:firstLine="800" w:firstLineChars="25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2021年度财政拨款支出258.87万元，占本年支出合计的100%，与上年相比，财政拨款支出增加59.49万元，增长29.84%，主要是因为退休人员增加，退休费增多，平台维护费增加。</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2021年度财政拨款支出258.87万元，主要用于以下方面：科学技术支出（类）支出258.87万元，占100%。</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2021年度财政拨款支出年初预算数为246.43万元，支出决算数为258.87万元，完成年初预算的105%，其中：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1、科学技术支出（类）科学技术管理事务（款）行政运行（项）。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年初预算为246.43万元，支出决算为258.87万元，完成年初预算的105%，决算数超过年初预算数的主要原因是：退休人员增多，退休费增加，平台维护费增加。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2021年度财政拨款基本支出258.87万元，其中：人员经费233.6万元，占基本支出的90.24%,主要包括主要包括基本工资、津贴补贴、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奖金、伙食补助费、绩效工资、机关事业单位基本养老保险缴费、职业年金缴费、职工基本医疗保险缴费、其他社会保障缴费、住房公积金、医疗费、其他工资福利支出、退休费、抚恤金、生活补助</w:t>
      </w:r>
      <w:r>
        <w:rPr>
          <w:rFonts w:hint="eastAsia" w:asciiTheme="minorEastAsia" w:hAnsiTheme="minorEastAsia" w:eastAsiaTheme="minorEastAsia"/>
          <w:sz w:val="32"/>
          <w:szCs w:val="32"/>
        </w:rPr>
        <w:t>；公用经费25.27万元，占基本支出的9.76%，主要包括办公费、水费、电费、邮电费、差旅费、维修（护）费、会议费、培训费、公务接待费、劳务费、委托业务费、工会经费、福利费、其他交通费用、税金及附加费用、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2021年度“三公”经费财政拨款支出预算为1万元，支出决算为0.28万元，完成预算的28%，其中：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，决算数与预算数持平，与上年相比持平</w:t>
      </w:r>
      <w:r>
        <w:rPr>
          <w:rFonts w:hint="default" w:asciiTheme="minorEastAsia" w:hAnsiTheme="minorEastAsia" w:eastAsiaTheme="minorEastAsia"/>
          <w:sz w:val="32"/>
          <w:szCs w:val="32"/>
          <w:lang w:val="en"/>
        </w:rPr>
        <w:t>，持平原因为单位无因公出国（境）支出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公务接待费支出预算为1万元，支出决算为0.28万元，完成预算的28%，决算数小于预算数的主要原因是厉行节约，与上年相比减少0.02万元，减少6%,减少的主要原因是厉行节约。</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，决算数与预算数持平，与上年相比持平</w:t>
      </w:r>
      <w:r>
        <w:rPr>
          <w:rFonts w:hint="default" w:asciiTheme="minorEastAsia" w:hAnsiTheme="minorEastAsia" w:eastAsiaTheme="minorEastAsia"/>
          <w:sz w:val="32"/>
          <w:szCs w:val="32"/>
          <w:lang w:val="en"/>
        </w:rPr>
        <w:t>，持平原因为单位无公车</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，决算数与预算数持平，与上年相比持平</w:t>
      </w:r>
      <w:r>
        <w:rPr>
          <w:rFonts w:hint="default" w:asciiTheme="minorEastAsia" w:hAnsiTheme="minorEastAsia" w:eastAsiaTheme="minorEastAsia"/>
          <w:sz w:val="32"/>
          <w:szCs w:val="32"/>
          <w:lang w:val="en"/>
        </w:rPr>
        <w:t>，持平</w:t>
      </w:r>
      <w:bookmarkStart w:id="0" w:name="_GoBack"/>
      <w:bookmarkEnd w:id="0"/>
      <w:r>
        <w:rPr>
          <w:rFonts w:hint="default" w:asciiTheme="minorEastAsia" w:hAnsiTheme="minorEastAsia" w:eastAsiaTheme="minorEastAsia"/>
          <w:sz w:val="32"/>
          <w:szCs w:val="32"/>
          <w:lang w:val="en"/>
        </w:rPr>
        <w:t>原因为单位无公车</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2021年度“三公”经费财政拨款支出决算中，公务接待费支出决算0.28万元，占100%,因公出国（境）费支出决算0万元，占0%,公务用车购置费及运行维护费支出决算0万元，占0%。其中：</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2、公务接待费支出决算为0.28万元，全年共接待来访团组3个、来宾25人次，主要是调研发生的接待支出。</w:t>
      </w:r>
    </w:p>
    <w:p>
      <w:pPr>
        <w:ind w:firstLine="800" w:firstLineChars="250"/>
        <w:rPr>
          <w:rFonts w:cs="黑体" w:asciiTheme="minorEastAsia" w:hAnsiTheme="minorEastAsia"/>
          <w:b/>
          <w:bCs/>
          <w:i/>
          <w:color w:val="FF0000"/>
          <w:kern w:val="0"/>
          <w:sz w:val="36"/>
          <w:szCs w:val="36"/>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2021年度本单位无政府性基金收支。</w:t>
      </w:r>
    </w:p>
    <w:p>
      <w:pPr>
        <w:pStyle w:val="10"/>
        <w:numPr>
          <w:ilvl w:val="0"/>
          <w:numId w:val="4"/>
        </w:numPr>
        <w:rPr>
          <w:rFonts w:hAnsi="黑体"/>
          <w:b/>
          <w:sz w:val="32"/>
          <w:szCs w:val="32"/>
        </w:rPr>
      </w:pPr>
      <w:r>
        <w:rPr>
          <w:rFonts w:hint="eastAsia" w:hAnsi="黑体"/>
          <w:b/>
          <w:sz w:val="32"/>
          <w:szCs w:val="32"/>
        </w:rPr>
        <w:t>国有资本经营预算财政拨款支出决算情况</w:t>
      </w:r>
    </w:p>
    <w:p>
      <w:pPr>
        <w:pStyle w:val="10"/>
        <w:ind w:firstLine="640" w:firstLineChars="200"/>
        <w:rPr>
          <w:rFonts w:hAnsi="黑体"/>
          <w:b/>
          <w:sz w:val="32"/>
          <w:szCs w:val="32"/>
        </w:rPr>
      </w:pPr>
      <w:r>
        <w:rPr>
          <w:rFonts w:hint="eastAsia" w:asciiTheme="minorEastAsia" w:hAnsiTheme="minorEastAsia" w:eastAsiaTheme="minorEastAsia"/>
          <w:sz w:val="32"/>
          <w:szCs w:val="32"/>
        </w:rPr>
        <w:t>2021年度本单位无国有资本经营预算财政拨款支出。</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本部门2021年度机关运行经费支出25.27万元，比上年决算数增加8.41万元，增长49.88%。主要原因是：技术平台维护费增多。</w:t>
      </w:r>
    </w:p>
    <w:p>
      <w:pPr>
        <w:pStyle w:val="10"/>
        <w:rPr>
          <w:rFonts w:hAnsi="黑体"/>
          <w:b/>
          <w:sz w:val="32"/>
          <w:szCs w:val="32"/>
        </w:rPr>
      </w:pPr>
      <w:r>
        <w:rPr>
          <w:rFonts w:hint="eastAsia" w:hAnsi="黑体"/>
          <w:b/>
          <w:sz w:val="32"/>
          <w:szCs w:val="32"/>
        </w:rPr>
        <w:t>十一、一般性支出情况说明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2021年本部门开支会议费0.3万元，用于召开项目评审业务会议，人数12人，内容为承担科技成果转化项目评审会；开支培训费0万元；举办节庆、晚会、论坛、赛事活动，开支0万元。</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0.56万元，其中：政府采购货物支出0.56万元、政府采购工程支出0万元、政府采购服务支出0万元。授予中小企业合同金额0.56万元，占政府采购支出总额的100%，其中：授予小微企业合同金额0万元，占授予中小企业合同金额的0%；货物采购授予中小企业合同金额占货物支出金额的100%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0辆，其中，主要领导干部用车0辆，机要通信用车0辆、应急保障用车0辆、执法执勤用车0辆、特种专业技术用车0辆、其他用车0辆；单位价值50万元以上通用设备0台；单位价值100万元以上专用设备0台。</w:t>
      </w:r>
    </w:p>
    <w:p>
      <w:pPr>
        <w:pStyle w:val="10"/>
        <w:rPr>
          <w:rFonts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岳阳市科技事务中心”1个单位开展整体支出绩效评价，涉及一般公共预算支出258.87万元，政府性基金预算支出0万元。从评价情况来看，按照中央、省、市的部署，积极推进预算绩效管理改革，以目标管理、第三方评价、信息公开等为着力点，认真贯彻落实市委、市政府的决策部署，高度重视绩效管理工作，将绩效管理融入预算编制、执行过程。2021年度部门整体支出绩效自评等级为“优”，绩效自评报告已按财政要求在我单位门户网站上公开（作为需随同部门决算一同公开的绩效信息见附件2）。</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
        </w:rPr>
      </w:pPr>
      <w:r>
        <w:rPr>
          <w:rFonts w:hint="eastAsia" w:cs="黑体" w:asciiTheme="minorEastAsia" w:hAnsiTheme="minorEastAsia"/>
          <w:color w:val="000000"/>
          <w:kern w:val="0"/>
          <w:sz w:val="32"/>
          <w:szCs w:val="32"/>
        </w:rPr>
        <w:t xml:space="preserve">     </w:t>
      </w:r>
      <w:r>
        <w:rPr>
          <w:rFonts w:hint="default" w:cs="黑体" w:asciiTheme="minorEastAsia" w:hAnsiTheme="minorEastAsia"/>
          <w:color w:val="000000"/>
          <w:kern w:val="0"/>
          <w:sz w:val="32"/>
          <w:szCs w:val="32"/>
          <w:lang w:val="en"/>
        </w:rPr>
        <w:t>本单位无项目支出，故未展项目自评，无自评结果。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b/>
          <w:bCs/>
          <w:i/>
          <w:iCs/>
          <w:color w:val="FF0000"/>
          <w:kern w:val="0"/>
          <w:sz w:val="36"/>
          <w:szCs w:val="36"/>
        </w:rPr>
      </w:pPr>
      <w:r>
        <w:rPr>
          <w:rFonts w:hint="eastAsia" w:cs="黑体" w:asciiTheme="minorEastAsia" w:hAnsiTheme="minorEastAsia"/>
          <w:color w:val="000000"/>
          <w:kern w:val="0"/>
          <w:sz w:val="32"/>
          <w:szCs w:val="32"/>
        </w:rPr>
        <w:t xml:space="preserve">     无。</w:t>
      </w:r>
    </w:p>
    <w:p>
      <w:pPr>
        <w:autoSpaceDE w:val="0"/>
        <w:autoSpaceDN w:val="0"/>
        <w:adjustRightInd w:val="0"/>
        <w:ind w:firstLine="720" w:firstLineChars="200"/>
        <w:jc w:val="left"/>
        <w:rPr>
          <w:rFonts w:cs="黑体" w:asciiTheme="minorEastAsia" w:hAnsiTheme="minorEastAsia"/>
          <w:b/>
          <w:bCs/>
          <w:i/>
          <w:iCs/>
          <w:color w:val="FF0000"/>
          <w:kern w:val="0"/>
          <w:sz w:val="36"/>
          <w:szCs w:val="36"/>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三、经营收入指事业单位在专业业务活动及其辅助活动之外开展非独立核算经营活动取得的收入。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四、其他收入指除上述“财政拨款收入”，“事业收入”、“经营收入”等以外的收入。主要是利息收入等。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六、年初结转和结余指以前年度尚未完成、结转到本年按有关规定继续使用的资金。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七、结余分配指事业单位按规定提取的职工福利基金、事业基金和缴纳的所得税。</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八、年末结转和结余指本年度或以前年度预算安排、因客观条件发生变化无法按原计划实施，需延迟到以后年度按有关规定继续使用的资金。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十一、经营支出指事业单位在专业业务活动及其辅助活动之外开展非独立核算经营活动发生的支出。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2、2021年度部门整体支出绩效评价报告</w:t>
      </w: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BB3C4611"/>
    <w:multiLevelType w:val="singleLevel"/>
    <w:tmpl w:val="BB3C4611"/>
    <w:lvl w:ilvl="0" w:tentative="0">
      <w:start w:val="2"/>
      <w:numFmt w:val="chineseCounting"/>
      <w:suff w:val="nothing"/>
      <w:lvlText w:val="%1、"/>
      <w:lvlJc w:val="left"/>
      <w:rPr>
        <w:rFonts w:hint="eastAsia"/>
      </w:rPr>
    </w:lvl>
  </w:abstractNum>
  <w:abstractNum w:abstractNumId="2">
    <w:nsid w:val="FC5F40D2"/>
    <w:multiLevelType w:val="singleLevel"/>
    <w:tmpl w:val="FC5F40D2"/>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29B"/>
    <w:rsid w:val="000273BD"/>
    <w:rsid w:val="000415B7"/>
    <w:rsid w:val="00041E3F"/>
    <w:rsid w:val="00055DAA"/>
    <w:rsid w:val="00061F7B"/>
    <w:rsid w:val="000658A3"/>
    <w:rsid w:val="00074155"/>
    <w:rsid w:val="00085B49"/>
    <w:rsid w:val="000873EF"/>
    <w:rsid w:val="000A3F69"/>
    <w:rsid w:val="000F4D7F"/>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05E05"/>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2A0"/>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67EA3"/>
    <w:rsid w:val="00E8683C"/>
    <w:rsid w:val="00EA2B72"/>
    <w:rsid w:val="00F74360"/>
    <w:rsid w:val="00FB462F"/>
    <w:rsid w:val="00FE16FA"/>
    <w:rsid w:val="00FE328A"/>
    <w:rsid w:val="00FE6269"/>
    <w:rsid w:val="00FF5CD6"/>
    <w:rsid w:val="05633A58"/>
    <w:rsid w:val="06B411F0"/>
    <w:rsid w:val="087403E0"/>
    <w:rsid w:val="0BE56081"/>
    <w:rsid w:val="13662570"/>
    <w:rsid w:val="13BE003E"/>
    <w:rsid w:val="17A87124"/>
    <w:rsid w:val="1AF6E48A"/>
    <w:rsid w:val="1B7FF45B"/>
    <w:rsid w:val="1FF793EE"/>
    <w:rsid w:val="24741EFE"/>
    <w:rsid w:val="27DB542D"/>
    <w:rsid w:val="2BF6CEE5"/>
    <w:rsid w:val="366364DD"/>
    <w:rsid w:val="367FD083"/>
    <w:rsid w:val="370B6762"/>
    <w:rsid w:val="39DC144B"/>
    <w:rsid w:val="39F7B80F"/>
    <w:rsid w:val="3DEE191F"/>
    <w:rsid w:val="3F5A0E05"/>
    <w:rsid w:val="3F763EA2"/>
    <w:rsid w:val="3FBF3FA8"/>
    <w:rsid w:val="3FDC01FB"/>
    <w:rsid w:val="3FFFBB26"/>
    <w:rsid w:val="45F9639D"/>
    <w:rsid w:val="48ED43E7"/>
    <w:rsid w:val="4BFFC48A"/>
    <w:rsid w:val="4FEF8B7D"/>
    <w:rsid w:val="5BEF9FE0"/>
    <w:rsid w:val="5FAD6225"/>
    <w:rsid w:val="5FDFEF83"/>
    <w:rsid w:val="5FFD2E56"/>
    <w:rsid w:val="5FFEA780"/>
    <w:rsid w:val="60A907EA"/>
    <w:rsid w:val="6145544E"/>
    <w:rsid w:val="65CCFEE5"/>
    <w:rsid w:val="67FF7150"/>
    <w:rsid w:val="6ECEBA43"/>
    <w:rsid w:val="6FB256B9"/>
    <w:rsid w:val="6FF37EAB"/>
    <w:rsid w:val="6FFE2EA4"/>
    <w:rsid w:val="77FE27F5"/>
    <w:rsid w:val="79BF1BD7"/>
    <w:rsid w:val="7BBA48BF"/>
    <w:rsid w:val="7C7D6138"/>
    <w:rsid w:val="7CFBE59F"/>
    <w:rsid w:val="7CFE1C24"/>
    <w:rsid w:val="7EFFE6FD"/>
    <w:rsid w:val="7F7FA8C4"/>
    <w:rsid w:val="7F8378CB"/>
    <w:rsid w:val="7FDE04D9"/>
    <w:rsid w:val="7FF39F6D"/>
    <w:rsid w:val="7FFF3C8E"/>
    <w:rsid w:val="AB7B7D80"/>
    <w:rsid w:val="AF4F56F7"/>
    <w:rsid w:val="AFFF3BCD"/>
    <w:rsid w:val="B61E0498"/>
    <w:rsid w:val="B6F5EC72"/>
    <w:rsid w:val="BD7C2394"/>
    <w:rsid w:val="BFF725BE"/>
    <w:rsid w:val="C6D85C36"/>
    <w:rsid w:val="CF78B953"/>
    <w:rsid w:val="CFCD0381"/>
    <w:rsid w:val="CFEF3EEC"/>
    <w:rsid w:val="D35DCA82"/>
    <w:rsid w:val="DB2EAD6E"/>
    <w:rsid w:val="DEFFD9BB"/>
    <w:rsid w:val="DF8BA165"/>
    <w:rsid w:val="E7F75D41"/>
    <w:rsid w:val="E9A786F8"/>
    <w:rsid w:val="EF270D43"/>
    <w:rsid w:val="EF6D8435"/>
    <w:rsid w:val="F6BAB331"/>
    <w:rsid w:val="F753D191"/>
    <w:rsid w:val="F7FFBFFC"/>
    <w:rsid w:val="F97DFAE2"/>
    <w:rsid w:val="FBB6BBB3"/>
    <w:rsid w:val="FBF70613"/>
    <w:rsid w:val="FDBFB0EC"/>
    <w:rsid w:val="FF1AD6A0"/>
    <w:rsid w:val="FF2E409F"/>
    <w:rsid w:val="FF43E9D2"/>
    <w:rsid w:val="FF5FA032"/>
    <w:rsid w:val="FF6D0A11"/>
    <w:rsid w:val="FFD9FAF1"/>
    <w:rsid w:val="FFF59D0C"/>
    <w:rsid w:val="FFF7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675</Words>
  <Characters>3852</Characters>
  <Lines>32</Lines>
  <Paragraphs>9</Paragraphs>
  <TotalTime>0</TotalTime>
  <ScaleCrop>false</ScaleCrop>
  <LinksUpToDate>false</LinksUpToDate>
  <CharactersWithSpaces>4518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2020-07-04T10:32:00Z</dcterms:created>
  <dc:creator>李航 null</dc:creator>
  <cp:lastModifiedBy>xjkp</cp:lastModifiedBy>
  <cp:lastPrinted>2022-09-21T09:16:00Z</cp:lastPrinted>
  <dcterms:modified xsi:type="dcterms:W3CDTF">2023-09-21T14:54:31Z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C02081F76A1C414C807C3137DC2EA958</vt:lpwstr>
  </property>
</Properties>
</file>