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2022年岳阳市商务粮食局</w:t>
      </w:r>
      <w:r>
        <w:rPr>
          <w:rFonts w:hint="eastAsia"/>
          <w:lang w:val="en-US" w:eastAsia="zh-CN"/>
        </w:rPr>
        <w:t>部门</w:t>
      </w:r>
      <w:r>
        <w:rPr>
          <w:rFonts w:hint="eastAsia"/>
        </w:rPr>
        <w:t>预算公开</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5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textAlignment w:val="center"/>
              <w:rPr>
                <w:rFonts w:ascii="Calibri" w:hAnsi="Calibri" w:cs="Calibri"/>
                <w:sz w:val="21"/>
                <w:szCs w:val="21"/>
              </w:rPr>
            </w:pPr>
            <w:r>
              <w:rPr>
                <w:rFonts w:ascii="黑体" w:hAnsi="宋体" w:eastAsia="黑体" w:cs="黑体"/>
                <w:i w:val="0"/>
                <w:iCs w:val="0"/>
                <w:caps w:val="0"/>
                <w:color w:val="333333"/>
                <w:spacing w:val="0"/>
                <w:kern w:val="0"/>
                <w:sz w:val="36"/>
                <w:szCs w:val="36"/>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ascii="仿宋_GB2312" w:hAnsi="Calibri" w:eastAsia="仿宋_GB2312" w:cs="仿宋_GB2312"/>
                <w:i w:val="0"/>
                <w:iCs w:val="0"/>
                <w:caps w:val="0"/>
                <w:color w:val="333333"/>
                <w:spacing w:val="0"/>
                <w:kern w:val="0"/>
                <w:sz w:val="28"/>
                <w:szCs w:val="28"/>
                <w:lang w:val="en-US" w:eastAsia="zh-CN" w:bidi="ar"/>
              </w:rPr>
              <w:t>第一部分</w:t>
            </w:r>
            <w:r>
              <w:rPr>
                <w:rFonts w:hint="eastAsia" w:ascii="仿宋_GB2312" w:hAnsi="Calibri" w:eastAsia="仿宋_GB2312" w:cs="仿宋_GB2312"/>
                <w:i w:val="0"/>
                <w:iCs w:val="0"/>
                <w:caps w:val="0"/>
                <w:color w:val="333333"/>
                <w:spacing w:val="0"/>
                <w:kern w:val="0"/>
                <w:sz w:val="28"/>
                <w:szCs w:val="28"/>
                <w:lang w:val="en-US" w:eastAsia="zh-CN" w:bidi="ar"/>
              </w:rPr>
              <w:t>  2022年部门预算说明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第二部分  2022年部门预算公开表格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519" w:hRule="atLeast"/>
        </w:trPr>
        <w:tc>
          <w:tcPr>
            <w:tcW w:w="5000" w:type="pct"/>
            <w:vMerge w:val="restart"/>
            <w:tcBorders>
              <w:top w:val="nil"/>
              <w:left w:val="nil"/>
              <w:bottom w:val="nil"/>
              <w:right w:val="nil"/>
            </w:tcBorders>
            <w:shd w:val="clear" w:color="auto" w:fill="FFFFFF"/>
            <w:tcMar>
              <w:left w:w="108" w:type="dxa"/>
              <w:right w:w="108" w:type="dxa"/>
            </w:tcMar>
            <w:vAlign w:val="center"/>
          </w:tcPr>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eastAsia" w:ascii="仿宋_GB2312" w:hAnsi="Calibri" w:eastAsia="仿宋_GB2312" w:cs="仿宋_GB2312"/>
                <w:i w:val="0"/>
                <w:iCs w:val="0"/>
                <w:caps w:val="0"/>
                <w:color w:val="333333"/>
                <w:spacing w:val="0"/>
                <w:kern w:val="0"/>
                <w:sz w:val="28"/>
                <w:szCs w:val="28"/>
                <w:lang w:val="en-US" w:eastAsia="zh-CN" w:bidi="ar"/>
              </w:rPr>
            </w:pPr>
            <w:r>
              <w:rPr>
                <w:rFonts w:hint="eastAsia" w:ascii="仿宋_GB2312" w:hAnsi="Calibri" w:eastAsia="仿宋_GB2312" w:cs="仿宋_GB2312"/>
                <w:i w:val="0"/>
                <w:iCs w:val="0"/>
                <w:caps w:val="0"/>
                <w:color w:val="333333"/>
                <w:spacing w:val="0"/>
                <w:kern w:val="0"/>
                <w:sz w:val="28"/>
                <w:szCs w:val="28"/>
                <w:lang w:val="en-US" w:eastAsia="zh-CN" w:bidi="ar"/>
              </w:rPr>
              <w:t>收支总表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2、收入总表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3、支出总表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4、支出预算分类汇总表（按政府预算经济分类）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5、支出预算分类汇总表（按部门预算经济分类）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6、财政拨款收支总表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7、一般公共预算支出表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8、一般公共预算基本支出表-人员经费（工资福利支出）（按政府预算经济分类）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9、一般公共预算基本支出表-人员经费（工资福利支出）（按部门预算经济分类）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10、一般公共预算基本支出表-人员经费（对个人和家庭的补助）（按政府预算经济分类）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11、一般公共预算基本支出表-人员经费（对个人和家庭的补助）（按部门预算经济分类）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12、一般公共预算基本支出表-</w:t>
            </w:r>
            <w:r>
              <w:rPr>
                <w:rFonts w:hint="eastAsia" w:ascii="仿宋_GB2312" w:hAnsi="Calibri" w:cs="仿宋_GB2312"/>
                <w:i w:val="0"/>
                <w:iCs w:val="0"/>
                <w:caps w:val="0"/>
                <w:color w:val="333333"/>
                <w:spacing w:val="0"/>
                <w:kern w:val="0"/>
                <w:sz w:val="28"/>
                <w:szCs w:val="28"/>
                <w:lang w:val="en-US" w:eastAsia="zh-CN" w:bidi="ar"/>
              </w:rPr>
              <w:t>公用</w:t>
            </w:r>
            <w:r>
              <w:rPr>
                <w:rFonts w:hint="eastAsia" w:ascii="仿宋_GB2312" w:hAnsi="Calibri" w:eastAsia="仿宋_GB2312" w:cs="仿宋_GB2312"/>
                <w:i w:val="0"/>
                <w:iCs w:val="0"/>
                <w:caps w:val="0"/>
                <w:color w:val="333333"/>
                <w:spacing w:val="0"/>
                <w:kern w:val="0"/>
                <w:sz w:val="28"/>
                <w:szCs w:val="28"/>
                <w:lang w:val="en-US" w:eastAsia="zh-CN" w:bidi="ar"/>
              </w:rPr>
              <w:t>经费（商品和服务支出）（按政府预算经济分类）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13、一般公共预算基本支出表-</w:t>
            </w:r>
            <w:r>
              <w:rPr>
                <w:rFonts w:hint="eastAsia" w:ascii="仿宋_GB2312" w:hAnsi="Calibri" w:cs="仿宋_GB2312"/>
                <w:i w:val="0"/>
                <w:iCs w:val="0"/>
                <w:caps w:val="0"/>
                <w:color w:val="333333"/>
                <w:spacing w:val="0"/>
                <w:kern w:val="0"/>
                <w:sz w:val="28"/>
                <w:szCs w:val="28"/>
                <w:lang w:val="en-US" w:eastAsia="zh-CN" w:bidi="ar"/>
              </w:rPr>
              <w:t>公用</w:t>
            </w:r>
            <w:r>
              <w:rPr>
                <w:rFonts w:hint="eastAsia" w:ascii="仿宋_GB2312" w:hAnsi="Calibri" w:eastAsia="仿宋_GB2312" w:cs="仿宋_GB2312"/>
                <w:i w:val="0"/>
                <w:iCs w:val="0"/>
                <w:caps w:val="0"/>
                <w:color w:val="333333"/>
                <w:spacing w:val="0"/>
                <w:kern w:val="0"/>
                <w:sz w:val="28"/>
                <w:szCs w:val="28"/>
                <w:lang w:val="en-US" w:eastAsia="zh-CN" w:bidi="ar"/>
              </w:rPr>
              <w:t>经费（商品和服务支出）（按部门预算经济分类）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14、一般公共预算</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三公</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经费支出表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15、政府性基金预算支出表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16、政府性基金预算支出分类汇总表（按政府预算经济分类）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17、政府性基金预算支出分类汇总表（按部门预算经济分类）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18、国有资本经营预算支出表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19、财政专户管理资金预算支出表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20、专项资金预算汇总表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21、项目支出绩效目标表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22、整体支出绩效目标表</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微软雅黑" w:hAnsi="微软雅黑" w:eastAsia="微软雅黑" w:cs="微软雅黑"/>
                <w:i w:val="0"/>
                <w:iCs w:val="0"/>
                <w:caps w:val="0"/>
                <w:color w:val="333333"/>
                <w:spacing w:val="0"/>
                <w:sz w:val="28"/>
                <w:szCs w:val="28"/>
                <w:lang w:val="en-US" w:eastAsia="zh-CN"/>
              </w:rPr>
            </w:pPr>
            <w:r>
              <w:rPr>
                <w:rFonts w:hint="eastAsia" w:ascii="微软雅黑" w:hAnsi="微软雅黑" w:eastAsia="微软雅黑" w:cs="微软雅黑"/>
                <w:i w:val="0"/>
                <w:iCs w:val="0"/>
                <w:caps w:val="0"/>
                <w:color w:val="333333"/>
                <w:spacing w:val="0"/>
                <w:sz w:val="28"/>
                <w:szCs w:val="28"/>
                <w:lang w:val="en-US" w:eastAsia="zh-CN"/>
              </w:rPr>
              <w:t>23、一般公共预算基本支出表</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Chars="0" w:right="0" w:rightChars="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519" w:hRule="atLeast"/>
        </w:trPr>
        <w:tc>
          <w:tcPr>
            <w:tcW w:w="5000" w:type="pct"/>
            <w:vMerge w:val="continue"/>
            <w:tcBorders>
              <w:top w:val="nil"/>
              <w:left w:val="nil"/>
              <w:bottom w:val="nil"/>
              <w:right w:val="nil"/>
            </w:tcBorders>
            <w:shd w:val="clear" w:color="auto" w:fill="FFFFFF"/>
            <w:tcMar>
              <w:left w:w="108" w:type="dxa"/>
              <w:right w:w="108" w:type="dxa"/>
            </w:tcMar>
            <w:vAlign w:val="center"/>
          </w:tcPr>
          <w:p>
            <w:pPr>
              <w:jc w:val="left"/>
              <w:rPr>
                <w:rFonts w:hint="eastAsia" w:ascii="微软雅黑" w:hAnsi="微软雅黑" w:eastAsia="微软雅黑" w:cs="微软雅黑"/>
                <w:i w:val="0"/>
                <w:iCs w:val="0"/>
                <w:caps w:val="0"/>
                <w:color w:val="333333"/>
                <w:spacing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840"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textAlignment w:val="center"/>
              <w:rPr>
                <w:rFonts w:hint="default" w:ascii="Calibri" w:hAnsi="Calibri" w:cs="Calibri"/>
                <w:sz w:val="21"/>
                <w:szCs w:val="21"/>
              </w:rPr>
            </w:pPr>
            <w:r>
              <w:rPr>
                <w:rFonts w:hint="eastAsia" w:ascii="黑体" w:hAnsi="宋体" w:eastAsia="黑体" w:cs="黑体"/>
                <w:i w:val="0"/>
                <w:iCs w:val="0"/>
                <w:caps w:val="0"/>
                <w:color w:val="333333"/>
                <w:spacing w:val="0"/>
                <w:kern w:val="0"/>
                <w:sz w:val="36"/>
                <w:szCs w:val="36"/>
                <w:lang w:val="en-US" w:eastAsia="zh-CN" w:bidi="ar"/>
              </w:rPr>
              <w:t>第一部分</w:t>
            </w:r>
            <w:r>
              <w:rPr>
                <w:rFonts w:hint="eastAsia" w:ascii="宋体" w:hAnsi="宋体" w:eastAsia="宋体" w:cs="宋体"/>
                <w:i w:val="0"/>
                <w:iCs w:val="0"/>
                <w:caps w:val="0"/>
                <w:color w:val="333333"/>
                <w:spacing w:val="0"/>
                <w:kern w:val="0"/>
                <w:sz w:val="36"/>
                <w:szCs w:val="36"/>
                <w:lang w:val="en-US" w:eastAsia="zh-CN" w:bidi="ar"/>
              </w:rPr>
              <w:t>  </w:t>
            </w:r>
            <w:r>
              <w:rPr>
                <w:rFonts w:hint="eastAsia" w:ascii="黑体" w:hAnsi="宋体" w:eastAsia="黑体" w:cs="黑体"/>
                <w:i w:val="0"/>
                <w:iCs w:val="0"/>
                <w:caps w:val="0"/>
                <w:color w:val="333333"/>
                <w:spacing w:val="0"/>
                <w:kern w:val="0"/>
                <w:sz w:val="36"/>
                <w:szCs w:val="36"/>
                <w:lang w:val="en-US" w:eastAsia="zh-CN" w:bidi="ar"/>
              </w:rPr>
              <w:t>2022年部门预算说明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375"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一、部门基本概况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（一）职能职责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一)贯彻执行国家国内外贸易、国际经济合作和区域经济合作的发展战略、政策，起草我市国内外贸易、招商引资、承接产业转移、对外援助、对外投资和对外经济合作的规范性文件草案、政策措施和实施办法，研究经济全球化、区域经济合作、现代流通方式的发展趋势和流通体制改革并提出建议，研究提出全市粮食宏观调控、总量平衡以及粮食流通的中长期规划和收储、动用市级储备粮的建议，拟订粮食流通体制改革方案并组织实施，推动国有粮食企业改革，研究提出现代粮食流通产业发展战略的建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二)负责推进流通产业结构调整，指导流通企业改革，促进商贸服务业和社区商业发展，提出促进商贸中小企业发展的政策建议，推动流通标准化和连锁经营、商业特许经营、物流配送、电子商务等现代流通方式的发展；拟订全市粮食流通管理办法，贯彻执行国家、省有关粮食流通管理的方针、政策和法律法规，按照国家有关政策和省、市政府统一部署，制定粮食流通、粮食库存监督检查制度并组织实施，负责对粮食收购、储存环节的粮食质量安全和原粮卫生进行监督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三)拟订全市国内贸易发展规划，促进城乡市场发展，研究提出引导国内外资金投向市场体系建设的政策建议，指导大宗产品批发市场规划和城市商业网点规划、商业体系建设工作，推进农村市场体系建设，组织实施农村现代流通网络工程；会同有关部门拟订全市粮食市场体系建设与发展规划并组织实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四)承担牵头协调整顿和规范市场经济秩序工作的责任，拟订规范市场秩序的政策；推动商贸领域信用建设，指导商业信用销售，配合省商务厅开展市场诚信公共服务平台建设工作；按有关规定对特殊流通行业进行监督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五)承担组织实施重要消费品市场调控和重要生产资料流通管理的责任，负责建立健全生活必需品市场供应应急管理机制，监测分析市场运行、商品供求状况，调查分析商品价格信息，进行预测预警和信息引导；按分工负责重要消费品储备管理和市场调控工作；按有关规定对成品油流通进行监督管理；承担粮食监测预警和应急责任，负责全市粮食流通宏观调控工作，指导协调最低收购价等政策性粮食购销和粮食产销合作，保障军队粮食供应；编制粮食流通、仓储、加工设施建设规划，管理有关粮食流通设施投资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 (六)贯彻执行国家进出口商品、加工贸易管理办法和进出口管理商品、技术目录，拟订促进外贸增长方式转变的政策措施，指导贸易促进活动和外贸促进体系建设；贯彻执行国家对外技术贸易、出口管制以及鼓励技术和成套设备进出口的贸易政策，推进进出口贸易标准化工；承担会展业促进与管理有关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(七)执行有关服务贸易发展规划并开展相关工作；组织实施促进服务出口、服务外包的政策措施，推动服务外包平台建设。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(八)贯彻执行我国多双边（含区域、自由贸易区）经贸合作战略和政策，推进我市与其他国家地区的经贸往来与投资贸易合作；负责全市商贸领域涉及世界贸易组织事务的协调工作。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(九)负责组织协调反倾销、反补贴、保障措施及其他与进出口公平贸易相关的工作，协助开展对外贸易调查和产业损害调查，指导协调产业安全应对工作。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十)指导全市招商引资和承接产业转移工作，拟订并组织实施招商引资和承接产业转移政策；依法监督外商投资企业执行有关法律法规规章、合同章程的情况并协调解决有关问题；规范招商引资活动；指导国家级、省级经济技术开发区的有关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(十一)拟订并组织实施对外经济合作政策；依法管理和监督对外劳务合作等工作；组织实施市内人员出境就业管理政策，负责牵头外派劳务和境外就业人员的权益保护工作，拟订境外投资的管理办法和具体政策。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(十二)贯彻执行国家对外援助政策和方案，协调管理全市承担的对外援助项目；协调管理多双边对我市的无偿援助和赠款(不含财政合作项目外国政府及国际金融组织的赠款)等发展合作业务。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十三)负责粮食流通的行业管理，制定并组织实施全市粮食产业发展规划，优化粮食资源配置和产业布局；提出粮食收购市场准入标准建议，指导县市区粮食行政管理部门对从事粮食收购的企业实行备案管理。指导粮食流通的科技进步、技术改造和新技术推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十四)承担市级储备粮行政管理责任，会同有关部门研究提出市级储备粮的规模、总体布局、购销计划以及提出动用市、县级储备粮的建议，会同有关部门审批市级储备粮轮换计划并监督实施，监督检查全市范围内储备粮的数量、质量和储存安全，制定本市储备粮管理的技术规范并监督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(十五)贯彻执行国家对香港、澳门特别行政区和台湾地区的经贸规划、政策，指导我市对港、澳、台地区贸易和经贸合作活动，协调港、澳、台商投资管理工作。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(十六)承担全市商务粮食系统统计及其信息发布工作，提供信息咨询服务，指导全市流通领域信息网络和电子商务建设，指导全市商务粮食系统财务和内部审计工作。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 (十七)负责市直所属企业事业单位的管理。按有关规定监督直属单位的国有资产，确保国有资产提质增值，依法依规完成直属企业改革改工作。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（十八）组织实施重要物资收储、轮换和管理，管理粮食、棉花和食糖等储备职责；组织实施重要物资和应急储备物资收储、轮换和日常管理职责。（该项职能除粮油和猪肉储备外市直有关部门暂未移交我局）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(十九)承办市委、市人民政府交办的其他事项。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（二十）流通领域行政执法职能随机构改革全部划入市市场监督管理局。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（二）机构设置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56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根据编委核定，我局所属事业单位2个，分别是独立核算的市投资促进事务中心和非独立核算的军粮供应管理中心。核定行政编制73名，财政全额事业编制33名，工勤编制2名。其中市投资促进事务中心财政全额拨款事业编制14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机关内设科室24个，分别是办公室、人事科、财务科、市场秩序科、电子商务科、投资管理科、服务贸易和商贸流通科、法规和信访科、成品油管理科、市场运行和消费促进科、粮食产业发展科、加工贸易科、对外投资和经济合作科、市场体系建设科、对外贸易科、粮食调控与储备科、行政审批科、物资储备科、监督检查和安全科（安全生产监督管理科）、自贸区综合协调科，机关党委、机关纪委、离退休人员管理服务科、岳阳市商务粮食工会；市投资促进事务中心内设三个科室，分别为综合科、联络交流科、投资服务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二、部门预算单位构成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本部门预算为汇总预算，纳入编制范围的预算单位包括：</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1、岳阳市商务粮食局本级</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2、独立核算的投资促进事务中心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3、非独立核算事业单位军粮供应管理中心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三、部门收支总体情况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（一）收入预算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250"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    包括一般公共预算、政府性基金、国有资本经营预算等财政拨款收入，以及经营收入、事业收入等单位资金。2022年本部门收入预算2399.67万元，其中，一般公共预算拨款2399.67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28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收入较去年增加1110.03万元，主要是因为2022年增加了工会经费补助、伙食补助、物业服务补贴、预安排综合绩效奖和平安岳阳建设奖等专项资金预算。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2"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320"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rPr>
            </w:pPr>
            <w:r>
              <w:rPr>
                <w:rFonts w:hint="eastAsia"/>
                <w:lang w:val="en-US" w:eastAsia="zh-CN"/>
              </w:rPr>
              <w:t>      2022年本部门支出预算2399.67万元，其中，一般公共服务支出2136.08万元，占比89.02%，社会保障和就业支出109.83万元，占比4.58%，卫生健康支出71.39万元，占比2.97%，住房保障支出82.37万元，占比3.43%。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560"/>
              <w:jc w:val="left"/>
              <w:textAlignment w:val="center"/>
              <w:rPr>
                <w:rFonts w:hint="eastAsia"/>
                <w:lang w:val="en-US" w:eastAsia="zh-CN"/>
              </w:rPr>
            </w:pPr>
            <w:r>
              <w:rPr>
                <w:rFonts w:hint="eastAsia"/>
                <w:lang w:val="en-US" w:eastAsia="zh-CN"/>
              </w:rPr>
              <w:t>支出较去年增加1110.03万元，其中基本支出增加42.09万元，主要是因为2022年提高了其他交通费用的预算标准，增加了公用支出;项目支出增加1067.94万元,主要是因为2022年增加了工会经费补助、伙食补助、物业服务补贴、预安排综合绩效奖和平安岳阳建设奖等专项资金预算。</w:t>
            </w:r>
          </w:p>
          <w:p>
            <w:pPr>
              <w:pStyle w:val="2"/>
              <w:rPr>
                <w:rFonts w:hint="default"/>
                <w:lang w:val="en-US" w:eastAsia="zh-CN"/>
              </w:rPr>
            </w:pPr>
            <w:r>
              <w:rPr>
                <w:rFonts w:hint="default"/>
                <w:lang w:val="en-US" w:eastAsia="zh-CN"/>
              </w:rPr>
              <w:t xml:space="preserve"> </w:t>
            </w:r>
            <w:r>
              <w:rPr>
                <w:rFonts w:hint="eastAsia"/>
                <w:lang w:val="en-US" w:eastAsia="zh-CN"/>
              </w:rPr>
              <w:t xml:space="preserve">  </w:t>
            </w:r>
            <w:r>
              <w:rPr>
                <w:rFonts w:hint="default"/>
                <w:lang w:val="en-US" w:eastAsia="zh-CN"/>
              </w:rPr>
              <w:t>2022年预算公开文档第三大点（对应表3）、第四大点（对应表7）中的金额和百分比，由于预算编制时金额明细到了“分”，而公开表格显示和公开文档取数只到“百元”，可能导致0.01的尾数差异。</w:t>
            </w:r>
          </w:p>
          <w:p>
            <w:pPr>
              <w:pStyle w:val="2"/>
              <w:rPr>
                <w:rFonts w:hint="default"/>
                <w:lang w:val="en-US" w:eastAsia="zh-CN"/>
              </w:rPr>
            </w:pPr>
          </w:p>
          <w:p>
            <w:pPr>
              <w:pStyle w:val="2"/>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四、一般公共预算拨款支出预算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125"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    2022年本部门一般公共预算拨款支出预算2399.67万元，其中，一般公共服务支出2136.08万元，占比89.02%，社会保障和就业支出109.83万元，占比4.58%，卫生健康支出71.39万元，占比2.97%，住房保障支出82.37万元，占比3.43%。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125"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    （一）基本支出：2022年基本支出年初预算数为1331.73万元（数据来源见表7），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750"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    （二）项目支出：2022年项目支出年初预算数为1067.94万元，是指单位为完成特定行政工作任务或事业发展目标而发生的支出，包括有关业务工作经费、运行维护经费等。其中：按项目管理的工会经费补助支出104.7万元，主要用于单位工会活动经费补助等方面；按项目管理的伙食补助支出139.6万元，主要用于中餐食堂伙食补助；按项目管理的物业服务补贴支出125.64万元，主要用于物业补贴；按项目管理的综合绩效奖及平安岳阳建设奖支出698万元，主要用于预计安排综合绩效奖及平安岳阳建设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五、政府性基金预算支出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    2022年度本部门无政府性基金安排的支出，所以公开的附件15-17（政府性基金预算）为空。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六、其他重要事项的情况说明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85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    2022年本部门岳阳市商务粮食局机关本级、市投资促进事务中心、市军粮供应管理中心共3家行政事业单位的机关运行经费257.18万元，比上一年增加51.46万元，增加25.01%。主要原因是因为2022年提高了其他交通费用的预算标准，增加了公用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（二）</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三公</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500"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    2022年本部门岳阳市商务粮食局机关本级、市投资促进事务中心、市军粮供应管理中心共3家行政事业单位的</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三公</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经费预算数127.97万元，其中，公务接待费75.52万元，因公出国（境）费23.58万元，公务用车购置及运行费28.87万元（其中，公务用车购置费0万元，公务用车运行费28.87万元）。2022年三公经费预算较上年减少13.88万元，降低9.78%，主要原因是厉行节约，进一步压缩三公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75"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875"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    2022年本部门会议费预算7.5万元，拟召开5次会议，人数260人，内容为全市商务粮食和开放型经济工作会议，商务粮食工作讲评会，中国（湖南）自由贸易试验区岳阳片区工作领导小组会议、招商引资工作部署会议等；培训费预算6.1万元，拟开展6次培训，人数290人，内容为外贸实务培训、智能粮食管理系统业务培训、开放型经济发展培训会、招商引资业务培训等。2022年度本部门未计划举办节庆、晚会、论坛、赛事活动。 </w:t>
            </w:r>
            <w:r>
              <w:rPr>
                <w:rFonts w:hint="default" w:ascii="Calibri" w:hAnsi="Calibri" w:eastAsia="仿宋_GB2312" w:cs="Calibri"/>
                <w:i w:val="0"/>
                <w:iCs w:val="0"/>
                <w:caps w:val="0"/>
                <w:color w:val="333333"/>
                <w:spacing w:val="0"/>
                <w:kern w:val="0"/>
                <w:sz w:val="28"/>
                <w:szCs w:val="2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50"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2022年本部门政府采购预算总额348万元，其中工程类100万元，货物类28万元，服务类220万元。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25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截至上年底，本部门共有车辆3辆，均为一般公务用车。单位价值50万元以上通用设备0台，单位价值100万元以上专用设备0台。</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    2022年拟报废处置公务用车0辆，拟新增配置车辆0辆，其中领导干部用车0辆，一般公务用车0辆，其他用车0辆。</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    2022年拟新增配备领导干部用车0辆，一般公务用车0辆，其他用车0辆，新增配备单位价值50万元以上通用设备0台，单位价值100万元以上专用设备0台。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2022年度本部门未计划处置或新增车辆、设备等。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125"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    本部门所有支出实行绩效目标管理。纳入2022年部门整体支出绩效目标的金额为2399.67万元，其中，基本支出1331.73万元，项目支出1067.94万元，详见文尾附表中部门预算公开表格的表21-22。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9"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七、名词解释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0"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    2、</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三公</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经费：纳入财政预算管理的</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三公</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900"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textAlignment w:val="center"/>
              <w:rPr>
                <w:rFonts w:hint="default" w:ascii="Calibri" w:hAnsi="Calibri" w:cs="Calibri"/>
                <w:sz w:val="21"/>
                <w:szCs w:val="21"/>
              </w:rPr>
            </w:pPr>
            <w:r>
              <w:rPr>
                <w:rFonts w:hint="eastAsia" w:ascii="黑体" w:hAnsi="宋体" w:eastAsia="黑体" w:cs="黑体"/>
                <w:i w:val="0"/>
                <w:iCs w:val="0"/>
                <w:caps w:val="0"/>
                <w:color w:val="333333"/>
                <w:spacing w:val="0"/>
                <w:kern w:val="0"/>
                <w:sz w:val="36"/>
                <w:szCs w:val="36"/>
                <w:lang w:val="en-US" w:eastAsia="zh-CN" w:bidi="ar"/>
              </w:rPr>
              <w:t>第二部分</w:t>
            </w:r>
            <w:r>
              <w:rPr>
                <w:rFonts w:hint="eastAsia" w:ascii="宋体" w:hAnsi="宋体" w:eastAsia="宋体" w:cs="宋体"/>
                <w:i w:val="0"/>
                <w:iCs w:val="0"/>
                <w:caps w:val="0"/>
                <w:color w:val="333333"/>
                <w:spacing w:val="0"/>
                <w:kern w:val="0"/>
                <w:sz w:val="36"/>
                <w:szCs w:val="36"/>
                <w:lang w:val="en-US" w:eastAsia="zh-CN" w:bidi="ar"/>
              </w:rPr>
              <w:t>  </w:t>
            </w:r>
            <w:r>
              <w:rPr>
                <w:rFonts w:hint="eastAsia" w:ascii="黑体" w:hAnsi="宋体" w:eastAsia="黑体" w:cs="黑体"/>
                <w:i w:val="0"/>
                <w:iCs w:val="0"/>
                <w:caps w:val="0"/>
                <w:color w:val="333333"/>
                <w:spacing w:val="0"/>
                <w:kern w:val="0"/>
                <w:sz w:val="36"/>
                <w:szCs w:val="36"/>
                <w:lang w:val="en-US" w:eastAsia="zh-CN" w:bidi="ar"/>
              </w:rPr>
              <w:t>2022年部门预算公开表格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500" w:hRule="atLeast"/>
        </w:trPr>
        <w:tc>
          <w:tcPr>
            <w:tcW w:w="5000" w:type="pct"/>
            <w:tcBorders>
              <w:top w:val="nil"/>
              <w:left w:val="nil"/>
              <w:bottom w:val="nil"/>
              <w:right w:val="nil"/>
            </w:tcBorders>
            <w:shd w:val="clear" w:color="auto" w:fill="FFFFFF"/>
            <w:tcMar>
              <w:left w:w="108" w:type="dxa"/>
              <w:right w:w="108" w:type="dxa"/>
            </w:tcMar>
            <w:vAlign w:val="center"/>
          </w:tcPr>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textAlignment w:val="center"/>
              <w:rPr>
                <w:rFonts w:hint="eastAsia" w:ascii="仿宋_GB2312" w:hAnsi="Calibri" w:eastAsia="仿宋_GB2312" w:cs="仿宋_GB2312"/>
                <w:i w:val="0"/>
                <w:iCs w:val="0"/>
                <w:caps w:val="0"/>
                <w:color w:val="333333"/>
                <w:spacing w:val="0"/>
                <w:kern w:val="0"/>
                <w:sz w:val="28"/>
                <w:szCs w:val="28"/>
                <w:lang w:val="en-US" w:eastAsia="zh-CN" w:bidi="ar"/>
              </w:rPr>
            </w:pPr>
            <w:r>
              <w:rPr>
                <w:rFonts w:hint="eastAsia" w:ascii="仿宋_GB2312" w:hAnsi="Calibri" w:eastAsia="仿宋_GB2312" w:cs="仿宋_GB2312"/>
                <w:i w:val="0"/>
                <w:iCs w:val="0"/>
                <w:caps w:val="0"/>
                <w:color w:val="333333"/>
                <w:spacing w:val="0"/>
                <w:kern w:val="0"/>
                <w:sz w:val="28"/>
                <w:szCs w:val="28"/>
                <w:lang w:val="en-US" w:eastAsia="zh-CN" w:bidi="ar"/>
              </w:rPr>
              <w:t>收支总表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2、收入总表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3、支出总表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4、支出预算分类汇总表（按政府预算经济分类）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5、支出预算分类汇总表（按部门预算经济分类）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6、财政拨款收支总表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7、一般公共预算支出表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8、一般公共预算基本支出表-人员经费（工资福利支出）（按政府预算经济分类）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9、一般公共预算基本支出表-人员经费（工资福利支出）（按部门预算经济分类）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10、一般公共预算基本支出表-人员经费（对个人和家庭的补助）（按政府预算经济分类）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11、一般公共预算基本支出表-人员经费（对个人和家庭的补助）（按部门预算经济分类）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12、一般公共预算基本支出表-</w:t>
            </w:r>
            <w:r>
              <w:rPr>
                <w:rFonts w:hint="eastAsia" w:ascii="仿宋_GB2312" w:hAnsi="Calibri" w:cs="仿宋_GB2312"/>
                <w:i w:val="0"/>
                <w:iCs w:val="0"/>
                <w:caps w:val="0"/>
                <w:color w:val="333333"/>
                <w:spacing w:val="0"/>
                <w:kern w:val="0"/>
                <w:sz w:val="28"/>
                <w:szCs w:val="28"/>
                <w:lang w:val="en-US" w:eastAsia="zh-CN" w:bidi="ar"/>
              </w:rPr>
              <w:t>公用</w:t>
            </w:r>
            <w:r>
              <w:rPr>
                <w:rFonts w:hint="eastAsia" w:ascii="仿宋_GB2312" w:hAnsi="Calibri" w:eastAsia="仿宋_GB2312" w:cs="仿宋_GB2312"/>
                <w:i w:val="0"/>
                <w:iCs w:val="0"/>
                <w:caps w:val="0"/>
                <w:color w:val="333333"/>
                <w:spacing w:val="0"/>
                <w:kern w:val="0"/>
                <w:sz w:val="28"/>
                <w:szCs w:val="28"/>
                <w:lang w:val="en-US" w:eastAsia="zh-CN" w:bidi="ar"/>
              </w:rPr>
              <w:t>经费（商品和服务支出）（按政府预算经济分类）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13、一般公共预算基本支出表-</w:t>
            </w:r>
            <w:r>
              <w:rPr>
                <w:rFonts w:hint="eastAsia" w:ascii="仿宋_GB2312" w:hAnsi="Calibri" w:cs="仿宋_GB2312"/>
                <w:i w:val="0"/>
                <w:iCs w:val="0"/>
                <w:caps w:val="0"/>
                <w:color w:val="333333"/>
                <w:spacing w:val="0"/>
                <w:kern w:val="0"/>
                <w:sz w:val="28"/>
                <w:szCs w:val="28"/>
                <w:lang w:val="en-US" w:eastAsia="zh-CN" w:bidi="ar"/>
              </w:rPr>
              <w:t>公用</w:t>
            </w:r>
            <w:bookmarkStart w:id="0" w:name="_GoBack"/>
            <w:bookmarkEnd w:id="0"/>
            <w:r>
              <w:rPr>
                <w:rFonts w:hint="eastAsia" w:ascii="仿宋_GB2312" w:hAnsi="Calibri" w:eastAsia="仿宋_GB2312" w:cs="仿宋_GB2312"/>
                <w:i w:val="0"/>
                <w:iCs w:val="0"/>
                <w:caps w:val="0"/>
                <w:color w:val="333333"/>
                <w:spacing w:val="0"/>
                <w:kern w:val="0"/>
                <w:sz w:val="28"/>
                <w:szCs w:val="28"/>
                <w:lang w:val="en-US" w:eastAsia="zh-CN" w:bidi="ar"/>
              </w:rPr>
              <w:t>经费（商品和服务支出）（按部门预算经济分类）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14、一般公共预算</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三公</w:t>
            </w:r>
            <w:r>
              <w:rPr>
                <w:rFonts w:hint="default" w:ascii="Calibri" w:hAnsi="Calibri" w:eastAsia="仿宋_GB2312" w:cs="Calibri"/>
                <w:i w:val="0"/>
                <w:iCs w:val="0"/>
                <w:caps w:val="0"/>
                <w:color w:val="333333"/>
                <w:spacing w:val="0"/>
                <w:kern w:val="0"/>
                <w:sz w:val="28"/>
                <w:szCs w:val="28"/>
                <w:lang w:val="en-US" w:eastAsia="zh-CN" w:bidi="ar"/>
              </w:rPr>
              <w:t>”</w:t>
            </w:r>
            <w:r>
              <w:rPr>
                <w:rFonts w:hint="eastAsia" w:ascii="仿宋_GB2312" w:hAnsi="Calibri" w:eastAsia="仿宋_GB2312" w:cs="仿宋_GB2312"/>
                <w:i w:val="0"/>
                <w:iCs w:val="0"/>
                <w:caps w:val="0"/>
                <w:color w:val="333333"/>
                <w:spacing w:val="0"/>
                <w:kern w:val="0"/>
                <w:sz w:val="28"/>
                <w:szCs w:val="28"/>
                <w:lang w:val="en-US" w:eastAsia="zh-CN" w:bidi="ar"/>
              </w:rPr>
              <w:t>经费支出表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15、政府性基金预算支出表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16、政府性基金预算支出分类汇总表（按政府预算经济分类）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17、政府性基金预算支出分类汇总表（按部门预算经济分类）</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18、国有资本经营预算支出表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19、财政专户管理资金预算支出表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20、专项资金预算汇总表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21、项目支出绩效目标表</w:t>
            </w: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22、整体支出绩效目标表</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微软雅黑" w:hAnsi="微软雅黑" w:eastAsia="微软雅黑" w:cs="微软雅黑"/>
                <w:i w:val="0"/>
                <w:iCs w:val="0"/>
                <w:caps w:val="0"/>
                <w:color w:val="333333"/>
                <w:spacing w:val="0"/>
                <w:sz w:val="28"/>
                <w:szCs w:val="28"/>
                <w:lang w:val="en-US" w:eastAsia="zh-CN"/>
              </w:rPr>
            </w:pPr>
            <w:r>
              <w:rPr>
                <w:rFonts w:hint="eastAsia" w:ascii="微软雅黑" w:hAnsi="微软雅黑" w:eastAsia="微软雅黑" w:cs="微软雅黑"/>
                <w:i w:val="0"/>
                <w:iCs w:val="0"/>
                <w:caps w:val="0"/>
                <w:color w:val="333333"/>
                <w:spacing w:val="0"/>
                <w:sz w:val="28"/>
                <w:szCs w:val="28"/>
                <w:lang w:val="en-US" w:eastAsia="zh-CN"/>
              </w:rPr>
              <w:t>23、一般公共预算基本支出表</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Chars="0" w:right="0" w:rightChars="0"/>
              <w:jc w:val="left"/>
              <w:textAlignment w:val="center"/>
              <w:rPr>
                <w:rFonts w:hint="default" w:ascii="Calibri" w:hAnsi="Calibri" w:cs="Calibri"/>
                <w:sz w:val="21"/>
                <w:szCs w:val="21"/>
              </w:rPr>
            </w:pPr>
            <w:r>
              <w:rPr>
                <w:rFonts w:hint="eastAsia" w:ascii="仿宋_GB2312" w:hAnsi="Calibri" w:eastAsia="仿宋_GB2312" w:cs="仿宋_GB2312"/>
                <w:i w:val="0"/>
                <w:iCs w:val="0"/>
                <w:caps w:val="0"/>
                <w:color w:val="333333"/>
                <w:spacing w:val="0"/>
                <w:kern w:val="0"/>
                <w:sz w:val="28"/>
                <w:szCs w:val="28"/>
                <w:lang w:val="en-US" w:eastAsia="zh-CN" w:bidi="ar"/>
              </w:rPr>
              <w:br w:type="textWrapping"/>
            </w:r>
            <w:r>
              <w:rPr>
                <w:rFonts w:hint="eastAsia" w:ascii="仿宋_GB2312" w:hAnsi="Calibri" w:eastAsia="仿宋_GB2312" w:cs="仿宋_GB2312"/>
                <w:i w:val="0"/>
                <w:iCs w:val="0"/>
                <w:caps w:val="0"/>
                <w:color w:val="333333"/>
                <w:spacing w:val="0"/>
                <w:kern w:val="0"/>
                <w:sz w:val="28"/>
                <w:szCs w:val="28"/>
                <w:lang w:val="en-US" w:eastAsia="zh-CN" w:bidi="ar"/>
              </w:rPr>
              <w:t>注：以上单位预算公开报表中，空表表示本单位无相关收支情况。</w:t>
            </w:r>
          </w:p>
        </w:tc>
      </w:tr>
    </w:tbl>
    <w:p>
      <w:pPr>
        <w:jc w:val="center"/>
        <w:rPr>
          <w:rFonts w:hint="eastAsia"/>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F46770"/>
    <w:multiLevelType w:val="singleLevel"/>
    <w:tmpl w:val="E3F46770"/>
    <w:lvl w:ilvl="0" w:tentative="0">
      <w:start w:val="1"/>
      <w:numFmt w:val="decimal"/>
      <w:suff w:val="nothing"/>
      <w:lvlText w:val="%1、"/>
      <w:lvlJc w:val="left"/>
    </w:lvl>
  </w:abstractNum>
  <w:abstractNum w:abstractNumId="1">
    <w:nsid w:val="4C9CB7D7"/>
    <w:multiLevelType w:val="singleLevel"/>
    <w:tmpl w:val="4C9CB7D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yMGFmMTJjZDc5MTY3YTY1N2I2YTE3ZGU3YTY2NDUifQ=="/>
  </w:docVars>
  <w:rsids>
    <w:rsidRoot w:val="4FCF6CB8"/>
    <w:rsid w:val="060F4036"/>
    <w:rsid w:val="0D760863"/>
    <w:rsid w:val="0EA749BB"/>
    <w:rsid w:val="312E36D8"/>
    <w:rsid w:val="3B51265F"/>
    <w:rsid w:val="4E542F0D"/>
    <w:rsid w:val="4FCF6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6">
    <w:name w:val="heading 3"/>
    <w:basedOn w:val="1"/>
    <w:next w:val="1"/>
    <w:link w:val="10"/>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Cs w:val="24"/>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Autospacing="1" w:afterAutospacing="1"/>
      <w:jc w:val="left"/>
    </w:pPr>
    <w:rPr>
      <w:kern w:val="0"/>
      <w:sz w:val="24"/>
      <w:szCs w:val="24"/>
    </w:rPr>
  </w:style>
  <w:style w:type="character" w:customStyle="1" w:styleId="10">
    <w:name w:val="标题 3 Char"/>
    <w:link w:val="6"/>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5737</Words>
  <Characters>6083</Characters>
  <Lines>0</Lines>
  <Paragraphs>0</Paragraphs>
  <TotalTime>0</TotalTime>
  <ScaleCrop>false</ScaleCrop>
  <LinksUpToDate>false</LinksUpToDate>
  <CharactersWithSpaces>6151</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2023-09-21T11:08:00Z</dcterms:created>
  <dc:creator>German Phillip</dc:creator>
  <cp:lastModifiedBy>周琳</cp:lastModifiedBy>
  <dcterms:modified xsi:type="dcterms:W3CDTF">2023-09-22T08:15:33Z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5135F5D2016B4627AC09313D9F3C4B44_11</vt:lpwstr>
  </property>
</Properties>
</file>