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岳阳市投资促进事务中心2022年度单位预算</w:t>
            </w:r>
          </w:p>
        </w:tc>
      </w:tr>
      <w:tr>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微软雅黑" w:hAnsi="微软雅黑" w:eastAsia="微软雅黑" w:cs="微软雅黑"/>
                <w:i w:val="0"/>
                <w:iCs w:val="0"/>
                <w:caps w:val="0"/>
                <w:color w:val="333333"/>
                <w:spacing w:val="0"/>
                <w:sz w:val="28"/>
                <w:szCs w:val="28"/>
                <w:lang w:val="en-US" w:eastAsia="zh-CN"/>
              </w:rPr>
              <w:t>23、一般公共预算基本支出表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岳阳市投资促进事务中心是根据市委、市政府《关于印发&lt;岳阳市人民政府职能转变和机构改革方案的实施意见&gt;的通知》（岳发[2015]2号）精神设立的公益一类事业单位，是岳阳市商务粮食局下属的二级机构。其职能为执行国家、省、市招商引资有关政策，负责投资促进活动的组织工作；承担招商引资的具体工作，受理投资企业的咨询、信息和投诉等服务，加强与投资促进机构、商（协）会等的联系，负责各县市区招商引资的组织、协调、监督、统计工作；承办上级交办的其他事项。</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根据编委核定，市投资促进事务中心人员构成为财政全额拨款事业编制14名。内设三个科室，分别为综合科、联络交流科、投资服务科。</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168.02万元，其中，一般公共预算拨款168.02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收入较去年增加37.15万元，主要是因为2022年预算增加了其他项目资金39.78万元。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rPr>
          <w:trHeight w:val="11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2022年本单位支出预算168.02万元，其中，一般公共服务支出138.82万元，占比82.63%，社会保障和就业支出12.9万元，占比7.68%，卫生健康支出6.61万元，占比3.93%，住房保障支出9.68万元，占比5.76%。支出较去年增加37.15万元，其中基本支出减少2.63万元，项目支出增加39.78万元。其中基本支出较上年减少主要是因为员工进出变动引起的工资数减少，项目支出增加主要是因为今年预算口径中增加了工会经费补助、伙食补助、物业服务补贴、预计绩效奖及平安奖等项目。</w:t>
            </w:r>
          </w:p>
          <w:p>
            <w:pPr>
              <w:widowControl/>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 xml:space="preserve"> 2022年预算公开文档第三大点（对应表3）、第四大点（对应表7）中的金额和百分比，由于预算编制时金额明细到了“分”，而公开表格显示和公开文档取数只到“百元”，可能导致0.01的尾数差异。</w:t>
            </w:r>
          </w:p>
          <w:p>
            <w:pPr>
              <w:pStyle w:val="2"/>
              <w:ind w:firstLine="420"/>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168.02万元，其中，一般公共服务支出138.82万元，占比82.63%，社会保障和就业支出12.9万元，占比7.68%，卫生健康支出6.61万元，占比3.93%，住房保障支出9.68万元，占比5.76%。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128.24万元（数据来源见表7），是指为保障单位机构正常运转、完成日常工作任务而发生的各项支出，包括用于基本工资、津贴补贴等人员经费以及办公费、印刷费、水电费、差旅费等日常公用经费。</w:t>
            </w:r>
          </w:p>
        </w:tc>
      </w:tr>
      <w:tr>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39.78万元，是指单位为完成特定行政工作任务或事业发展目标而发生的支出，包括工会经费补助及物业服务补贴等。其中：工会经费补助3.9万元，主要用于单位工会活动经费补助；伙食补助费5.2万元，主要用于员工的中餐食堂伙食补助；物业服务补贴4.68万元，主要用于员工的物业补贴；综合绩效奖和平安建设奖26万元，预计安排综合绩效奖及平安岳阳建设奖。</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本单位2022年机关运行经费当年一般公共预算拨款17.06万元，比上一年减少0.15万元，减少0.9%。主要原因是今年人员变动引起工资减少从而计提的福利费及工会经费减少。</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66万元，其中，公务接待费50万元，因公出国（境）费9万元，公务用车购置及运行费7万元，其中公务用车购置费0万元，公务用车运行费7万元。比上一年减少3万元，降低4.3%，主要原因是拟进一步缩减公务接待开支等。</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w:t>
            </w:r>
            <w:r>
              <w:rPr>
                <w:rFonts w:hint="eastAsia" w:ascii="仿宋_GB2312" w:hAnsi="宋体" w:eastAsia="仿宋_GB2312" w:cs="宋体"/>
                <w:kern w:val="0"/>
                <w:sz w:val="28"/>
                <w:szCs w:val="28"/>
                <w:lang w:val="en-US" w:eastAsia="zh-CN"/>
              </w:rPr>
              <w:t>2</w:t>
            </w:r>
            <w:r>
              <w:rPr>
                <w:rFonts w:hint="eastAsia" w:ascii="仿宋_GB2312" w:hAnsi="宋体" w:eastAsia="仿宋_GB2312" w:cs="宋体"/>
                <w:kern w:val="0"/>
                <w:sz w:val="28"/>
                <w:szCs w:val="28"/>
              </w:rPr>
              <w:t>年会议费预算0.50万元，拟召开2次会议，人数20人，内容为招商引资工作部署会议；培训费预算0.50万元，拟开展3次培训，人数30人，内容为招商引资业务培训。</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w:t>
            </w:r>
            <w:r>
              <w:rPr>
                <w:rFonts w:hint="eastAsia" w:ascii="仿宋_GB2312" w:hAnsi="宋体" w:eastAsia="仿宋_GB2312" w:cs="宋体"/>
                <w:kern w:val="0"/>
                <w:sz w:val="28"/>
                <w:szCs w:val="28"/>
                <w:lang w:val="en-US" w:eastAsia="zh-CN"/>
              </w:rPr>
              <w:t>2</w:t>
            </w:r>
            <w:r>
              <w:rPr>
                <w:rFonts w:hint="eastAsia" w:ascii="仿宋_GB2312" w:hAnsi="宋体" w:eastAsia="仿宋_GB2312" w:cs="宋体"/>
                <w:kern w:val="0"/>
                <w:sz w:val="28"/>
                <w:szCs w:val="28"/>
              </w:rPr>
              <w:t>年度本单位未计划举办节庆、晚会、论坛、赛事活动。</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128万元，其中工程类100万元，服务类20万元。货物类8万元，分别为政府委托的招商经贸活动2-3个预算100万元，印制招商书本及其他服务预算20万元，购置固定资产及办公用品预算8万元。</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截至上一年12月底，本单位共有车辆1辆，为招商引资专用车辆。单位价值50万元以上通用设备0台，单位价值100万元以上专用设备0台。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2022年拟新增配备领导干部用车0辆，一般公务用车0辆，其他用车0辆，新增配备单位价值50万元以上通用设备0台，单位价值100万元以上专用设备0台。2022年度本单位未计划处置或新增车辆、大型设备等。</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本单位所有支出实行绩效目标管理。纳入2022年部门整体支出绩效目标的金额为168.02万元，其中，基本支出128.24万元，项目支出39.78万元，详见文尾附表中单位预算公开表格的表21-22。</w:t>
            </w:r>
          </w:p>
        </w:tc>
      </w:tr>
      <w:tr>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微软雅黑" w:hAnsi="微软雅黑" w:eastAsia="微软雅黑" w:cs="微软雅黑"/>
                <w:i w:val="0"/>
                <w:iCs w:val="0"/>
                <w:caps w:val="0"/>
                <w:color w:val="333333"/>
                <w:spacing w:val="0"/>
                <w:sz w:val="28"/>
                <w:szCs w:val="28"/>
                <w:lang w:val="en-US" w:eastAsia="zh-CN"/>
              </w:rPr>
              <w:t>23、一般公共预算基本支出表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roman"/>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D52817"/>
    <w:multiLevelType w:val="singleLevel"/>
    <w:tmpl w:val="DCD52817"/>
    <w:lvl w:ilvl="0" w:tentative="0">
      <w:start w:val="1"/>
      <w:numFmt w:val="decimal"/>
      <w:suff w:val="nothing"/>
      <w:lvlText w:val="%1、"/>
      <w:lvlJc w:val="left"/>
    </w:lvl>
  </w:abstractNum>
  <w:abstractNum w:abstractNumId="1">
    <w:nsid w:val="13C970E9"/>
    <w:multiLevelType w:val="singleLevel"/>
    <w:tmpl w:val="13C970E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yMGFmMTJjZDc5MTY3YTY1N2I2YTE3ZGU3YTY2NDUifQ=="/>
  </w:docVars>
  <w:rsids>
    <w:rsidRoot w:val="009445D6"/>
    <w:rsid w:val="009445D6"/>
    <w:rsid w:val="00E43DC5"/>
    <w:rsid w:val="53210B51"/>
    <w:rsid w:val="635F5929"/>
    <w:rsid w:val="7CBF4A84"/>
    <w:rsid w:val="D3FB9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3307</Words>
  <Characters>3589</Characters>
  <Lines>26</Lines>
  <Paragraphs>7</Paragraphs>
  <TotalTime>2</TotalTime>
  <ScaleCrop>false</ScaleCrop>
  <LinksUpToDate>false</LinksUpToDate>
  <CharactersWithSpaces>3648</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2023-06-09T12:04:00Z</dcterms:created>
  <dc:creator>微软用户</dc:creator>
  <cp:lastModifiedBy>yyadmin</cp:lastModifiedBy>
  <dcterms:modified xsi:type="dcterms:W3CDTF">2023-09-22T16:17:54Z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989722C770275ABFB24D0D6564865F7E</vt:lpwstr>
  </property>
</Properties>
</file>