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岳阳市人民政府口岸管理办公室2022年度部门预算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一、部门基本概况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贯彻执行国家有关口岸工作的法律法规和政策，根据实际，制定口岸管理实施细则；会同相关部门编制全市口岸总体规划，承办新开放口岸、海关特殊监管区域报批工作，组织协调口岸作业区和海关特殊监管区域建设的申报、验收，并督促实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（2）负责协调口岸联检机构和口岸相关单位以及综合保税区等海关特殊监管区域和全市进出口企业之间的“大通关”工作。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负责协调口岸联检机构、口岸相关单位之间的工作关系，督促其按各自职责对出入境人员、货物等进行监督管理；牵头组织口岸综合治理，整顿口岸秩序，处理突发事件，督促口岸相关单位加强口岸限定区域内的安全管理；负责协调优化口岸营商环境和推进信息化建设。</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（4）负责承办市口岸工作领导小组办公室和市打击走私工作领导小组办公室的日常工作；负责本市口岸相关数据的统计分析和对外发布。</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（5）完成市委、市政府交办的其他事项。</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岳阳市人民政府口岸管理办公室办系岳阳市人民政府正处级工作部门，属财政全额拨款单位。设：综合科、口岸管理科、进出口企业服务科、财务规划科四个科室，下设岳阳市口岸事务中心。编制人数21人，实有在职人员22人，退休人员6人。</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二、部门预算单位构成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本部门预算为汇总预算，纳入编制范围的预算单位包括：</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1、岳阳市人民政府口岸管理办公室本级</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2、无二级预算单位</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376.74万元，其中，一般公共预算拨款376.74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收入较去年增加142.62万元，主要是因为1、本年增加非运转类项目经费85.68万元；2、单位人员调整新调入2名编制人员，人员经费和公用经费收入增加56.94万元。</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376.74万元，其中，一般公共服务支出314.07万元，占比83.37%，社会保障和就业支出26.02万元，占比6.91%，卫生健康支出17.14万元，占比4.55%，住房保障支出19.51万元，占比5.18%。支出较去年增加142.62万元，其中基本支出增加56.94万元，项目支出增加85.68万元万元。其中基本支出较上年增加主要是因为单位人员调整新调入2名编制人员，项目支出增加主要是因为增加非运转类项目经费85.68万元。</w:t>
            </w:r>
          </w:p>
          <w:p>
            <w:pPr>
              <w:widowControl/>
              <w:ind w:firstLine="420" w:firstLineChars="15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2022年预算公开文档第三大点（对应表3）、第四大点（对应表7）中的金额和百分比，由于预算编制时金额明细到了“分”，而公开表格显示和公开文档取数只到“百元”，可能导致0.01的尾数差异。</w:t>
            </w:r>
          </w:p>
          <w:p>
            <w:pPr>
              <w:pStyle w:val="2"/>
              <w:ind w:firstLine="420"/>
              <w:rPr>
                <w:rFonts w:hint="eastAsia"/>
                <w:lang w:val="en-US" w:eastAsia="zh-CN"/>
              </w:rPr>
            </w:pPr>
          </w:p>
          <w:p>
            <w:pPr>
              <w:pStyle w:val="2"/>
              <w:ind w:firstLine="420"/>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376.74万元，其中，一般公共服务支出314.07万元，占比83.37%，社会保障和就业支出26.02万元，占比6.91%，卫生健康支出17.14万元，占比4.55%，住房保障支出19.51万元，占比5.18%。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291.06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85.68万元，是指单位为完成特定行政工作任务或事业发展目标而发生的支出，包括有关业务工作经费、运行维护经费等。其中：业务工作经费支出0万元；运行维护经费85.68万元，主要用于预安排综合绩效奖和平安岳阳建设奖56万元、物业服务补贴10.08万元、工会经费补助8.4万元、伙食补助11.2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2022年本部门机关运行经费当年一般公共预算拨款59.79万元，比上一年增加20.61万元，增加52.6%。主要原因是：1、公车补贴较上一年增加12.96万元；2、人员增加机关运行经费的增加。</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autoSpaceDE w:val="0"/>
              <w:autoSpaceDN w:val="0"/>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2022年本部门机关本级“三公”经费预算数4万元（数据来源见表14），其中，公务接待费1万元，因公出国（境）费0万元，公务用车购置及运行费3万元（其中，公务用车购置费0万元，公务用车运行费3万元）。</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2022年三公经费预算较上年减少10.7万元，主要原因是是按照党中央、国务院关于过“紧日子”和坚持厉行节约反对浪费的要求，进一步压减公务接待费支出，严格控制三公经费。</w:t>
            </w:r>
          </w:p>
          <w:p>
            <w:pPr>
              <w:widowControl/>
              <w:jc w:val="left"/>
              <w:rPr>
                <w:rFonts w:ascii="仿宋_GB2312" w:hAnsi="宋体" w:eastAsia="仿宋_GB2312" w:cs="宋体"/>
                <w:color w:val="FF0000"/>
                <w:kern w:val="0"/>
                <w:sz w:val="28"/>
                <w:szCs w:val="28"/>
              </w:rPr>
            </w:pP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本部门会议费预算0.5万元，拟召开1次会议，人数80人左右，内容为2022年度全市打击走私综合治理推进会议；培训费预算0.5万元，拟开展1次培训，人数50人，内容为优化营商环境业务培训。2022年度本部门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2022年本部门政府采购预算总额0万元，其中工程类0万元，货物类0万元，服务类0万元。2022年度本单位未安排政府采购预算。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截至上年底，本部门共有车辆2辆，其中领导干部用车0辆，一般公务用车0辆，其他用车2辆。单位价值50万元以上通用设备0台，单位价值100万元以上专用设备0台。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2022年拟报废处置公务用车1辆，拟新增配置车辆0辆，其中领导干部用车0辆，一般公务用车0辆，其他用车0辆。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2022年拟新增配备领导干部用车0辆，一般公务用车0辆，其他用车0辆，新增配备单位价值50万元以上通用设备0台，单位价值100万元以上专用设备0台。</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本部门所有支出实行绩效目标管理。纳入2022年部门整体支出绩效目标的金额为376.74万元，其中，基本支出291.06万元，项目支出85.68万元，详见文尾附表中部门预算公开表格的表21-22。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w:t>
            </w:r>
            <w:bookmarkStart w:id="0" w:name="_GoBack"/>
            <w:bookmarkEnd w:id="0"/>
            <w:r>
              <w:rPr>
                <w:rFonts w:hint="eastAsia" w:ascii="仿宋_GB2312" w:hAnsi="宋体" w:eastAsia="仿宋_GB2312" w:cs="宋体"/>
                <w:color w:val="000000"/>
                <w:kern w:val="0"/>
                <w:sz w:val="28"/>
                <w:szCs w:val="28"/>
              </w:rPr>
              <w:t>（商品和服务支出）（按部门预算经济分类）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ascii="仿宋_GB2312" w:hAnsi="宋体" w:eastAsia="仿宋_GB2312" w:cs="宋体"/>
                <w:color w:val="000000"/>
                <w:kern w:val="0"/>
                <w:sz w:val="28"/>
                <w:szCs w:val="28"/>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9D7E7"/>
    <w:multiLevelType w:val="singleLevel"/>
    <w:tmpl w:val="41A9D7E7"/>
    <w:lvl w:ilvl="0" w:tentative="0">
      <w:start w:val="1"/>
      <w:numFmt w:val="decimal"/>
      <w:suff w:val="nothing"/>
      <w:lvlText w:val="%1、"/>
      <w:lvlJc w:val="left"/>
    </w:lvl>
  </w:abstractNum>
  <w:abstractNum w:abstractNumId="1">
    <w:nsid w:val="5C7A24A3"/>
    <w:multiLevelType w:val="singleLevel"/>
    <w:tmpl w:val="5C7A24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xYTk2ODNkM2JjMjhmOGQ1OTBkMDcxNmY3M2Y0OWUifQ=="/>
  </w:docVars>
  <w:rsids>
    <w:rsidRoot w:val="00CD0B69"/>
    <w:rsid w:val="00296F21"/>
    <w:rsid w:val="00486C3B"/>
    <w:rsid w:val="007D1CA1"/>
    <w:rsid w:val="00903134"/>
    <w:rsid w:val="00CD0B69"/>
    <w:rsid w:val="02611C71"/>
    <w:rsid w:val="05475BCA"/>
    <w:rsid w:val="29206257"/>
    <w:rsid w:val="3E1C2E13"/>
    <w:rsid w:val="55347324"/>
    <w:rsid w:val="55F340E4"/>
    <w:rsid w:val="6A9805F4"/>
    <w:rsid w:val="7E1C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页眉 Char"/>
    <w:basedOn w:val="8"/>
    <w:link w:val="3"/>
    <w:semiHidden/>
    <w:qFormat/>
    <w:uiPriority w:val="99"/>
    <w:rPr>
      <w:sz w:val="18"/>
      <w:szCs w:val="18"/>
    </w:rPr>
  </w:style>
  <w:style w:type="character" w:customStyle="1" w:styleId="10">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3561</Words>
  <Characters>3859</Characters>
  <Lines>28</Lines>
  <Paragraphs>8</Paragraphs>
  <TotalTime>4</TotalTime>
  <ScaleCrop>false</ScaleCrop>
  <LinksUpToDate>false</LinksUpToDate>
  <CharactersWithSpaces>3915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2023-07-07T01:53:00Z</dcterms:created>
  <dc:creator>微软用户</dc:creator>
  <cp:lastModifiedBy>Administrator</cp:lastModifiedBy>
  <dcterms:modified xsi:type="dcterms:W3CDTF">2023-09-22T08:12:19Z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44B988FA65414578BE4392BD05347987</vt:lpwstr>
  </property>
</Properties>
</file>