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000" w:type="pct"/>
        <w:tblInd w:w="0" w:type="dxa"/>
        <w:tblLayout w:type="autofit"/>
        <w:tblCellMar>
          <w:top w:w="0" w:type="dxa"/>
          <w:left w:w="108" w:type="dxa"/>
          <w:bottom w:w="0" w:type="dxa"/>
          <w:right w:w="108" w:type="dxa"/>
        </w:tblCellMar>
      </w:tblPr>
      <w:tblGrid>
        <w:gridCol w:w="8522"/>
      </w:tblGrid>
      <w:tr>
        <w:tblPrEx>
          <w:tblCellMar>
            <w:top w:w="0" w:type="dxa"/>
            <w:left w:w="108" w:type="dxa"/>
            <w:bottom w:w="0" w:type="dxa"/>
            <w:right w:w="108" w:type="dxa"/>
          </w:tblCellMar>
        </w:tblPrEx>
        <w:trPr>
          <w:trHeight w:val="1380" w:hRule="atLeast"/>
        </w:trPr>
        <w:tc>
          <w:tcPr>
            <w:tcW w:w="5000" w:type="pct"/>
            <w:tcBorders>
              <w:top w:val="nil"/>
              <w:left w:val="nil"/>
              <w:bottom w:val="nil"/>
              <w:right w:val="nil"/>
            </w:tcBorders>
            <w:shd w:val="clear" w:color="auto" w:fill="auto"/>
            <w:vAlign w:val="center"/>
          </w:tcPr>
          <w:p>
            <w:pPr>
              <w:widowControl/>
              <w:jc w:val="center"/>
              <w:rPr>
                <w:rFonts w:ascii="方正小标宋_GBK" w:hAnsi="宋体" w:eastAsia="方正小标宋_GBK" w:cs="宋体"/>
                <w:color w:val="000000"/>
                <w:kern w:val="0"/>
                <w:sz w:val="40"/>
                <w:szCs w:val="40"/>
              </w:rPr>
            </w:pPr>
            <w:r>
              <w:rPr>
                <w:rFonts w:hint="eastAsia" w:ascii="方正小标宋_GBK" w:hAnsi="宋体" w:eastAsia="方正小标宋_GBK" w:cs="宋体"/>
                <w:color w:val="000000"/>
                <w:kern w:val="0"/>
                <w:sz w:val="40"/>
                <w:szCs w:val="40"/>
              </w:rPr>
              <w:t>岳阳市国有土地房屋征收中心2022年度单位预算</w:t>
            </w:r>
          </w:p>
        </w:tc>
      </w:tr>
      <w:tr>
        <w:tblPrEx>
          <w:tblCellMar>
            <w:top w:w="0" w:type="dxa"/>
            <w:left w:w="108" w:type="dxa"/>
            <w:bottom w:w="0" w:type="dxa"/>
            <w:right w:w="108" w:type="dxa"/>
          </w:tblCellMar>
        </w:tblPrEx>
        <w:trPr>
          <w:trHeight w:val="642"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kern w:val="0"/>
                <w:sz w:val="36"/>
                <w:szCs w:val="36"/>
              </w:rPr>
            </w:pPr>
            <w:r>
              <w:rPr>
                <w:rFonts w:hint="eastAsia" w:ascii="黑体" w:hAnsi="黑体" w:eastAsia="黑体" w:cs="宋体"/>
                <w:kern w:val="0"/>
                <w:sz w:val="36"/>
                <w:szCs w:val="36"/>
              </w:rPr>
              <w:t>目录</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第一部分  2022年单位预算说明</w:t>
            </w:r>
          </w:p>
        </w:tc>
      </w:tr>
      <w:tr>
        <w:tblPrEx>
          <w:tblCellMar>
            <w:top w:w="0" w:type="dxa"/>
            <w:left w:w="108" w:type="dxa"/>
            <w:bottom w:w="0" w:type="dxa"/>
            <w:right w:w="108" w:type="dxa"/>
          </w:tblCellMar>
        </w:tblPrEx>
        <w:trPr>
          <w:trHeight w:val="60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第二部分  2022年单位预算公开表格</w:t>
            </w:r>
          </w:p>
        </w:tc>
      </w:tr>
      <w:tr>
        <w:tblPrEx>
          <w:tblCellMar>
            <w:top w:w="0" w:type="dxa"/>
            <w:left w:w="108" w:type="dxa"/>
            <w:bottom w:w="0" w:type="dxa"/>
            <w:right w:w="108" w:type="dxa"/>
          </w:tblCellMar>
        </w:tblPrEx>
        <w:trPr>
          <w:trHeight w:val="4482" w:hRule="atLeast"/>
        </w:trPr>
        <w:tc>
          <w:tcPr>
            <w:tcW w:w="5000" w:type="pct"/>
            <w:vMerge w:val="restart"/>
            <w:tcBorders>
              <w:top w:val="nil"/>
              <w:left w:val="nil"/>
              <w:bottom w:val="nil"/>
              <w:right w:val="nil"/>
            </w:tcBorders>
            <w:shd w:val="clear" w:color="auto" w:fill="auto"/>
            <w:vAlign w:val="center"/>
          </w:tcPr>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1、收支总表</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2、收入总表</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3、支出总表</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4、支出预算分类汇总表（按政府预算经济分类）</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5、支出预算分类汇总表（按部门预算经济分类）</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6、财政拨款收支总表</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7、一般公共预算支出表</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8、一般公共预算基本支出表-人员经费（工资福利支出）（按政府预算经济分类）</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9、一般公共预算基本支出表-人员经费（工资福利支出）（按部门预算经济分类）</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10、一般公共预算基本支出表-人员经费（对个人和家庭的补助）（按政府预算经济分类）</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11、一般公共预算基本支出表-人员经费（对个人和家庭的补助）（按部门预算经济分类）</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12、一般公共预算基本支出表-</w:t>
            </w:r>
            <w:r>
              <w:rPr>
                <w:rFonts w:hint="eastAsia" w:ascii="仿宋_GB2312" w:hAnsi="宋体" w:eastAsia="仿宋_GB2312" w:cs="宋体"/>
                <w:color w:val="000000"/>
                <w:kern w:val="0"/>
                <w:sz w:val="28"/>
                <w:szCs w:val="28"/>
                <w:lang w:val="en-US" w:eastAsia="zh-CN"/>
              </w:rPr>
              <w:t>公用</w:t>
            </w:r>
            <w:r>
              <w:rPr>
                <w:rFonts w:hint="eastAsia" w:ascii="仿宋_GB2312" w:hAnsi="宋体" w:eastAsia="仿宋_GB2312" w:cs="宋体"/>
                <w:color w:val="000000"/>
                <w:kern w:val="0"/>
                <w:sz w:val="28"/>
                <w:szCs w:val="28"/>
              </w:rPr>
              <w:t>经费（商品和服务支出）（按政府预算经济分类）</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13、一般公共预算基本支出表-</w:t>
            </w:r>
            <w:r>
              <w:rPr>
                <w:rFonts w:hint="eastAsia" w:ascii="仿宋_GB2312" w:hAnsi="宋体" w:eastAsia="仿宋_GB2312" w:cs="宋体"/>
                <w:color w:val="000000"/>
                <w:kern w:val="0"/>
                <w:sz w:val="28"/>
                <w:szCs w:val="28"/>
                <w:lang w:val="en-US" w:eastAsia="zh-CN"/>
              </w:rPr>
              <w:t>公用</w:t>
            </w:r>
            <w:r>
              <w:rPr>
                <w:rFonts w:hint="eastAsia" w:ascii="仿宋_GB2312" w:hAnsi="宋体" w:eastAsia="仿宋_GB2312" w:cs="宋体"/>
                <w:color w:val="000000"/>
                <w:kern w:val="0"/>
                <w:sz w:val="28"/>
                <w:szCs w:val="28"/>
              </w:rPr>
              <w:t>经费（商品和服务支出）（按部门预算经济分类）</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14、一般公共预算“三公”经费支出表</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15、政府性基金预算支出表</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16、政府性基金预算支出分类汇总表（按政府预算经济分类）</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17、政府性基金预算支出分类汇总表（按部门预算经济分类）</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18、国有资本经营预算支出表</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19、财政专户管理资金预算支出表</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20、专项资金预算汇总表</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21、项目支出绩效目标表</w:t>
            </w:r>
          </w:p>
          <w:p>
            <w:pPr>
              <w:widowControl/>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22、整体支出绩效目标表</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lang w:val="en-US" w:eastAsia="zh-CN"/>
              </w:rPr>
              <w:t>23、一般公共预算基本支出表</w:t>
            </w:r>
          </w:p>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注：以上单位预算公开报表中，空表表示本单位无相关收支情况。</w:t>
            </w:r>
          </w:p>
        </w:tc>
      </w:tr>
      <w:tr>
        <w:tblPrEx>
          <w:tblCellMar>
            <w:top w:w="0" w:type="dxa"/>
            <w:left w:w="108" w:type="dxa"/>
            <w:bottom w:w="0" w:type="dxa"/>
            <w:right w:w="108" w:type="dxa"/>
          </w:tblCellMar>
        </w:tblPrEx>
        <w:trPr>
          <w:trHeight w:val="4482" w:hRule="atLeast"/>
        </w:trPr>
        <w:tc>
          <w:tcPr>
            <w:tcW w:w="5000" w:type="pct"/>
            <w:vMerge w:val="continue"/>
            <w:tcBorders>
              <w:top w:val="nil"/>
              <w:left w:val="nil"/>
              <w:bottom w:val="nil"/>
              <w:right w:val="nil"/>
            </w:tcBorders>
            <w:vAlign w:val="center"/>
          </w:tcPr>
          <w:p>
            <w:pPr>
              <w:widowControl/>
              <w:jc w:val="left"/>
              <w:rPr>
                <w:rFonts w:ascii="仿宋_GB2312" w:hAnsi="宋体" w:eastAsia="仿宋_GB2312" w:cs="宋体"/>
                <w:color w:val="000000"/>
                <w:kern w:val="0"/>
                <w:sz w:val="28"/>
                <w:szCs w:val="28"/>
              </w:rPr>
            </w:pPr>
          </w:p>
        </w:tc>
      </w:tr>
      <w:tr>
        <w:tblPrEx>
          <w:tblCellMar>
            <w:top w:w="0" w:type="dxa"/>
            <w:left w:w="108" w:type="dxa"/>
            <w:bottom w:w="0" w:type="dxa"/>
            <w:right w:w="108" w:type="dxa"/>
          </w:tblCellMar>
        </w:tblPrEx>
        <w:trPr>
          <w:trHeight w:val="840"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第一部分  2022年单位预算说明</w:t>
            </w:r>
          </w:p>
        </w:tc>
      </w:tr>
      <w:tr>
        <w:tblPrEx>
          <w:tblCellMar>
            <w:top w:w="0" w:type="dxa"/>
            <w:left w:w="108" w:type="dxa"/>
            <w:bottom w:w="0" w:type="dxa"/>
            <w:right w:w="108" w:type="dxa"/>
          </w:tblCellMar>
        </w:tblPrEx>
        <w:trPr>
          <w:trHeight w:val="2625" w:hRule="atLeast"/>
        </w:trPr>
        <w:tc>
          <w:tcPr>
            <w:tcW w:w="5000" w:type="pct"/>
            <w:tcBorders>
              <w:top w:val="nil"/>
              <w:left w:val="nil"/>
              <w:bottom w:val="nil"/>
              <w:right w:val="nil"/>
            </w:tcBorders>
            <w:shd w:val="clear" w:color="auto" w:fill="auto"/>
            <w:vAlign w:val="center"/>
          </w:tcPr>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一、单位基本概况</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（一）职能职责。</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我中心为市住建局专门负责市国有土地房屋征收日常工作的机构。按市政府《岳阳市国有土地上房屋征收与补偿实施办法》（岳政发[2019]6号）第五条规定“市住建局为市政府国有土地上房屋征收部门，其设立的房屋征收机构负责房屋征收与补偿的日常工作。”日常工作即为履行征收部门职责、管理征收公共事务的工作，包括对县（市）、区征收行为的监督、管理和指导等。</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(一)宣传贯彻《国有土地上房屋征收与补偿条例》及相关法律法规政策；拟制和报批房屋征收补助和奖励等相关配套政策;</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(二)负责房屋征收（收购）项目补偿安置方案、房地产评估报告及补偿协议的备案和项目成本审核工作，并对征购补偿资金实行专户存储、专款专用;</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(三)建立健全房屋征收（收购）项目房地产价格评估机构备选库并报请向社会公布；</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四）接受实施房屋征收（收购）委托，组织房屋征收（收购）项目调查登记和社会稳定风险评估，拟制并报批房屋征收（收购）具体项目补偿安置方案;组织签订和履行征收（收购）补偿协议，公布分户补偿结果，编制实施项目的成本报告，建立房屋征收（收购）补偿档案; 组织拆除被征收（收购）房屋并办理相关权证注销。</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（二）机构设置。</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因机构改革暂未设置科室，原设办公室、财务股、业务股。</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截至2021年12月31日，共有编制23人，在职人员23人，退休人员2人。</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二、单位预算单位构成</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本单位预算仅含本级预算。</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三、单位收支总体情况</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（一）收入预算</w:t>
            </w:r>
          </w:p>
        </w:tc>
      </w:tr>
      <w:tr>
        <w:tblPrEx>
          <w:tblCellMar>
            <w:top w:w="0" w:type="dxa"/>
            <w:left w:w="108" w:type="dxa"/>
            <w:bottom w:w="0" w:type="dxa"/>
            <w:right w:w="108" w:type="dxa"/>
          </w:tblCellMar>
        </w:tblPrEx>
        <w:trPr>
          <w:trHeight w:val="225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包括一般公共预算、政府性基金、国有资本经营预算等财政拨款收入，以及经营收入、事业收入等单位资金。2022年本单位收入预算423.32万元，其中，一般公共预算拨款423.32万元，政府性基金预算拨款0万元，所以公开的附件15-17（政府性基金预算）为空,国有资本经营预算拨款0万元，所以公开的附表18（国有资本经营预算）为空,财政专户管理资金0万元，所以公开的附表19表（财政专户管理资金预算）为空，上级补助收入0万元，事业单位经营收入0万元，上年结转结余0万元。</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收入较去年基本持平。</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（二）支出预算</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ind w:firstLine="56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2022年本单位支出预算423.32万元，其中，社会保障和就业支出25.47万元，占比6.02%，卫生健康支出13.09万元，占比3.09%，资源勘探工业信息等支出365.65万元，占比86.38%，住房保障支出19.11万元，占比4.51%。支出较去年减少1.18万元，其中基本支出增加97.32万元，项目支出减少98.</w:t>
            </w:r>
            <w:r>
              <w:rPr>
                <w:rFonts w:hint="eastAsia" w:ascii="仿宋_GB2312" w:hAnsi="宋体" w:eastAsia="仿宋_GB2312" w:cs="宋体"/>
                <w:kern w:val="0"/>
                <w:sz w:val="28"/>
                <w:szCs w:val="28"/>
                <w:lang w:val="en-US" w:eastAsia="zh-CN"/>
              </w:rPr>
              <w:t>5</w:t>
            </w:r>
            <w:r>
              <w:rPr>
                <w:rFonts w:hint="eastAsia" w:ascii="仿宋_GB2312" w:hAnsi="宋体" w:eastAsia="仿宋_GB2312" w:cs="宋体"/>
                <w:kern w:val="0"/>
                <w:sz w:val="28"/>
                <w:szCs w:val="28"/>
              </w:rPr>
              <w:t>万元。其中基本支出较上年增加主要是因为原岳阳市房屋征收与补偿事务所人员转隶为财政全额拨款人员，工资有调整。项目支出较上年减少主要是因为棚改项目减少，非税征收成本降低。</w:t>
            </w:r>
          </w:p>
          <w:p>
            <w:pPr>
              <w:widowControl/>
              <w:ind w:firstLine="560"/>
              <w:jc w:val="left"/>
              <w:rPr>
                <w:rFonts w:hint="eastAsia" w:ascii="仿宋_GB2312" w:hAnsi="宋体" w:eastAsia="仿宋_GB2312" w:cs="宋体"/>
                <w:kern w:val="0"/>
                <w:sz w:val="28"/>
                <w:szCs w:val="28"/>
              </w:rPr>
            </w:pPr>
            <w:r>
              <w:rPr>
                <w:rFonts w:hint="eastAsia" w:ascii="仿宋_GB2312" w:hAnsi="宋体" w:eastAsia="仿宋_GB2312" w:cs="宋体"/>
                <w:color w:val="000000" w:themeColor="text1"/>
                <w:kern w:val="0"/>
                <w:sz w:val="28"/>
                <w:szCs w:val="28"/>
                <w:lang w:val="en-US" w:eastAsia="zh-CN"/>
                <w14:textFill>
                  <w14:solidFill>
                    <w14:schemeClr w14:val="tx1"/>
                  </w14:solidFill>
                </w14:textFill>
              </w:rPr>
              <w:t>说明： 2022年预算公开文档第三大点（对应表3）、第四大点（对应表7）中的金额和百分比，由于预算编制时金额明细到了“分”，而公开表格显示和公开文档取数只到“百元”，可能导致0.01的尾数差异。</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四、一般公共预算拨款支出预算</w:t>
            </w:r>
          </w:p>
        </w:tc>
      </w:tr>
      <w:tr>
        <w:tblPrEx>
          <w:tblCellMar>
            <w:top w:w="0" w:type="dxa"/>
            <w:left w:w="108" w:type="dxa"/>
            <w:bottom w:w="0" w:type="dxa"/>
            <w:right w:w="108" w:type="dxa"/>
          </w:tblCellMar>
        </w:tblPrEx>
        <w:trPr>
          <w:trHeight w:val="126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2022年本单位一般公共预算拨款支出预算423.32万元，其中，社会保障和就业支出25.47万元，占比6.02%，卫生健康支出13.09万元，占比3.09%，资源勘探工业信息等支出365.65万元，占比86.38%，住房保障支出19.11万元，占比4.51%。具体安排情况如下：</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一）基本支出：2022年基本支出年初预算数为242.82万元（数据来源见表7），是指为保障单位机构正常运转、完成日常工作任务而发生的各项支出，包括用于基本工资、津贴补贴等人员经费以及办公费、印刷费、水电费、差旅费等日常公用经费。</w:t>
            </w:r>
          </w:p>
        </w:tc>
      </w:tr>
      <w:tr>
        <w:tblPrEx>
          <w:tblCellMar>
            <w:top w:w="0" w:type="dxa"/>
            <w:left w:w="108" w:type="dxa"/>
            <w:bottom w:w="0" w:type="dxa"/>
            <w:right w:w="108" w:type="dxa"/>
          </w:tblCellMar>
        </w:tblPrEx>
        <w:trPr>
          <w:trHeight w:val="150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二）项目支出：2022年本单位项目支出预算180.5万元，主要是部门为完成特定行政工作任务或事业发展目标而发生的支出，包括有关事业发展专项、专项业务费、基本建设支出等，其中：其中：业务工作经费支出104万元，主要用于单位为完成特定事业发展而发生的支出等方面，主要用于评估费、测绘费、房屋拆除等。运行维护经费76.5万元，主要用于职工基础绩效奖等方面。</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五、政府性基金预算支出</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2022年度本单位无政府性基金安排的支出，所以公开的附件15-17（政府性基金预算）为空。</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六、其他重要事项的情况说明</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（一）机关运行经费</w:t>
            </w:r>
          </w:p>
        </w:tc>
      </w:tr>
      <w:tr>
        <w:tblPrEx>
          <w:tblCellMar>
            <w:top w:w="0" w:type="dxa"/>
            <w:left w:w="108" w:type="dxa"/>
            <w:bottom w:w="0" w:type="dxa"/>
            <w:right w:w="108" w:type="dxa"/>
          </w:tblCellMar>
        </w:tblPrEx>
        <w:trPr>
          <w:trHeight w:val="859" w:hRule="atLeast"/>
        </w:trPr>
        <w:tc>
          <w:tcPr>
            <w:tcW w:w="5000" w:type="pct"/>
            <w:tcBorders>
              <w:top w:val="nil"/>
              <w:left w:val="nil"/>
              <w:bottom w:val="nil"/>
              <w:right w:val="nil"/>
            </w:tcBorders>
            <w:shd w:val="clear" w:color="auto" w:fill="auto"/>
            <w:vAlign w:val="center"/>
          </w:tcPr>
          <w:p>
            <w:pPr>
              <w:autoSpaceDE w:val="0"/>
              <w:autoSpaceDN w:val="0"/>
              <w:spacing w:line="600" w:lineRule="exact"/>
              <w:ind w:firstLine="560" w:firstLineChars="200"/>
              <w:rPr>
                <w:rFonts w:hint="eastAsia" w:ascii="仿宋_GB2312" w:hAnsi="宋体" w:eastAsia="仿宋_GB2312" w:cs="宋体"/>
                <w:color w:val="auto"/>
                <w:kern w:val="0"/>
                <w:sz w:val="28"/>
                <w:szCs w:val="28"/>
              </w:rPr>
            </w:pPr>
            <w:r>
              <w:rPr>
                <w:rFonts w:hint="eastAsia" w:ascii="仿宋_GB2312" w:hAnsi="宋体" w:eastAsia="仿宋_GB2312" w:cs="宋体"/>
                <w:color w:val="FF0000"/>
                <w:kern w:val="0"/>
                <w:sz w:val="28"/>
                <w:szCs w:val="28"/>
              </w:rPr>
              <w:t xml:space="preserve">   </w:t>
            </w:r>
            <w:r>
              <w:rPr>
                <w:rFonts w:hint="eastAsia" w:ascii="仿宋_GB2312" w:hAnsi="宋体" w:eastAsia="仿宋_GB2312" w:cs="宋体"/>
                <w:color w:val="auto"/>
                <w:kern w:val="0"/>
                <w:sz w:val="28"/>
                <w:szCs w:val="28"/>
              </w:rPr>
              <w:t xml:space="preserve"> 2022年本单位的机关运行经费23.59万元（数据来源见表12），比上一年增加</w:t>
            </w:r>
            <w:r>
              <w:rPr>
                <w:rFonts w:hint="eastAsia" w:ascii="仿宋_GB2312" w:hAnsi="宋体" w:eastAsia="仿宋_GB2312" w:cs="宋体"/>
                <w:color w:val="auto"/>
                <w:kern w:val="0"/>
                <w:sz w:val="28"/>
                <w:szCs w:val="28"/>
                <w:lang w:val="en-US" w:eastAsia="zh-CN"/>
              </w:rPr>
              <w:t>11.97</w:t>
            </w:r>
            <w:r>
              <w:rPr>
                <w:rFonts w:hint="eastAsia" w:ascii="仿宋_GB2312" w:hAnsi="宋体" w:eastAsia="仿宋_GB2312" w:cs="宋体"/>
                <w:color w:val="auto"/>
                <w:kern w:val="0"/>
                <w:sz w:val="28"/>
                <w:szCs w:val="28"/>
              </w:rPr>
              <w:t>万元，增加</w:t>
            </w:r>
            <w:r>
              <w:rPr>
                <w:rFonts w:hint="eastAsia" w:ascii="仿宋_GB2312" w:hAnsi="宋体" w:eastAsia="仿宋_GB2312" w:cs="宋体"/>
                <w:color w:val="auto"/>
                <w:kern w:val="0"/>
                <w:sz w:val="28"/>
                <w:szCs w:val="28"/>
                <w:lang w:val="en-US" w:eastAsia="zh-CN"/>
              </w:rPr>
              <w:t>100</w:t>
            </w:r>
            <w:r>
              <w:rPr>
                <w:rFonts w:hint="eastAsia" w:ascii="仿宋_GB2312" w:hAnsi="宋体" w:eastAsia="仿宋_GB2312" w:cs="宋体"/>
                <w:color w:val="auto"/>
                <w:kern w:val="0"/>
                <w:sz w:val="28"/>
                <w:szCs w:val="28"/>
              </w:rPr>
              <w:t>%。主要原因为单位机构改革，原岳阳市房屋征收与补偿事务所人员转隶为财政全额拨款人员。</w:t>
            </w:r>
          </w:p>
          <w:p>
            <w:pPr>
              <w:widowControl/>
              <w:jc w:val="left"/>
              <w:rPr>
                <w:rFonts w:ascii="仿宋_GB2312" w:hAnsi="宋体" w:eastAsia="仿宋_GB2312" w:cs="宋体"/>
                <w:color w:val="FF0000"/>
                <w:kern w:val="0"/>
                <w:sz w:val="28"/>
                <w:szCs w:val="28"/>
              </w:rPr>
            </w:pP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（二）“三公”经费预算</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2022年本单位“三公”经费预算数为 1万元，其中，公务接待费 1 万元，因公出国（境）费0万元，公务用车购置及运行费 0  万元，,其中公务用车购置费0 万元，公务用车运行费0 万元。比上一年减少0.8万元，降低80%，主要原因是过紧日子，压减公务接待费。</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（三）一般性支出情况</w:t>
            </w:r>
          </w:p>
        </w:tc>
      </w:tr>
      <w:tr>
        <w:tblPrEx>
          <w:tblCellMar>
            <w:top w:w="0" w:type="dxa"/>
            <w:left w:w="108" w:type="dxa"/>
            <w:bottom w:w="0" w:type="dxa"/>
            <w:right w:w="108" w:type="dxa"/>
          </w:tblCellMar>
        </w:tblPrEx>
        <w:trPr>
          <w:trHeight w:val="187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本单位2022年会议费预算0万元，</w:t>
            </w:r>
            <w:r>
              <w:rPr>
                <w:rFonts w:hint="eastAsia" w:ascii="仿宋_GB2312" w:hAnsi="宋体" w:eastAsia="仿宋_GB2312" w:cs="宋体"/>
                <w:kern w:val="0"/>
                <w:sz w:val="28"/>
                <w:szCs w:val="28"/>
                <w:lang w:eastAsia="zh-CN"/>
              </w:rPr>
              <w:t>培训费预算</w:t>
            </w:r>
            <w:r>
              <w:rPr>
                <w:rFonts w:hint="eastAsia" w:ascii="仿宋_GB2312" w:hAnsi="宋体" w:eastAsia="仿宋_GB2312" w:cs="宋体"/>
                <w:kern w:val="0"/>
                <w:sz w:val="28"/>
                <w:szCs w:val="28"/>
                <w:lang w:val="en-US" w:eastAsia="zh-CN"/>
              </w:rPr>
              <w:t>0万元，</w:t>
            </w:r>
            <w:r>
              <w:rPr>
                <w:rFonts w:hint="eastAsia" w:ascii="仿宋_GB2312" w:hAnsi="宋体" w:eastAsia="仿宋_GB2312" w:cs="宋体"/>
                <w:kern w:val="0"/>
                <w:sz w:val="28"/>
                <w:szCs w:val="28"/>
              </w:rPr>
              <w:t>2022年度本单位未计划安排会议、培训，未计划举办节庆、晚会、论坛、赛事活动。</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（四）政府采购情况</w:t>
            </w:r>
          </w:p>
        </w:tc>
      </w:tr>
      <w:tr>
        <w:tblPrEx>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widowControl/>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2022年本部门政府采购预算总额 0万元，其中工程类采购预算 0万元，货物类采购预算 0 万元，服务类采购预算 0 万元。2022年度本单位未安排政府采购预算。</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（五）国有资产占有使用及新增资产配置情况</w:t>
            </w:r>
          </w:p>
        </w:tc>
      </w:tr>
      <w:tr>
        <w:tblPrEx>
          <w:tblCellMar>
            <w:top w:w="0" w:type="dxa"/>
            <w:left w:w="108" w:type="dxa"/>
            <w:bottom w:w="0" w:type="dxa"/>
            <w:right w:w="108" w:type="dxa"/>
          </w:tblCellMar>
        </w:tblPrEx>
        <w:trPr>
          <w:trHeight w:val="3000" w:hRule="atLeast"/>
        </w:trPr>
        <w:tc>
          <w:tcPr>
            <w:tcW w:w="5000" w:type="pct"/>
            <w:tcBorders>
              <w:top w:val="nil"/>
              <w:left w:val="nil"/>
              <w:bottom w:val="nil"/>
              <w:right w:val="nil"/>
            </w:tcBorders>
            <w:shd w:val="clear" w:color="auto" w:fill="auto"/>
            <w:vAlign w:val="center"/>
          </w:tcPr>
          <w:p>
            <w:pPr>
              <w:widowControl/>
              <w:ind w:firstLine="560" w:firstLineChars="200"/>
              <w:jc w:val="left"/>
              <w:rPr>
                <w:rFonts w:hint="eastAsia" w:ascii="仿宋_GB2312" w:hAnsi="宋体" w:eastAsia="仿宋_GB2312" w:cs="宋体"/>
                <w:kern w:val="0"/>
                <w:sz w:val="28"/>
                <w:szCs w:val="28"/>
                <w:lang w:eastAsia="zh-CN"/>
              </w:rPr>
            </w:pPr>
            <w:r>
              <w:rPr>
                <w:rFonts w:hint="eastAsia" w:ascii="仿宋_GB2312" w:hAnsi="宋体" w:eastAsia="仿宋_GB2312" w:cs="宋体"/>
                <w:kern w:val="0"/>
                <w:sz w:val="28"/>
                <w:szCs w:val="28"/>
              </w:rPr>
              <w:t>截至上年底，本单位共有车辆0辆，其中领导干部用车0辆，一般公务用车0辆，其他用车0辆。单位价值50万元以上通用设备0台，单位价值100万元以上专用设备0台。</w:t>
            </w:r>
          </w:p>
          <w:p>
            <w:pPr>
              <w:widowControl/>
              <w:ind w:firstLine="560" w:firstLineChars="200"/>
              <w:jc w:val="left"/>
              <w:rPr>
                <w:rFonts w:hint="eastAsia" w:ascii="仿宋_GB2312" w:hAnsi="宋体" w:eastAsia="仿宋_GB2312" w:cs="宋体"/>
                <w:kern w:val="0"/>
                <w:sz w:val="28"/>
                <w:szCs w:val="28"/>
                <w:lang w:eastAsia="zh-CN"/>
              </w:rPr>
            </w:pPr>
            <w:r>
              <w:rPr>
                <w:rFonts w:hint="eastAsia" w:ascii="仿宋_GB2312" w:hAnsi="宋体" w:eastAsia="仿宋_GB2312" w:cs="宋体"/>
                <w:kern w:val="0"/>
                <w:sz w:val="28"/>
                <w:szCs w:val="28"/>
              </w:rPr>
              <w:t xml:space="preserve">    2022年拟报废处置公务用车0辆，拟新增配置车辆0辆，其中领导干部用车0辆，一般公务用车0辆，其他用车0辆。</w:t>
            </w:r>
          </w:p>
          <w:p>
            <w:pPr>
              <w:widowControl/>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2022年拟新增配备领导干部用车0辆，一般公务用车0辆，其他用车0辆，新增配备单位价值50万元以上通用设备0台，单位价值100万元以上专用设备0台。2022年度本单位未计划处置或新增车辆、设备等。</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（六）预算绩效目标说明</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本单位所有支出实行绩效目标管理。纳入2022年部门整体支出绩效目标的金额为423.32万元，其中，基本支出242.82万元，项目支出180.5万元，详见文尾附表中单位预算公开表格的表21-22。</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七、名词解释</w:t>
            </w:r>
          </w:p>
        </w:tc>
      </w:tr>
      <w:tr>
        <w:tblPrEx>
          <w:tblCellMar>
            <w:top w:w="0" w:type="dxa"/>
            <w:left w:w="108" w:type="dxa"/>
            <w:bottom w:w="0" w:type="dxa"/>
            <w:right w:w="108" w:type="dxa"/>
          </w:tblCellMar>
        </w:tblPrEx>
        <w:trPr>
          <w:trHeight w:val="3000" w:hRule="atLeast"/>
        </w:trPr>
        <w:tc>
          <w:tcPr>
            <w:tcW w:w="5000" w:type="pct"/>
            <w:tcBorders>
              <w:top w:val="nil"/>
              <w:left w:val="nil"/>
              <w:bottom w:val="nil"/>
              <w:right w:val="nil"/>
            </w:tcBorders>
            <w:shd w:val="clear" w:color="auto" w:fill="auto"/>
            <w:vAlign w:val="center"/>
          </w:tcPr>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2、“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tc>
      </w:tr>
      <w:tr>
        <w:tblPrEx>
          <w:tblCellMar>
            <w:top w:w="0" w:type="dxa"/>
            <w:left w:w="108" w:type="dxa"/>
            <w:bottom w:w="0" w:type="dxa"/>
            <w:right w:w="108" w:type="dxa"/>
          </w:tblCellMar>
        </w:tblPrEx>
        <w:trPr>
          <w:trHeight w:val="900"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第二部分  2022年单位预算公开表格</w:t>
            </w:r>
          </w:p>
        </w:tc>
      </w:tr>
      <w:tr>
        <w:tblPrEx>
          <w:tblCellMar>
            <w:top w:w="0" w:type="dxa"/>
            <w:left w:w="108" w:type="dxa"/>
            <w:bottom w:w="0" w:type="dxa"/>
            <w:right w:w="108" w:type="dxa"/>
          </w:tblCellMar>
        </w:tblPrEx>
        <w:trPr>
          <w:trHeight w:val="8190" w:hRule="atLeast"/>
        </w:trPr>
        <w:tc>
          <w:tcPr>
            <w:tcW w:w="5000" w:type="pct"/>
            <w:tcBorders>
              <w:top w:val="nil"/>
              <w:left w:val="nil"/>
              <w:bottom w:val="nil"/>
              <w:right w:val="nil"/>
            </w:tcBorders>
            <w:shd w:val="clear" w:color="auto" w:fill="auto"/>
            <w:vAlign w:val="center"/>
          </w:tcPr>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1、收支总表</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2、收入总表</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3、支出总表</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4、支出预算分类汇总表（按政府预算经济分类）</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5、支出预算分类汇总表（按部门预算经济分类）</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6、财政拨款收支总表</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7、一般公共预算支出表</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8、一般公共预算基本支出表-人员经费（工资福利支出）（按政府预算经济分类）</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9、一般公共预算基本支出表-人员经费（工资福利支出）（按部门预算经济分类）</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10、一般公共预算基本支出表-人员经费（对个人和家庭的补助）（按政府预算经济分类）</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11、一般公共预算基本支出表-人员经费（对个人和家庭的补助）（按部门预算经济分类）</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12、一般公共预算基本支出表-</w:t>
            </w:r>
            <w:r>
              <w:rPr>
                <w:rFonts w:hint="eastAsia" w:ascii="仿宋_GB2312" w:hAnsi="宋体" w:eastAsia="仿宋_GB2312" w:cs="宋体"/>
                <w:color w:val="000000"/>
                <w:kern w:val="0"/>
                <w:sz w:val="28"/>
                <w:szCs w:val="28"/>
                <w:lang w:val="en-US" w:eastAsia="zh-CN"/>
              </w:rPr>
              <w:t>公用</w:t>
            </w:r>
            <w:r>
              <w:rPr>
                <w:rFonts w:hint="eastAsia" w:ascii="仿宋_GB2312" w:hAnsi="宋体" w:eastAsia="仿宋_GB2312" w:cs="宋体"/>
                <w:color w:val="000000"/>
                <w:kern w:val="0"/>
                <w:sz w:val="28"/>
                <w:szCs w:val="28"/>
              </w:rPr>
              <w:t>经费（商品和服务支出）（按政府预算经济分类）</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13、一般公共预算基本支出表-</w:t>
            </w:r>
            <w:r>
              <w:rPr>
                <w:rFonts w:hint="eastAsia" w:ascii="仿宋_GB2312" w:hAnsi="宋体" w:eastAsia="仿宋_GB2312" w:cs="宋体"/>
                <w:color w:val="000000"/>
                <w:kern w:val="0"/>
                <w:sz w:val="28"/>
                <w:szCs w:val="28"/>
                <w:lang w:val="en-US" w:eastAsia="zh-CN"/>
              </w:rPr>
              <w:t>公用</w:t>
            </w:r>
            <w:bookmarkStart w:id="0" w:name="_GoBack"/>
            <w:bookmarkEnd w:id="0"/>
            <w:r>
              <w:rPr>
                <w:rFonts w:hint="eastAsia" w:ascii="仿宋_GB2312" w:hAnsi="宋体" w:eastAsia="仿宋_GB2312" w:cs="宋体"/>
                <w:color w:val="000000"/>
                <w:kern w:val="0"/>
                <w:sz w:val="28"/>
                <w:szCs w:val="28"/>
              </w:rPr>
              <w:t>经费（商品和服务支出）（按部门预算经济分类）</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14、一般公共预算“三公”经费支出表</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15、政府性基金预算支出表</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16、政府性基金预算支出分类汇总表（按政府预算经济分类）</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17、政府性基金预算支出分类汇总表（按部门预算经济分类）</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18、国有资本经营预算支出表</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19、财政专户管理资金预算支出表</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20、专项资金预算汇总表</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21、项目支出绩效目标表</w:t>
            </w:r>
          </w:p>
          <w:p>
            <w:pPr>
              <w:widowControl/>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22、整体支出绩效目标表</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lang w:val="en-US" w:eastAsia="zh-CN"/>
              </w:rPr>
              <w:t>23、一般公共预算基本支出表</w:t>
            </w:r>
          </w:p>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注：以上单位预算公开报表中，空表表示本单位无相关收支情况。</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yNTA4MzYzMjZhZWYzN2MyMTVkZDY3ZGUwNjQ0Y2IifQ=="/>
  </w:docVars>
  <w:rsids>
    <w:rsidRoot w:val="007637EB"/>
    <w:rsid w:val="005005AD"/>
    <w:rsid w:val="007637EB"/>
    <w:rsid w:val="159E09E1"/>
    <w:rsid w:val="21E96BE2"/>
    <w:rsid w:val="24383AC7"/>
    <w:rsid w:val="252E11D6"/>
    <w:rsid w:val="44883945"/>
    <w:rsid w:val="4ADD28AF"/>
    <w:rsid w:val="78763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9</Pages>
  <Words>3469</Words>
  <Characters>3733</Characters>
  <Lines>27</Lines>
  <Paragraphs>7</Paragraphs>
  <TotalTime>0</TotalTime>
  <ScaleCrop>false</ScaleCrop>
  <LinksUpToDate>false</LinksUpToDate>
  <CharactersWithSpaces>3813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2023-06-05T07:15:00Z</dcterms:created>
  <dc:creator>微软用户</dc:creator>
  <cp:lastModifiedBy>晨煜鲤</cp:lastModifiedBy>
  <dcterms:modified xsi:type="dcterms:W3CDTF">2023-09-22T08:38:27Z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5F23BA4428C94F2E8CE9CE98FC7FED55_12</vt:lpwstr>
  </property>
</Properties>
</file>