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ind w:firstLine="1680"/>
        <w:jc w:val="center"/>
        <w:rPr>
          <w:sz w:val="84"/>
          <w:szCs w:val="84"/>
        </w:rPr>
      </w:pPr>
      <w:r>
        <w:rPr>
          <w:rFonts w:hint="eastAsia"/>
          <w:sz w:val="84"/>
          <w:szCs w:val="84"/>
        </w:rPr>
        <w:t>2021年度</w:t>
      </w:r>
    </w:p>
    <w:p>
      <w:pPr>
        <w:pStyle w:val="9"/>
        <w:ind w:firstLine="1680"/>
        <w:jc w:val="center"/>
        <w:rPr>
          <w:sz w:val="84"/>
          <w:szCs w:val="84"/>
        </w:rPr>
      </w:pPr>
      <w:r>
        <w:rPr>
          <w:rFonts w:hint="eastAsia"/>
          <w:sz w:val="84"/>
          <w:szCs w:val="84"/>
        </w:rPr>
        <w:t>岳阳市建设工程质量检测中心部门决算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480" w:lineRule="exact"/>
        <w:jc w:val="center"/>
        <w:rPr>
          <w:b/>
          <w:sz w:val="36"/>
          <w:szCs w:val="28"/>
        </w:rPr>
      </w:pPr>
      <w:r>
        <w:rPr>
          <w:rFonts w:hint="eastAsia"/>
          <w:b/>
          <w:sz w:val="36"/>
          <w:szCs w:val="28"/>
        </w:rPr>
        <w:t>目录</w:t>
      </w:r>
    </w:p>
    <w:p>
      <w:pPr>
        <w:pStyle w:val="9"/>
        <w:spacing w:line="480" w:lineRule="exact"/>
        <w:rPr>
          <w:rFonts w:ascii="仿宋_GB2312" w:hAnsi="仿宋_GB2312" w:cs="仿宋_GB2312"/>
          <w:b/>
          <w:sz w:val="28"/>
          <w:szCs w:val="28"/>
        </w:rPr>
      </w:pPr>
      <w:r>
        <w:rPr>
          <w:rFonts w:hint="eastAsia"/>
          <w:b/>
          <w:sz w:val="28"/>
          <w:szCs w:val="28"/>
        </w:rPr>
        <w:t>第一部分  岳阳市建设工程质量检测中心单位概况</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480" w:lineRule="exact"/>
        <w:ind w:firstLine="700" w:firstLineChars="250"/>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9"/>
        <w:spacing w:line="48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21年度部门决算表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48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480" w:lineRule="exact"/>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21年度部门决算情况说明</w:t>
      </w:r>
    </w:p>
    <w:p>
      <w:pPr>
        <w:pStyle w:val="9"/>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8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sz w:val="28"/>
          <w:szCs w:val="28"/>
        </w:rPr>
        <w:t>国有资本经营预算财政拨款支出决算情况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480" w:lineRule="exact"/>
        <w:ind w:firstLine="700" w:firstLineChars="250"/>
        <w:jc w:val="left"/>
        <w:rPr>
          <w:rFonts w:ascii="仿宋_GB2312" w:hAnsi="仿宋_GB2312" w:cs="仿宋_GB2312"/>
          <w:sz w:val="28"/>
          <w:szCs w:val="28"/>
        </w:rPr>
      </w:pPr>
      <w:r>
        <w:rPr>
          <w:rFonts w:hint="eastAsia" w:ascii="仿宋_GB2312" w:hAnsi="仿宋_GB2312" w:cs="仿宋_GB2312"/>
          <w:sz w:val="28"/>
          <w:szCs w:val="28"/>
        </w:rPr>
        <w:t>十二、</w:t>
      </w:r>
      <w:r>
        <w:rPr>
          <w:rFonts w:hint="eastAsia" w:ascii="仿宋_GB2312" w:hAnsi="仿宋_GB2312" w:cs="仿宋_GB2312"/>
          <w:color w:val="000000"/>
          <w:kern w:val="0"/>
          <w:sz w:val="28"/>
          <w:szCs w:val="28"/>
        </w:rPr>
        <w:t>政府采购支出说明</w:t>
      </w:r>
    </w:p>
    <w:p>
      <w:pPr>
        <w:pStyle w:val="9"/>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9"/>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8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xml:space="preserve">  </w:t>
      </w:r>
      <w:r>
        <w:rPr>
          <w:rFonts w:ascii="黑体" w:hAnsi="黑体" w:eastAsia="黑体" w:cs="黑体"/>
          <w:b/>
          <w:color w:val="000000"/>
          <w:kern w:val="0"/>
          <w:sz w:val="28"/>
          <w:szCs w:val="28"/>
        </w:rPr>
        <w:t>名词解释</w:t>
      </w:r>
    </w:p>
    <w:p>
      <w:pPr>
        <w:autoSpaceDE w:val="0"/>
        <w:autoSpaceDN w:val="0"/>
        <w:adjustRightInd w:val="0"/>
        <w:spacing w:line="48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  附件</w:t>
      </w:r>
    </w:p>
    <w:p>
      <w:pPr>
        <w:spacing w:line="620" w:lineRule="exact"/>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rFonts w:hint="eastAsia"/>
          <w:sz w:val="84"/>
          <w:szCs w:val="84"/>
        </w:rPr>
      </w:pPr>
      <w:r>
        <w:rPr>
          <w:rFonts w:hint="eastAsia"/>
          <w:sz w:val="84"/>
          <w:szCs w:val="84"/>
        </w:rPr>
        <w:br w:type="page"/>
      </w:r>
    </w:p>
    <w:p>
      <w:pPr>
        <w:pStyle w:val="9"/>
        <w:ind w:firstLine="1680"/>
        <w:jc w:val="center"/>
        <w:rPr>
          <w:rFonts w:hint="eastAsia"/>
          <w:sz w:val="84"/>
          <w:szCs w:val="84"/>
        </w:rPr>
      </w:pPr>
    </w:p>
    <w:p>
      <w:pPr>
        <w:pStyle w:val="9"/>
        <w:ind w:firstLine="1680"/>
        <w:jc w:val="center"/>
        <w:rPr>
          <w:rFonts w:hint="eastAsia"/>
          <w:sz w:val="84"/>
          <w:szCs w:val="84"/>
        </w:rPr>
      </w:pPr>
    </w:p>
    <w:p>
      <w:pPr>
        <w:pStyle w:val="9"/>
        <w:ind w:firstLine="1680"/>
        <w:jc w:val="center"/>
        <w:rPr>
          <w:rFonts w:hint="eastAsia"/>
          <w:sz w:val="84"/>
          <w:szCs w:val="84"/>
        </w:rPr>
      </w:pPr>
    </w:p>
    <w:p>
      <w:pPr>
        <w:pStyle w:val="9"/>
        <w:ind w:firstLine="1680"/>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ind w:firstLine="1680"/>
        <w:jc w:val="center"/>
        <w:rPr>
          <w:sz w:val="84"/>
          <w:szCs w:val="84"/>
        </w:rPr>
      </w:pPr>
      <w:r>
        <w:rPr>
          <w:rFonts w:hint="eastAsia"/>
          <w:sz w:val="84"/>
          <w:szCs w:val="84"/>
        </w:rPr>
        <w:t>岳阳市建设工程质量检测中心单位概况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asciiTheme="minorEastAsia" w:hAnsiTheme="minorEastAsia"/>
          <w:sz w:val="32"/>
          <w:szCs w:val="32"/>
        </w:rPr>
      </w:pPr>
      <w:r>
        <w:rPr>
          <w:rFonts w:asciiTheme="minorEastAsia" w:hAnsiTheme="minorEastAsia"/>
          <w:sz w:val="32"/>
          <w:szCs w:val="32"/>
        </w:rPr>
        <w:br w:type="page"/>
      </w:r>
    </w:p>
    <w:p>
      <w:pPr>
        <w:pStyle w:val="10"/>
        <w:numPr>
          <w:ilvl w:val="0"/>
          <w:numId w:val="1"/>
        </w:numPr>
        <w:ind w:firstLineChars="0"/>
        <w:jc w:val="left"/>
        <w:rPr>
          <w:rFonts w:asciiTheme="minorEastAsia" w:hAnsiTheme="minorEastAsia"/>
          <w:sz w:val="32"/>
          <w:szCs w:val="32"/>
        </w:rPr>
      </w:pPr>
      <w:r>
        <w:rPr>
          <w:rFonts w:asciiTheme="minorEastAsia" w:hAnsiTheme="minorEastAsia"/>
          <w:sz w:val="32"/>
          <w:szCs w:val="32"/>
        </w:rPr>
        <w:t>部门职责</w:t>
      </w:r>
    </w:p>
    <w:p>
      <w:pPr>
        <w:pStyle w:val="10"/>
        <w:widowControl/>
        <w:shd w:val="clear" w:color="auto" w:fill="FFFFFF"/>
        <w:spacing w:line="450" w:lineRule="atLeast"/>
        <w:ind w:left="720" w:firstLine="640"/>
        <w:jc w:val="left"/>
        <w:rPr>
          <w:rFonts w:cs="宋体" w:asciiTheme="minorEastAsia" w:hAnsiTheme="minorEastAsia"/>
          <w:color w:val="333333"/>
          <w:kern w:val="0"/>
          <w:sz w:val="32"/>
          <w:szCs w:val="32"/>
        </w:rPr>
      </w:pPr>
      <w:r>
        <w:rPr>
          <w:rFonts w:hint="eastAsia" w:cs="宋体" w:asciiTheme="minorEastAsia" w:hAnsiTheme="minorEastAsia"/>
          <w:color w:val="333333"/>
          <w:kern w:val="0"/>
          <w:sz w:val="32"/>
          <w:szCs w:val="32"/>
        </w:rPr>
        <w:t>岳阳市建设工程质量检测中心，成立于1992年6月，属自收自支公益二类事业单位，承担市主城区（含岳阳楼、岳阳经济技术开发区、城陵矶新港区、南湖新区）政府监督抽检的公益性事务工作。配合市住建局相关科室和部门做好全市（含县市区）检测机构年度核查技术支撑工作，承担本地区“两工地”塔式机起重机、施工升降机安全检测、房屋建设工程和市政设施防雷装置检测工作。</w:t>
      </w:r>
    </w:p>
    <w:p>
      <w:pPr>
        <w:ind w:firstLine="800" w:firstLineChars="250"/>
        <w:jc w:val="left"/>
        <w:rPr>
          <w:rFonts w:asciiTheme="minorEastAsia" w:hAnsiTheme="minorEastAsia"/>
          <w:sz w:val="32"/>
          <w:szCs w:val="32"/>
        </w:rPr>
      </w:pPr>
    </w:p>
    <w:p>
      <w:pPr>
        <w:widowControl/>
        <w:shd w:val="clear" w:color="auto" w:fill="FFFFFF"/>
        <w:spacing w:line="450" w:lineRule="atLeast"/>
        <w:jc w:val="left"/>
        <w:rPr>
          <w:rFonts w:cs="宋体" w:asciiTheme="minorEastAsia" w:hAnsiTheme="minorEastAsia"/>
          <w:color w:val="333333"/>
          <w:kern w:val="0"/>
          <w:szCs w:val="21"/>
        </w:rPr>
      </w:pPr>
      <w:r>
        <w:rPr>
          <w:rFonts w:asciiTheme="minorEastAsia" w:hAnsiTheme="minorEastAsia"/>
          <w:color w:val="333333"/>
          <w:kern w:val="0"/>
          <w:sz w:val="32"/>
          <w:szCs w:val="32"/>
        </w:rPr>
        <w:t>二、机构设置及决算单位构成</w:t>
      </w:r>
    </w:p>
    <w:p>
      <w:pPr>
        <w:autoSpaceDE w:val="0"/>
        <w:autoSpaceDN w:val="0"/>
        <w:adjustRightInd w:val="0"/>
        <w:spacing w:line="520" w:lineRule="exact"/>
        <w:ind w:firstLine="640"/>
        <w:rPr>
          <w:rFonts w:asciiTheme="minorEastAsia" w:hAnsiTheme="minorEastAsia"/>
          <w:sz w:val="32"/>
          <w:szCs w:val="32"/>
        </w:rPr>
      </w:pPr>
      <w:r>
        <w:rPr>
          <w:rFonts w:hint="eastAsia" w:cs="宋体" w:asciiTheme="minorEastAsia" w:hAnsiTheme="minorEastAsia"/>
          <w:b/>
          <w:bCs/>
          <w:color w:val="333333"/>
          <w:kern w:val="0"/>
          <w:sz w:val="32"/>
          <w:szCs w:val="32"/>
        </w:rPr>
        <w:t>（一）内设机构设置。</w:t>
      </w:r>
      <w:r>
        <w:rPr>
          <w:rFonts w:cs="仿宋" w:asciiTheme="minorEastAsia" w:hAnsiTheme="minorEastAsia"/>
          <w:sz w:val="32"/>
          <w:szCs w:val="32"/>
        </w:rPr>
        <w:t>202</w:t>
      </w:r>
      <w:r>
        <w:rPr>
          <w:rFonts w:hint="eastAsia" w:cs="仿宋" w:asciiTheme="minorEastAsia" w:hAnsiTheme="minorEastAsia"/>
          <w:sz w:val="32"/>
          <w:szCs w:val="32"/>
          <w:lang w:val="en-US" w:eastAsia="zh-CN"/>
        </w:rPr>
        <w:t>1</w:t>
      </w:r>
      <w:r>
        <w:rPr>
          <w:rFonts w:hint="eastAsia" w:cs="仿宋" w:asciiTheme="minorEastAsia" w:hAnsiTheme="minorEastAsia"/>
          <w:sz w:val="32"/>
          <w:szCs w:val="32"/>
        </w:rPr>
        <w:t>年本单位内设机构</w:t>
      </w:r>
      <w:r>
        <w:rPr>
          <w:rFonts w:cs="仿宋" w:asciiTheme="minorEastAsia" w:hAnsiTheme="minorEastAsia"/>
          <w:sz w:val="32"/>
          <w:szCs w:val="32"/>
        </w:rPr>
        <w:t>5</w:t>
      </w:r>
      <w:r>
        <w:rPr>
          <w:rFonts w:hint="eastAsia" w:cs="仿宋" w:asciiTheme="minorEastAsia" w:hAnsiTheme="minorEastAsia"/>
          <w:sz w:val="32"/>
          <w:szCs w:val="32"/>
        </w:rPr>
        <w:t>个：办公室、综合室、主任室、安检室、防雷室。</w:t>
      </w:r>
    </w:p>
    <w:p>
      <w:pPr>
        <w:autoSpaceDE w:val="0"/>
        <w:autoSpaceDN w:val="0"/>
        <w:adjustRightInd w:val="0"/>
        <w:spacing w:line="520" w:lineRule="exact"/>
        <w:rPr>
          <w:rFonts w:cs="仿宋" w:asciiTheme="minorEastAsia" w:hAnsiTheme="minorEastAsia"/>
          <w:sz w:val="32"/>
          <w:szCs w:val="32"/>
        </w:rPr>
      </w:pPr>
    </w:p>
    <w:p>
      <w:pPr>
        <w:widowControl/>
        <w:shd w:val="clear" w:color="auto" w:fill="FFFFFF"/>
        <w:spacing w:line="450" w:lineRule="atLeast"/>
        <w:ind w:firstLine="624"/>
        <w:jc w:val="left"/>
        <w:rPr>
          <w:rFonts w:cs="宋体" w:asciiTheme="minorEastAsia" w:hAnsiTheme="minorEastAsia"/>
          <w:color w:val="333333"/>
          <w:kern w:val="0"/>
          <w:szCs w:val="21"/>
        </w:rPr>
      </w:pPr>
      <w:r>
        <w:rPr>
          <w:rFonts w:hint="eastAsia" w:cs="宋体" w:asciiTheme="minorEastAsia" w:hAnsiTheme="minorEastAsia"/>
          <w:b/>
          <w:bCs/>
          <w:color w:val="333333"/>
          <w:kern w:val="0"/>
          <w:sz w:val="32"/>
          <w:szCs w:val="32"/>
        </w:rPr>
        <w:t>（二）决算单位构成。</w:t>
      </w:r>
      <w:r>
        <w:rPr>
          <w:rFonts w:hint="eastAsia" w:asciiTheme="minorEastAsia" w:hAnsiTheme="minorEastAsia"/>
          <w:color w:val="000000"/>
          <w:kern w:val="0"/>
          <w:sz w:val="32"/>
          <w:szCs w:val="32"/>
        </w:rPr>
        <w:t>岳阳市建设工程质量检测中心2021年部门决算公开单位构成包括单位本级，无下属单位。</w:t>
      </w: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widowControl/>
        <w:spacing w:line="600" w:lineRule="exact"/>
        <w:ind w:firstLine="640" w:firstLineChars="200"/>
        <w:rPr>
          <w:rFonts w:asciiTheme="minorEastAsia" w:hAnsiTheme="minorEastAsia"/>
          <w:bCs/>
          <w:i/>
          <w:i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（见附件）</w:t>
      </w: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jc w:val="both"/>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2021年度收、支总计594.41万元。与上年相比，减少128.43万元，减少17.76%，主要是因为2021年年初结余234.09万元，作为了2021年的费用支出。</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2021年度收入合计360.32万元，其中：财政拨款收入360.32万元，占100%；上级补助收入0万元，占0%；事业收入0万元，占0%；经营收入0万元，占0%；附属单位上缴收入0万元，占0%；其他收入0万元，占0%。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2021年度支出合计594.41万元，其中：基本支出594.41万元，占100%；项目支出0万元，占0%；上缴上级支出0万元，占0%；经营支出0万元，占0%；对附属单位补助支出0万元，占0%。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2021年度财政拨款收、支总计594.41万元，与上年相比，减少128.43万元,减少17.76%，主要是因为2021年年初结余234.09万元，作为了2021年的费用支出，故财政拨款收入减少。</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2021年度财政拨款支出594.41万元，占本年支出合计的100%，与上年相比，财政拨款支出增加106.05万元，增长21.72%，主要是因为人员经费增加。</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2021年度财政拨款支出594.41万元，主要用于以下方面：城乡社区支出96.40万元，占16.22%；资源勘探工业信息等支出331.17万元，占55.71%；其他支出166.84万元，占28.07%。</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2021年度财政拨款支出年初预算数为648.50万元，支出决算数为594.41万元，完成年初预算的91.66%，其中：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1、资源勘探工业信息等支出（类）建筑业（款）机关服务（项）。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年初预算为648.50万元，支出决算为331.17万元，完成年初预算的5</w:t>
      </w:r>
      <w:r>
        <w:rPr>
          <w:rFonts w:hint="eastAsia" w:asciiTheme="minorEastAsia" w:hAnsiTheme="minorEastAsia" w:eastAsiaTheme="minorEastAsia"/>
          <w:sz w:val="32"/>
          <w:szCs w:val="32"/>
          <w:lang w:val="en-US" w:eastAsia="zh-CN"/>
        </w:rPr>
        <w:t>1.07</w:t>
      </w:r>
      <w:r>
        <w:rPr>
          <w:rFonts w:hint="eastAsia" w:asciiTheme="minorEastAsia" w:hAnsiTheme="minorEastAsia" w:eastAsiaTheme="minorEastAsia"/>
          <w:sz w:val="32"/>
          <w:szCs w:val="32"/>
        </w:rPr>
        <w:t>%，决算数小于年初预算数的主要原因是：下达指标迟，指标未</w:t>
      </w:r>
      <w:r>
        <w:rPr>
          <w:rFonts w:hint="eastAsia" w:asciiTheme="minorEastAsia" w:hAnsiTheme="minorEastAsia" w:eastAsiaTheme="minorEastAsia"/>
          <w:sz w:val="32"/>
          <w:szCs w:val="32"/>
          <w:lang w:eastAsia="zh-CN"/>
        </w:rPr>
        <w:t>及时</w:t>
      </w:r>
      <w:r>
        <w:rPr>
          <w:rFonts w:hint="eastAsia" w:asciiTheme="minorEastAsia" w:hAnsiTheme="minorEastAsia" w:eastAsiaTheme="minorEastAsia"/>
          <w:sz w:val="32"/>
          <w:szCs w:val="32"/>
        </w:rPr>
        <w:t>用完。</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2、城乡社区支出（类）城乡社区管理事务（款）一般行政管理事务（项）。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年初预算为0万元，支出决算为96.40万元，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决算数大于年初预算数的主要原因是：部分使用上</w:t>
      </w:r>
      <w:r>
        <w:rPr>
          <w:rFonts w:hint="eastAsia" w:asciiTheme="minorEastAsia" w:hAnsiTheme="minorEastAsia" w:eastAsiaTheme="minorEastAsia"/>
          <w:sz w:val="32"/>
          <w:szCs w:val="32"/>
          <w:lang w:eastAsia="zh-CN"/>
        </w:rPr>
        <w:t>年</w:t>
      </w:r>
      <w:r>
        <w:rPr>
          <w:rFonts w:hint="eastAsia" w:asciiTheme="minorEastAsia" w:hAnsiTheme="minorEastAsia" w:eastAsiaTheme="minorEastAsia"/>
          <w:sz w:val="32"/>
          <w:szCs w:val="32"/>
        </w:rPr>
        <w:t>结余 ，部分使用追加指标。</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3、其他支出（类）其他支出（款）其他支出（项）。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年初预算为0万元，支出决算为166.84万元，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决算数大于年初预算数的主要原因是：使用上年结余。</w:t>
      </w:r>
    </w:p>
    <w:p>
      <w:pPr>
        <w:pStyle w:val="9"/>
        <w:ind w:firstLine="800" w:firstLineChars="25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2021年度财政拨款基本支出594.41万元，其中：人员经费569.42万元，占基本支出的95.79%,主要包括主要包括基本工资、津贴补贴、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24.99万元，占基本支出的4.21%，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其中：</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决算数与预算数一致无差异，</w:t>
      </w:r>
      <w:r>
        <w:rPr>
          <w:rFonts w:hint="eastAsia" w:ascii="宋体" w:hAnsi="宋体" w:eastAsia="宋体"/>
          <w:bCs/>
          <w:sz w:val="32"/>
          <w:szCs w:val="32"/>
        </w:rPr>
        <w:t>主要原因是单位无因公出国（境）预算安排和支出，与上年相比无增减变化，主要原因是单位近两年均无因公出国（境）预算安排和支出。</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决算数与预算数一致无差异，</w:t>
      </w:r>
      <w:r>
        <w:rPr>
          <w:rFonts w:hint="eastAsia" w:ascii="宋体" w:hAnsi="宋体" w:eastAsia="宋体"/>
          <w:bCs/>
          <w:sz w:val="32"/>
          <w:szCs w:val="32"/>
        </w:rPr>
        <w:t>主要原因是单位厉行节约，严控公务接待，与上年相比无增减变化，主要原因是单位一直厉行节约，严控公务接待。</w:t>
      </w:r>
    </w:p>
    <w:p>
      <w:pPr>
        <w:keepNext/>
        <w:keepLines/>
        <w:autoSpaceDE w:val="0"/>
        <w:autoSpaceDN w:val="0"/>
        <w:adjustRightInd w:val="0"/>
        <w:spacing w:line="560" w:lineRule="exact"/>
        <w:ind w:firstLine="640"/>
        <w:rPr>
          <w:rFonts w:ascii="宋体" w:hAnsi="Times New Roman" w:eastAsia="宋体"/>
          <w:sz w:val="32"/>
          <w:highlight w:val="white"/>
          <w:lang w:val="zh-CN"/>
        </w:rPr>
      </w:pPr>
      <w:r>
        <w:rPr>
          <w:rFonts w:hint="eastAsia" w:ascii="宋体" w:hAnsi="Times New Roman" w:eastAsia="宋体"/>
          <w:color w:val="000000"/>
          <w:sz w:val="32"/>
          <w:highlight w:val="white"/>
        </w:rPr>
        <w:t>公务用车购置费支出预算为0万元，支出决算为0万元，</w:t>
      </w:r>
      <w:r>
        <w:rPr>
          <w:rFonts w:hint="eastAsia" w:asciiTheme="minorEastAsia" w:hAnsiTheme="minorEastAsia" w:eastAsiaTheme="minorEastAsia"/>
          <w:sz w:val="32"/>
          <w:szCs w:val="32"/>
        </w:rPr>
        <w:t>由于预算数为0，无法计算百分比</w:t>
      </w:r>
      <w:r>
        <w:rPr>
          <w:rFonts w:hint="eastAsia" w:asciiTheme="minorEastAsia" w:hAnsiTheme="minorEastAsia"/>
          <w:sz w:val="32"/>
          <w:szCs w:val="32"/>
          <w:lang w:eastAsia="zh-CN"/>
        </w:rPr>
        <w:t>，</w:t>
      </w:r>
      <w:r>
        <w:rPr>
          <w:rFonts w:hint="eastAsia" w:ascii="宋体" w:hAnsi="Times New Roman" w:eastAsia="宋体"/>
          <w:color w:val="000000"/>
          <w:sz w:val="32"/>
          <w:highlight w:val="white"/>
        </w:rPr>
        <w:t>决算数与预算数一致无差异，主要原因是单位无</w:t>
      </w:r>
      <w:r>
        <w:rPr>
          <w:rFonts w:hint="eastAsia" w:ascii="宋体" w:hAnsi="Times New Roman" w:eastAsia="宋体"/>
          <w:color w:val="000000"/>
          <w:sz w:val="32"/>
          <w:highlight w:val="white"/>
          <w:lang w:val="zh-CN"/>
        </w:rPr>
        <w:t>公务用车购置安排。</w:t>
      </w:r>
      <w:r>
        <w:rPr>
          <w:rFonts w:hint="eastAsia" w:ascii="宋体" w:hAnsi="Times New Roman" w:eastAsia="宋体"/>
          <w:sz w:val="32"/>
          <w:highlight w:val="white"/>
        </w:rPr>
        <w:t>与上年相比无增减变化，主要原因是单位近两年均</w:t>
      </w:r>
      <w:r>
        <w:rPr>
          <w:rFonts w:hint="eastAsia" w:ascii="宋体" w:hAnsi="Times New Roman" w:eastAsia="宋体"/>
          <w:color w:val="000000"/>
          <w:sz w:val="32"/>
          <w:highlight w:val="white"/>
        </w:rPr>
        <w:t>无</w:t>
      </w:r>
      <w:r>
        <w:rPr>
          <w:rFonts w:hint="eastAsia" w:ascii="宋体" w:hAnsi="Times New Roman" w:eastAsia="宋体"/>
          <w:color w:val="000000"/>
          <w:sz w:val="32"/>
          <w:highlight w:val="white"/>
          <w:lang w:val="zh-CN"/>
        </w:rPr>
        <w:t>公务用车购置安排。</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宋体" w:hAnsi="Times New Roman" w:eastAsia="宋体"/>
          <w:sz w:val="32"/>
          <w:highlight w:val="white"/>
        </w:rPr>
        <w:t>决算数与预算数一致无差异，</w:t>
      </w:r>
      <w:r>
        <w:rPr>
          <w:rFonts w:hint="eastAsia" w:asciiTheme="minorEastAsia" w:hAnsiTheme="minorEastAsia" w:eastAsiaTheme="minorEastAsia"/>
          <w:sz w:val="32"/>
          <w:szCs w:val="32"/>
        </w:rPr>
        <w:t>主要原因是单位无公务用车，与上年相比</w:t>
      </w:r>
      <w:r>
        <w:rPr>
          <w:rFonts w:hint="eastAsia" w:ascii="宋体" w:hAnsi="Times New Roman" w:eastAsia="宋体"/>
          <w:sz w:val="32"/>
          <w:highlight w:val="white"/>
        </w:rPr>
        <w:t>无增减变化，</w:t>
      </w:r>
      <w:r>
        <w:rPr>
          <w:rFonts w:hint="eastAsia" w:asciiTheme="minorEastAsia" w:hAnsiTheme="minorEastAsia" w:eastAsiaTheme="minorEastAsia"/>
          <w:sz w:val="32"/>
          <w:szCs w:val="32"/>
        </w:rPr>
        <w:t>主要原因是单位无公务用车。</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1、因公出国（境）费支出决算为0万元，全年安排因公出国（境）团组0个，累计0人次，全年未作出因公出国（境）公务安排。</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2、公务接待费支出决算为0万元，全年共接待来访团组0个、来宾0人次，全年没有发生公务接待活动。</w:t>
      </w:r>
    </w:p>
    <w:p>
      <w:pPr>
        <w:ind w:firstLine="800" w:firstLineChars="250"/>
        <w:rPr>
          <w:rFonts w:asciiTheme="minorEastAsia" w:hAnsiTheme="minorEastAsia"/>
          <w:sz w:val="32"/>
          <w:szCs w:val="32"/>
        </w:rPr>
      </w:pPr>
      <w:r>
        <w:rPr>
          <w:rFonts w:hint="eastAsia" w:asciiTheme="minorEastAsia" w:hAnsiTheme="minorEastAsia"/>
          <w:sz w:val="32"/>
          <w:szCs w:val="32"/>
        </w:rPr>
        <w:t>3、公务用车购置费及运行维护费支出决算为0万元，其中：公务用车购置费0万元，单位本级更新公务用车0辆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公务用车运行维护费0万元，截止2021年12月31日，我单位开支财政拨款的公务用车保有量为0辆，当年没有购置公务用车。</w:t>
      </w:r>
    </w:p>
    <w:p>
      <w:pPr>
        <w:pStyle w:val="9"/>
        <w:rPr>
          <w:rFonts w:hAnsi="黑体"/>
          <w:b/>
          <w:sz w:val="32"/>
          <w:szCs w:val="32"/>
        </w:rPr>
      </w:pPr>
      <w:r>
        <w:rPr>
          <w:rFonts w:hint="eastAsia" w:hAnsi="黑体"/>
          <w:b/>
          <w:sz w:val="32"/>
          <w:szCs w:val="32"/>
        </w:rPr>
        <w:t>八、政府性基金预算收入支出决算情况</w:t>
      </w:r>
    </w:p>
    <w:p>
      <w:pPr>
        <w:pStyle w:val="9"/>
        <w:ind w:firstLine="640" w:firstLineChars="200"/>
        <w:rPr>
          <w:rFonts w:cs="Times New Roman" w:asciiTheme="minorEastAsia" w:hAnsiTheme="minorEastAsia" w:eastAsiaTheme="minorEastAsia"/>
          <w:color w:val="auto"/>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r>
        <w:rPr>
          <w:rFonts w:hint="eastAsia" w:ascii="宋体" w:hAnsi="宋体" w:eastAsia="宋体" w:cs="Times New Roman"/>
          <w:color w:val="auto"/>
          <w:sz w:val="32"/>
          <w:szCs w:val="32"/>
        </w:rPr>
        <w:t>因本单位无政府性基金收支</w:t>
      </w:r>
      <w:r>
        <w:rPr>
          <w:rFonts w:hint="eastAsia" w:cs="Times New Roman" w:asciiTheme="minorEastAsia" w:hAnsiTheme="minorEastAsia" w:eastAsiaTheme="minorEastAsia"/>
          <w:color w:val="auto"/>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年初预算为0万元，支出决算为0万元，完成年初预算的0%。</w:t>
      </w:r>
    </w:p>
    <w:p>
      <w:pPr>
        <w:pStyle w:val="9"/>
        <w:rPr>
          <w:rFonts w:hAnsi="黑体"/>
          <w:b/>
          <w:sz w:val="32"/>
          <w:szCs w:val="32"/>
        </w:rPr>
      </w:pPr>
      <w:r>
        <w:rPr>
          <w:rFonts w:hint="eastAsia" w:hAnsi="黑体"/>
          <w:b/>
          <w:sz w:val="32"/>
          <w:szCs w:val="32"/>
        </w:rPr>
        <w:t>九、国有资本经营预算财政拨款支出决算情况</w:t>
      </w:r>
    </w:p>
    <w:p>
      <w:pPr>
        <w:pStyle w:val="9"/>
        <w:ind w:firstLine="640" w:firstLineChars="200"/>
        <w:rPr>
          <w:rFonts w:hAnsi="黑体"/>
          <w:b/>
          <w:sz w:val="32"/>
          <w:szCs w:val="32"/>
        </w:rPr>
      </w:pPr>
      <w:r>
        <w:rPr>
          <w:rFonts w:hint="eastAsia" w:asciiTheme="minorEastAsia" w:hAnsiTheme="minorEastAsia" w:eastAsiaTheme="minorEastAsia"/>
          <w:sz w:val="32"/>
          <w:szCs w:val="32"/>
        </w:rPr>
        <w:t>2021年度国有资本经营预算财政拨款支出0万元；基本支出0万元，项目支出0万元，因本单位无国有资本经营预算财政拨款支出。</w:t>
      </w:r>
    </w:p>
    <w:p>
      <w:pPr>
        <w:pStyle w:val="9"/>
        <w:rPr>
          <w:rFonts w:hAnsi="黑体"/>
          <w:b/>
          <w:sz w:val="32"/>
          <w:szCs w:val="32"/>
        </w:rPr>
      </w:pPr>
      <w:r>
        <w:rPr>
          <w:rFonts w:hint="eastAsia" w:hAnsi="黑体"/>
          <w:b/>
          <w:sz w:val="32"/>
          <w:szCs w:val="32"/>
        </w:rPr>
        <w:t>十、机关运行经费支出说明</w:t>
      </w:r>
    </w:p>
    <w:p>
      <w:pPr>
        <w:pStyle w:val="9"/>
        <w:ind w:firstLine="640" w:firstLineChars="200"/>
        <w:rPr>
          <w:rFonts w:ascii="宋体" w:hAnsi="宋体" w:eastAsia="宋体" w:cs="Times New Roman"/>
          <w:color w:val="auto"/>
          <w:sz w:val="32"/>
          <w:szCs w:val="32"/>
        </w:rPr>
      </w:pPr>
      <w:r>
        <w:rPr>
          <w:rFonts w:hint="eastAsia" w:asciiTheme="minorEastAsia" w:hAnsiTheme="minorEastAsia" w:eastAsiaTheme="minorEastAsia"/>
          <w:sz w:val="32"/>
          <w:szCs w:val="32"/>
        </w:rPr>
        <w:t>本部门2021年度机关运行经费支出0万元，</w:t>
      </w:r>
      <w:r>
        <w:rPr>
          <w:rFonts w:hint="eastAsia" w:ascii="宋体" w:hAnsi="宋体" w:eastAsia="宋体" w:cs="Times New Roman"/>
          <w:color w:val="auto"/>
          <w:sz w:val="32"/>
          <w:szCs w:val="32"/>
        </w:rPr>
        <w:t>与年初预算数一致，主要原因是：本单位</w:t>
      </w:r>
      <w:r>
        <w:rPr>
          <w:rFonts w:hint="eastAsia" w:asciiTheme="minorEastAsia" w:hAnsiTheme="minorEastAsia" w:eastAsiaTheme="minorEastAsia"/>
          <w:sz w:val="32"/>
          <w:szCs w:val="32"/>
          <w:lang w:eastAsia="zh-CN"/>
        </w:rPr>
        <w:t>非行政单位和参照公务员法管理事业单位</w:t>
      </w:r>
      <w:r>
        <w:rPr>
          <w:rFonts w:hint="eastAsia" w:ascii="宋体" w:hAnsi="宋体" w:eastAsia="宋体" w:cs="Times New Roman"/>
          <w:color w:val="auto"/>
          <w:sz w:val="32"/>
          <w:szCs w:val="32"/>
        </w:rPr>
        <w:t>。</w:t>
      </w:r>
    </w:p>
    <w:p>
      <w:pPr>
        <w:pStyle w:val="9"/>
        <w:rPr>
          <w:rFonts w:hAnsi="黑体"/>
          <w:b/>
          <w:sz w:val="32"/>
          <w:szCs w:val="32"/>
        </w:rPr>
      </w:pPr>
      <w:r>
        <w:rPr>
          <w:rFonts w:hint="eastAsia" w:hAnsi="黑体"/>
          <w:b/>
          <w:sz w:val="32"/>
          <w:szCs w:val="32"/>
        </w:rPr>
        <w:t>十一、一般性支出情况说明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2021年本部门开支会议费0万元，未召开会议，人数0人，无会议内容；开支培训费0万元，未开展培训，人数0人，无培训内容；未举办节庆、晚会、论坛、赛事活动，开支0万元。</w:t>
      </w:r>
    </w:p>
    <w:p>
      <w:pPr>
        <w:pStyle w:val="9"/>
        <w:rPr>
          <w:rFonts w:hAnsi="黑体"/>
          <w:b/>
          <w:sz w:val="32"/>
          <w:szCs w:val="32"/>
        </w:rPr>
      </w:pPr>
      <w:r>
        <w:rPr>
          <w:rFonts w:hint="eastAsia" w:hAnsi="黑体"/>
          <w:b/>
          <w:sz w:val="32"/>
          <w:szCs w:val="32"/>
        </w:rPr>
        <w:t>十二、政府采购支出说明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9"/>
        <w:rPr>
          <w:rFonts w:hAnsi="黑体"/>
          <w:b/>
          <w:sz w:val="32"/>
          <w:szCs w:val="32"/>
        </w:rPr>
      </w:pPr>
      <w:r>
        <w:rPr>
          <w:rFonts w:hint="eastAsia" w:hAnsi="黑体"/>
          <w:b/>
          <w:sz w:val="32"/>
          <w:szCs w:val="32"/>
        </w:rPr>
        <w:t>十三、国有资产占用情况说明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9"/>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根据预算绩效管理要求，我</w:t>
      </w:r>
      <w:r>
        <w:rPr>
          <w:rFonts w:hint="eastAsia" w:ascii="宋体" w:hAnsi="宋体" w:cs="黑体"/>
          <w:color w:val="000000"/>
          <w:kern w:val="0"/>
          <w:sz w:val="32"/>
          <w:szCs w:val="32"/>
          <w:lang w:eastAsia="zh-CN"/>
        </w:rPr>
        <w:t>单位</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年度一般公共预算项目支出全面开展绩效自评，其中，一级项目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个，二级项目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w:t>
      </w:r>
      <w:r>
        <w:rPr>
          <w:rFonts w:hint="eastAsia" w:ascii="宋体" w:hAnsi="宋体" w:cs="黑体"/>
          <w:color w:val="000000"/>
          <w:kern w:val="0"/>
          <w:sz w:val="32"/>
          <w:szCs w:val="32"/>
          <w:lang w:eastAsia="zh-CN"/>
        </w:rPr>
        <w:t>岳阳市建设工程质量检测中心</w:t>
      </w:r>
      <w:r>
        <w:rPr>
          <w:rFonts w:hint="eastAsia" w:ascii="宋体" w:hAnsi="宋体" w:cs="黑体"/>
          <w:color w:val="000000"/>
          <w:kern w:val="0"/>
          <w:sz w:val="32"/>
          <w:szCs w:val="32"/>
        </w:rPr>
        <w:t>等</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 xml:space="preserve"> </w:t>
      </w:r>
      <w:r>
        <w:rPr>
          <w:rFonts w:hint="eastAsia" w:ascii="宋体" w:hAnsi="宋体" w:cs="黑体"/>
          <w:color w:val="000000"/>
          <w:kern w:val="0"/>
          <w:sz w:val="32"/>
          <w:szCs w:val="32"/>
        </w:rPr>
        <w:t>万元，占政府性基金预算项目支出总额的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岳阳市建设工程质量检测中心</w:t>
      </w:r>
      <w:r>
        <w:rPr>
          <w:rFonts w:hint="eastAsia" w:ascii="宋体" w:hAnsi="宋体" w:cs="黑体"/>
          <w:color w:val="000000"/>
          <w:kern w:val="0"/>
          <w:sz w:val="32"/>
          <w:szCs w:val="32"/>
        </w:rPr>
        <w:t>等</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万元，占国有资本经营预算项目支出总额的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岳阳市建设工程质量检测中心</w:t>
      </w:r>
      <w:r>
        <w:rPr>
          <w:rFonts w:hint="eastAsia" w:ascii="宋体" w:hAnsi="宋体" w:cs="黑体"/>
          <w:color w:val="000000"/>
          <w:kern w:val="0"/>
          <w:sz w:val="32"/>
          <w:szCs w:val="32"/>
        </w:rPr>
        <w:t>等</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万元，国有资本经营预算支出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w:t>
      </w:r>
    </w:p>
    <w:p>
      <w:pPr>
        <w:pStyle w:val="9"/>
        <w:ind w:firstLine="640" w:firstLineChars="200"/>
        <w:rPr>
          <w:rFonts w:hint="eastAsia" w:ascii="宋体" w:hAnsi="宋体" w:eastAsia="宋体" w:cs="宋体"/>
          <w:color w:val="000000" w:themeColor="text1"/>
          <w:sz w:val="32"/>
          <w:szCs w:val="32"/>
          <w:lang w:eastAsia="zh-CN"/>
        </w:rPr>
      </w:pPr>
      <w:bookmarkStart w:id="0" w:name="_GoBack"/>
      <w:r>
        <w:rPr>
          <w:rFonts w:hint="eastAsia" w:ascii="宋体" w:hAnsi="宋体" w:cs="黑体" w:eastAsiaTheme="minorEastAsia"/>
          <w:color w:val="000000"/>
          <w:kern w:val="0"/>
          <w:sz w:val="32"/>
          <w:szCs w:val="32"/>
          <w:lang w:val="en-US" w:eastAsia="zh-CN" w:bidi="ar-SA"/>
        </w:rPr>
        <w:t>组织对岳阳市建设工程质量检测中心等1个单位开展整体支出绩效评价，涉及一般公共预算支出594.41万元，政府性基金预算支出0万元。从评价情况来看各项</w:t>
      </w:r>
      <w:bookmarkEnd w:id="0"/>
      <w:r>
        <w:rPr>
          <w:rFonts w:hint="eastAsia" w:ascii="宋体" w:hAnsi="宋体" w:eastAsia="宋体" w:cs="宋体"/>
          <w:color w:val="000000" w:themeColor="text1"/>
          <w:kern w:val="0"/>
          <w:sz w:val="32"/>
          <w:szCs w:val="32"/>
          <w:lang w:val="en-US" w:eastAsia="zh-CN"/>
        </w:rPr>
        <w:t>数量指标完成率均达100%；全年完成非税收入预算指标648.50万元，超收859.56万元，质量指标均达预期目标；各项时效指标均全面及时完成；促进全市房屋安全的质量，为国家房屋的检测，保证房屋质量，安全作出贡献。</w:t>
      </w:r>
    </w:p>
    <w:p>
      <w:pPr>
        <w:autoSpaceDE w:val="0"/>
        <w:autoSpaceDN w:val="0"/>
        <w:adjustRightInd w:val="0"/>
        <w:ind w:firstLine="640" w:firstLineChars="200"/>
        <w:jc w:val="left"/>
        <w:rPr>
          <w:rFonts w:ascii="宋体" w:hAnsi="宋体" w:cs="黑体"/>
          <w:color w:val="000000"/>
          <w:kern w:val="0"/>
          <w:sz w:val="32"/>
          <w:szCs w:val="32"/>
        </w:rPr>
      </w:pP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left"/>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本单位无项目支出，故未开展项目自评，无自评结果。</w:t>
      </w:r>
    </w:p>
    <w:p>
      <w:pPr>
        <w:autoSpaceDE w:val="0"/>
        <w:autoSpaceDN w:val="0"/>
        <w:adjustRightInd w:val="0"/>
        <w:ind w:firstLine="640" w:firstLineChars="200"/>
        <w:jc w:val="left"/>
        <w:rPr>
          <w:rFonts w:hint="eastAsia" w:ascii="宋体" w:hAnsi="宋体" w:cs="黑体"/>
          <w:color w:val="000000"/>
          <w:kern w:val="0"/>
          <w:sz w:val="32"/>
          <w:szCs w:val="32"/>
          <w:lang w:eastAsia="zh-CN"/>
        </w:rPr>
      </w:pP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rPr>
          <w:sz w:val="32"/>
          <w:szCs w:val="32"/>
        </w:rPr>
      </w:pPr>
      <w:r>
        <w:rPr>
          <w:rFonts w:hint="eastAsia"/>
          <w:sz w:val="32"/>
          <w:szCs w:val="32"/>
          <w:lang w:eastAsia="zh-CN"/>
        </w:rPr>
        <w:t>本单位无项目支出，故未开展项目自评，无自评结果。</w:t>
      </w:r>
      <w:r>
        <w:rPr>
          <w:rFonts w:hint="eastAsia"/>
          <w:sz w:val="32"/>
          <w:szCs w:val="32"/>
        </w:rPr>
        <w:t>预算绩效管理开展情况、绩效目标和绩效评价报告等，一并作为附件公开。</w:t>
      </w: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rPr>
          <w:rFonts w:hint="eastAsia" w:hAnsi="黑体"/>
          <w:b/>
          <w:color w:val="FF0000"/>
          <w:sz w:val="32"/>
          <w:szCs w:val="32"/>
        </w:rPr>
      </w:pPr>
    </w:p>
    <w:p>
      <w:pPr>
        <w:pStyle w:val="9"/>
        <w:ind w:firstLine="640" w:firstLineChars="200"/>
        <w:rPr>
          <w:rFonts w:hint="eastAsia" w:ascii="宋体" w:hAnsi="宋体" w:eastAsia="宋体" w:cs="宋体"/>
          <w:color w:val="auto"/>
          <w:sz w:val="32"/>
          <w:szCs w:val="32"/>
          <w:lang w:eastAsia="zh-CN"/>
        </w:rPr>
      </w:pPr>
    </w:p>
    <w:p>
      <w:pPr>
        <w:pStyle w:val="9"/>
        <w:ind w:firstLine="640" w:firstLineChars="200"/>
        <w:rPr>
          <w:rFonts w:hint="eastAsia" w:ascii="宋体" w:hAnsi="宋体" w:eastAsia="宋体" w:cs="宋体"/>
          <w:color w:val="auto"/>
          <w:sz w:val="32"/>
          <w:szCs w:val="32"/>
          <w:lang w:eastAsia="zh-CN"/>
        </w:rPr>
      </w:pPr>
    </w:p>
    <w:p>
      <w:pPr>
        <w:pStyle w:val="9"/>
        <w:ind w:firstLine="640" w:firstLineChars="200"/>
        <w:rPr>
          <w:rFonts w:hint="eastAsia" w:ascii="仿宋_GB2312" w:hAnsi="Times New Roman" w:eastAsia="仿宋_GB2312" w:cs="Times New Roman"/>
          <w:color w:val="auto"/>
          <w:sz w:val="32"/>
          <w:szCs w:val="32"/>
          <w:lang w:eastAsia="zh-CN"/>
        </w:rPr>
      </w:pPr>
    </w:p>
    <w:p>
      <w:pPr>
        <w:pStyle w:val="9"/>
        <w:jc w:val="both"/>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keepLines/>
        <w:autoSpaceDE w:val="0"/>
        <w:autoSpaceDN w:val="0"/>
        <w:adjustRightInd w:val="0"/>
        <w:spacing w:line="560" w:lineRule="exact"/>
        <w:ind w:firstLine="640"/>
        <w:rPr>
          <w:rFonts w:ascii="宋体" w:hAnsi="Times New Roman" w:eastAsia="宋体"/>
          <w:color w:val="000000"/>
          <w:kern w:val="0"/>
          <w:sz w:val="32"/>
        </w:rPr>
      </w:pPr>
      <w:r>
        <w:rPr>
          <w:rFonts w:hint="eastAsia" w:cs="黑体" w:asciiTheme="minorEastAsia" w:hAnsiTheme="minorEastAsia"/>
          <w:color w:val="000000"/>
          <w:kern w:val="0"/>
          <w:sz w:val="32"/>
          <w:szCs w:val="32"/>
        </w:rPr>
        <w:t>三、</w:t>
      </w:r>
      <w:r>
        <w:rPr>
          <w:rFonts w:hint="eastAsia" w:ascii="宋体" w:hAnsi="Times New Roman" w:eastAsia="宋体"/>
          <w:color w:val="000000"/>
          <w:kern w:val="0"/>
          <w:sz w:val="32"/>
        </w:rPr>
        <w:t>财政拨款收入，指本级财政当年拨付的资金。</w:t>
      </w:r>
    </w:p>
    <w:p>
      <w:pPr>
        <w:keepNext/>
        <w:keepLines/>
        <w:autoSpaceDE w:val="0"/>
        <w:autoSpaceDN w:val="0"/>
        <w:adjustRightInd w:val="0"/>
        <w:spacing w:line="560" w:lineRule="exact"/>
        <w:ind w:firstLine="640"/>
        <w:rPr>
          <w:rFonts w:ascii="宋体" w:hAnsi="Times New Roman" w:eastAsia="宋体"/>
          <w:color w:val="000000"/>
          <w:kern w:val="0"/>
          <w:sz w:val="32"/>
        </w:rPr>
      </w:pPr>
      <w:r>
        <w:rPr>
          <w:rFonts w:hint="eastAsia" w:ascii="宋体" w:hAnsi="Times New Roman" w:eastAsia="宋体"/>
          <w:color w:val="000000"/>
          <w:kern w:val="0"/>
          <w:sz w:val="32"/>
        </w:rPr>
        <w:t>四、基本支出，指保障机构正常运转、完成支日常工作任务而发生的人员支出和公用支出。</w:t>
      </w:r>
    </w:p>
    <w:p>
      <w:pPr>
        <w:keepNext/>
        <w:keepLines/>
        <w:autoSpaceDE w:val="0"/>
        <w:autoSpaceDN w:val="0"/>
        <w:adjustRightInd w:val="0"/>
        <w:spacing w:line="560" w:lineRule="exact"/>
        <w:ind w:firstLine="640"/>
        <w:rPr>
          <w:rFonts w:ascii="宋体" w:hAnsi="Times New Roman" w:eastAsia="宋体"/>
          <w:color w:val="000000"/>
          <w:kern w:val="0"/>
          <w:sz w:val="32"/>
        </w:rPr>
      </w:pPr>
      <w:r>
        <w:rPr>
          <w:rFonts w:hint="eastAsia" w:ascii="宋体" w:hAnsi="Times New Roman" w:eastAsia="宋体"/>
          <w:color w:val="000000"/>
          <w:kern w:val="0"/>
          <w:sz w:val="32"/>
        </w:rPr>
        <w:t>五、项目支出，指在基本支出之外为完成特定行政任务和事业发展目标所发生的支出。</w:t>
      </w:r>
    </w:p>
    <w:p>
      <w:pPr>
        <w:ind w:firstLine="640" w:firstLineChars="200"/>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ind w:firstLine="3600" w:firstLineChars="500"/>
        <w:jc w:val="both"/>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800" w:lineRule="exact"/>
        <w:rPr>
          <w:rFonts w:eastAsia="方正小标宋简体"/>
          <w:bCs/>
          <w:sz w:val="44"/>
          <w:szCs w:val="44"/>
        </w:rPr>
      </w:pPr>
      <w:r>
        <w:rPr>
          <w:rFonts w:hint="eastAsia" w:eastAsia="方正小标宋简体"/>
          <w:bCs/>
          <w:sz w:val="44"/>
          <w:szCs w:val="44"/>
        </w:rPr>
        <w:t>岳阳市建设工程质量检测中心</w:t>
      </w:r>
      <w:r>
        <w:rPr>
          <w:rFonts w:hint="eastAsia" w:eastAsia="方正小标宋简体"/>
          <w:bCs/>
          <w:sz w:val="44"/>
          <w:szCs w:val="44"/>
          <w:u w:val="single"/>
        </w:rPr>
        <w:t>2021</w:t>
      </w:r>
      <w:r>
        <w:rPr>
          <w:rFonts w:hint="eastAsia" w:eastAsia="方正小标宋简体"/>
          <w:bCs/>
          <w:sz w:val="44"/>
          <w:szCs w:val="44"/>
        </w:rPr>
        <w:t>年度单位整体支出</w:t>
      </w:r>
    </w:p>
    <w:p>
      <w:pPr>
        <w:spacing w:line="800" w:lineRule="exact"/>
        <w:jc w:val="center"/>
        <w:rPr>
          <w:rFonts w:eastAsia="方正小标宋简体"/>
          <w:bCs/>
          <w:sz w:val="44"/>
          <w:szCs w:val="44"/>
        </w:rPr>
      </w:pPr>
      <w:r>
        <w:rPr>
          <w:rFonts w:hint="eastAsia" w:eastAsia="方正小标宋简体"/>
          <w:bCs/>
          <w:sz w:val="44"/>
          <w:szCs w:val="44"/>
        </w:rPr>
        <w:t>绩效情况表</w:t>
      </w:r>
    </w:p>
    <w:tbl>
      <w:tblPr>
        <w:tblStyle w:val="5"/>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31</w:t>
            </w:r>
          </w:p>
        </w:tc>
        <w:tc>
          <w:tcPr>
            <w:tcW w:w="71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93" w:hRule="atLeast"/>
          <w:jc w:val="center"/>
        </w:trPr>
        <w:tc>
          <w:tcPr>
            <w:tcW w:w="1654"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vAlign w:val="center"/>
          </w:tcPr>
          <w:p>
            <w:pPr>
              <w:widowControl/>
              <w:shd w:val="clear" w:color="auto" w:fill="FFFFFF"/>
              <w:spacing w:line="45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岳阳市建设工程质量检测中心，成立于1992年6月，属自收自支公益二类事业单位，承担市主城区（含岳阳楼、岳阳经济技术开发区、城陵矶新港区、南湖新区）政府监督抽检的公益性事务工作。配合市住建局相关科室和部门做好全市（含县市区）检测机构年度核查技术支撑工作，承担本地区“两工地”塔式机起重机、施工升降机安全检测、房屋建设工程和市政设施防雷装置检测工作。</w:t>
            </w:r>
          </w:p>
          <w:p>
            <w:pPr>
              <w:ind w:firstLine="800" w:firstLineChars="250"/>
              <w:jc w:val="left"/>
              <w:rPr>
                <w:rFonts w:asciiTheme="minorEastAsia" w:hAnsiTheme="minorEastAsia"/>
                <w:sz w:val="32"/>
                <w:szCs w:val="32"/>
              </w:rPr>
            </w:pP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37" w:hRule="atLeast"/>
          <w:jc w:val="center"/>
        </w:trPr>
        <w:tc>
          <w:tcPr>
            <w:tcW w:w="1654"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7740" w:type="dxa"/>
            <w:gridSpan w:val="18"/>
            <w:vAlign w:val="center"/>
          </w:tcPr>
          <w:p>
            <w:pPr>
              <w:widowControl/>
              <w:jc w:val="left"/>
              <w:rPr>
                <w:rFonts w:ascii="仿宋" w:hAnsi="仿宋" w:eastAsia="仿宋"/>
                <w:sz w:val="28"/>
                <w:szCs w:val="28"/>
              </w:rPr>
            </w:pPr>
            <w:r>
              <w:rPr>
                <w:rFonts w:eastAsia="仿宋_GB2312"/>
                <w:kern w:val="0"/>
                <w:sz w:val="24"/>
              </w:rPr>
              <w:t>1.</w:t>
            </w:r>
            <w:r>
              <w:rPr>
                <w:rFonts w:hint="eastAsia" w:ascii="仿宋" w:hAnsi="仿宋" w:eastAsia="仿宋"/>
                <w:sz w:val="28"/>
                <w:szCs w:val="28"/>
              </w:rPr>
              <w:t>、实现全年非税收入1508.06万元。</w:t>
            </w:r>
          </w:p>
          <w:p>
            <w:pPr>
              <w:widowControl/>
              <w:jc w:val="left"/>
              <w:rPr>
                <w:rFonts w:ascii="仿宋" w:hAnsi="仿宋" w:eastAsia="仿宋"/>
                <w:kern w:val="0"/>
                <w:sz w:val="28"/>
                <w:szCs w:val="28"/>
              </w:rPr>
            </w:pPr>
            <w:r>
              <w:rPr>
                <w:rFonts w:hint="eastAsia" w:ascii="仿宋" w:hAnsi="仿宋" w:eastAsia="仿宋"/>
                <w:sz w:val="28"/>
                <w:szCs w:val="28"/>
              </w:rPr>
              <w:t>2、</w:t>
            </w:r>
            <w:r>
              <w:rPr>
                <w:rFonts w:hint="eastAsia" w:ascii="仿宋" w:hAnsi="仿宋" w:eastAsia="仿宋"/>
                <w:kern w:val="0"/>
                <w:sz w:val="28"/>
                <w:szCs w:val="28"/>
              </w:rPr>
              <w:t>确保城区在建项目工程质量和安全生产</w:t>
            </w:r>
          </w:p>
          <w:p>
            <w:pPr>
              <w:widowControl/>
              <w:jc w:val="left"/>
              <w:rPr>
                <w:rFonts w:ascii="仿宋" w:hAnsi="仿宋" w:eastAsia="仿宋"/>
                <w:kern w:val="0"/>
                <w:sz w:val="28"/>
                <w:szCs w:val="28"/>
              </w:rPr>
            </w:pPr>
            <w:r>
              <w:rPr>
                <w:rFonts w:hint="eastAsia" w:ascii="仿宋" w:hAnsi="仿宋" w:eastAsia="仿宋"/>
                <w:kern w:val="0"/>
                <w:sz w:val="28"/>
                <w:szCs w:val="28"/>
              </w:rPr>
              <w:t>3、.强化职工培训教育，切实提高检测工作的综合水平</w:t>
            </w:r>
          </w:p>
          <w:p>
            <w:pPr>
              <w:widowControl/>
              <w:jc w:val="left"/>
              <w:rPr>
                <w:rFonts w:eastAsia="仿宋_GB2312"/>
                <w:kern w:val="0"/>
                <w:sz w:val="24"/>
              </w:rPr>
            </w:pPr>
            <w:r>
              <w:rPr>
                <w:rFonts w:hint="eastAsia" w:ascii="仿宋" w:hAnsi="仿宋" w:eastAsia="仿宋"/>
                <w:kern w:val="0"/>
                <w:sz w:val="28"/>
                <w:szCs w:val="28"/>
              </w:rPr>
              <w:t>4、加强管理，扎实做好检测服务工作</w:t>
            </w:r>
            <w:r>
              <w:rPr>
                <w:rFonts w:ascii="仿宋" w:hAnsi="仿宋" w:eastAsia="仿宋"/>
                <w:kern w:val="0"/>
                <w:sz w:val="28"/>
                <w:szCs w:val="28"/>
              </w:rPr>
              <w:br w:type="textWrapp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471" w:hRule="atLeast"/>
          <w:jc w:val="center"/>
        </w:trPr>
        <w:tc>
          <w:tcPr>
            <w:tcW w:w="1654" w:type="dxa"/>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vAlign w:val="center"/>
          </w:tcPr>
          <w:p>
            <w:pPr>
              <w:numPr>
                <w:ilvl w:val="0"/>
                <w:numId w:val="2"/>
              </w:numPr>
              <w:autoSpaceDN w:val="0"/>
              <w:spacing w:line="320" w:lineRule="exact"/>
              <w:jc w:val="left"/>
              <w:textAlignment w:val="center"/>
              <w:rPr>
                <w:rFonts w:ascii="仿宋" w:hAnsi="仿宋" w:eastAsia="仿宋" w:cs="仿宋_GB2312"/>
                <w:color w:val="000000"/>
                <w:sz w:val="28"/>
                <w:szCs w:val="28"/>
              </w:rPr>
            </w:pPr>
            <w:r>
              <w:rPr>
                <w:rFonts w:hint="eastAsia" w:ascii="仿宋" w:hAnsi="仿宋" w:eastAsia="仿宋" w:cs="仿宋_GB2312"/>
                <w:color w:val="000000"/>
                <w:sz w:val="28"/>
                <w:szCs w:val="28"/>
              </w:rPr>
              <w:t>全年的非税收入1508.06万，超收859.56万元。</w:t>
            </w:r>
          </w:p>
          <w:p>
            <w:pPr>
              <w:numPr>
                <w:ilvl w:val="0"/>
                <w:numId w:val="2"/>
              </w:numPr>
              <w:autoSpaceDN w:val="0"/>
              <w:spacing w:line="320" w:lineRule="exact"/>
              <w:jc w:val="left"/>
              <w:textAlignment w:val="center"/>
              <w:rPr>
                <w:rFonts w:ascii="仿宋" w:hAnsi="仿宋" w:eastAsia="仿宋" w:cs="仿宋_GB2312"/>
                <w:color w:val="000000"/>
                <w:sz w:val="28"/>
                <w:szCs w:val="28"/>
              </w:rPr>
            </w:pPr>
            <w:r>
              <w:rPr>
                <w:rFonts w:hint="eastAsia" w:ascii="仿宋" w:hAnsi="仿宋" w:eastAsia="仿宋" w:cs="仿宋_GB2312"/>
                <w:color w:val="000000"/>
                <w:sz w:val="28"/>
                <w:szCs w:val="28"/>
              </w:rPr>
              <w:t>没有发生城区在建项目工程质量和安全生产的事故。</w:t>
            </w:r>
          </w:p>
          <w:p>
            <w:pPr>
              <w:numPr>
                <w:ilvl w:val="0"/>
                <w:numId w:val="2"/>
              </w:numPr>
              <w:autoSpaceDN w:val="0"/>
              <w:spacing w:line="320" w:lineRule="exact"/>
              <w:jc w:val="left"/>
              <w:textAlignment w:val="center"/>
              <w:rPr>
                <w:rFonts w:ascii="仿宋" w:hAnsi="仿宋" w:eastAsia="仿宋" w:cs="仿宋_GB2312"/>
                <w:color w:val="000000"/>
                <w:sz w:val="28"/>
                <w:szCs w:val="28"/>
              </w:rPr>
            </w:pPr>
            <w:r>
              <w:rPr>
                <w:rFonts w:hint="eastAsia" w:ascii="仿宋" w:hAnsi="仿宋" w:eastAsia="仿宋" w:cs="仿宋_GB2312"/>
                <w:color w:val="000000"/>
                <w:sz w:val="28"/>
                <w:szCs w:val="28"/>
              </w:rPr>
              <w:t>开展了职工集中业务学习培训，提高了检测水平。</w:t>
            </w:r>
          </w:p>
          <w:p>
            <w:pPr>
              <w:numPr>
                <w:ilvl w:val="0"/>
                <w:numId w:val="2"/>
              </w:numPr>
              <w:autoSpaceDN w:val="0"/>
              <w:spacing w:line="320" w:lineRule="exact"/>
              <w:jc w:val="left"/>
              <w:textAlignment w:val="center"/>
              <w:rPr>
                <w:rFonts w:ascii="仿宋" w:hAnsi="仿宋" w:eastAsia="仿宋" w:cs="仿宋_GB2312"/>
                <w:color w:val="000000"/>
                <w:sz w:val="28"/>
                <w:szCs w:val="28"/>
              </w:rPr>
            </w:pPr>
            <w:r>
              <w:rPr>
                <w:rFonts w:hint="eastAsia" w:ascii="仿宋" w:hAnsi="仿宋" w:eastAsia="仿宋" w:cs="仿宋_GB2312"/>
                <w:color w:val="000000"/>
                <w:sz w:val="28"/>
                <w:szCs w:val="28"/>
              </w:rPr>
              <w:t>通过学习，转变了工作作风，扎扎实实地做好检测的服务工作。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2021年度收入情况（万元）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48"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594.41</w:t>
            </w:r>
          </w:p>
        </w:tc>
        <w:tc>
          <w:tcPr>
            <w:tcW w:w="1548" w:type="dxa"/>
            <w:gridSpan w:val="4"/>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234.09</w:t>
            </w:r>
          </w:p>
        </w:tc>
        <w:tc>
          <w:tcPr>
            <w:tcW w:w="1548"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360.32</w:t>
            </w:r>
          </w:p>
        </w:tc>
        <w:tc>
          <w:tcPr>
            <w:tcW w:w="1548"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54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548"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01"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vAlign w:val="center"/>
          </w:tcPr>
          <w:p>
            <w:pPr>
              <w:autoSpaceDN w:val="0"/>
              <w:spacing w:line="32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594.41</w:t>
            </w:r>
          </w:p>
        </w:tc>
        <w:tc>
          <w:tcPr>
            <w:tcW w:w="1410"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594.41</w:t>
            </w:r>
          </w:p>
        </w:tc>
        <w:tc>
          <w:tcPr>
            <w:tcW w:w="141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569.42</w:t>
            </w:r>
          </w:p>
        </w:tc>
        <w:tc>
          <w:tcPr>
            <w:tcW w:w="141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24.99</w:t>
            </w:r>
          </w:p>
        </w:tc>
        <w:tc>
          <w:tcPr>
            <w:tcW w:w="1413"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061" w:type="dxa"/>
            <w:gridSpan w:val="3"/>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990"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923"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923"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923"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923"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92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665"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775.98</w:t>
            </w:r>
          </w:p>
        </w:tc>
        <w:tc>
          <w:tcPr>
            <w:tcW w:w="2665"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619.39</w:t>
            </w:r>
          </w:p>
        </w:tc>
        <w:tc>
          <w:tcPr>
            <w:tcW w:w="2666"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156.59</w:t>
            </w:r>
          </w:p>
        </w:tc>
        <w:tc>
          <w:tcPr>
            <w:tcW w:w="2363"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bl>
    <w:p>
      <w:pPr>
        <w:pStyle w:val="9"/>
        <w:jc w:val="center"/>
        <w:rPr>
          <w:sz w:val="72"/>
          <w:szCs w:val="7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roma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AE678F"/>
    <w:multiLevelType w:val="multilevel"/>
    <w:tmpl w:val="2FAE678F"/>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MTViMmEwMzhhYzU2OTk2MGUxZGMzNGY1NjBjMTcifQ=="/>
  </w:docVars>
  <w:rsids>
    <w:rsidRoot w:val="00172A27"/>
    <w:rsid w:val="0002229B"/>
    <w:rsid w:val="000273BD"/>
    <w:rsid w:val="000415B7"/>
    <w:rsid w:val="00041E3F"/>
    <w:rsid w:val="00055DAA"/>
    <w:rsid w:val="00061F7B"/>
    <w:rsid w:val="000658A3"/>
    <w:rsid w:val="00074155"/>
    <w:rsid w:val="00077504"/>
    <w:rsid w:val="000873EF"/>
    <w:rsid w:val="000A3F69"/>
    <w:rsid w:val="000B546D"/>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07A6"/>
    <w:rsid w:val="0027426B"/>
    <w:rsid w:val="002E0A30"/>
    <w:rsid w:val="003130C4"/>
    <w:rsid w:val="00316C4B"/>
    <w:rsid w:val="0032192B"/>
    <w:rsid w:val="003479BD"/>
    <w:rsid w:val="0037197D"/>
    <w:rsid w:val="00372177"/>
    <w:rsid w:val="003768D5"/>
    <w:rsid w:val="003922F6"/>
    <w:rsid w:val="003C4197"/>
    <w:rsid w:val="003C47E6"/>
    <w:rsid w:val="003C4FC2"/>
    <w:rsid w:val="003E2331"/>
    <w:rsid w:val="00403916"/>
    <w:rsid w:val="00416E61"/>
    <w:rsid w:val="0042790C"/>
    <w:rsid w:val="004506F9"/>
    <w:rsid w:val="004717A2"/>
    <w:rsid w:val="00473DF3"/>
    <w:rsid w:val="00487911"/>
    <w:rsid w:val="00491741"/>
    <w:rsid w:val="004B0CEE"/>
    <w:rsid w:val="00500E5F"/>
    <w:rsid w:val="005122EF"/>
    <w:rsid w:val="0051441A"/>
    <w:rsid w:val="0051783C"/>
    <w:rsid w:val="00517C33"/>
    <w:rsid w:val="00517D5F"/>
    <w:rsid w:val="00521AF2"/>
    <w:rsid w:val="00523644"/>
    <w:rsid w:val="005252F6"/>
    <w:rsid w:val="0054069E"/>
    <w:rsid w:val="00544866"/>
    <w:rsid w:val="005562D3"/>
    <w:rsid w:val="005767CC"/>
    <w:rsid w:val="00581DC0"/>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B60C6"/>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8A3F3D"/>
    <w:rsid w:val="008A590C"/>
    <w:rsid w:val="008C63F5"/>
    <w:rsid w:val="008D549C"/>
    <w:rsid w:val="009237C4"/>
    <w:rsid w:val="00944C48"/>
    <w:rsid w:val="00950252"/>
    <w:rsid w:val="00967F5D"/>
    <w:rsid w:val="009A0F95"/>
    <w:rsid w:val="009B32AA"/>
    <w:rsid w:val="009B3ADF"/>
    <w:rsid w:val="009C3B52"/>
    <w:rsid w:val="009E6466"/>
    <w:rsid w:val="009E6817"/>
    <w:rsid w:val="009E6E9A"/>
    <w:rsid w:val="00A01D2B"/>
    <w:rsid w:val="00A12D53"/>
    <w:rsid w:val="00A42218"/>
    <w:rsid w:val="00A70249"/>
    <w:rsid w:val="00A70B02"/>
    <w:rsid w:val="00A71D9F"/>
    <w:rsid w:val="00A82245"/>
    <w:rsid w:val="00A86D9F"/>
    <w:rsid w:val="00A916DB"/>
    <w:rsid w:val="00A92E9F"/>
    <w:rsid w:val="00AE7ECB"/>
    <w:rsid w:val="00AF5E83"/>
    <w:rsid w:val="00B33BEA"/>
    <w:rsid w:val="00B57C9F"/>
    <w:rsid w:val="00B63572"/>
    <w:rsid w:val="00B845B3"/>
    <w:rsid w:val="00B85D8B"/>
    <w:rsid w:val="00B95ABE"/>
    <w:rsid w:val="00BA3D91"/>
    <w:rsid w:val="00BA64A7"/>
    <w:rsid w:val="00BB4A40"/>
    <w:rsid w:val="00BD6C3E"/>
    <w:rsid w:val="00BE3674"/>
    <w:rsid w:val="00C10681"/>
    <w:rsid w:val="00C3049A"/>
    <w:rsid w:val="00C31B1E"/>
    <w:rsid w:val="00C77645"/>
    <w:rsid w:val="00C85C17"/>
    <w:rsid w:val="00C8634E"/>
    <w:rsid w:val="00CB0345"/>
    <w:rsid w:val="00CE04C3"/>
    <w:rsid w:val="00CE76A0"/>
    <w:rsid w:val="00D148C6"/>
    <w:rsid w:val="00D17A8A"/>
    <w:rsid w:val="00D415BA"/>
    <w:rsid w:val="00D63780"/>
    <w:rsid w:val="00D644EE"/>
    <w:rsid w:val="00D75489"/>
    <w:rsid w:val="00D87EC8"/>
    <w:rsid w:val="00DD06FF"/>
    <w:rsid w:val="00DD5FE9"/>
    <w:rsid w:val="00E00C7A"/>
    <w:rsid w:val="00E209CF"/>
    <w:rsid w:val="00E21D69"/>
    <w:rsid w:val="00E37D6C"/>
    <w:rsid w:val="00E55B68"/>
    <w:rsid w:val="00E67BE6"/>
    <w:rsid w:val="00E8683C"/>
    <w:rsid w:val="00EA2B72"/>
    <w:rsid w:val="00F74360"/>
    <w:rsid w:val="00F82A96"/>
    <w:rsid w:val="00FB462F"/>
    <w:rsid w:val="00FE16FA"/>
    <w:rsid w:val="00FE328A"/>
    <w:rsid w:val="00FE6269"/>
    <w:rsid w:val="00FF5CD6"/>
    <w:rsid w:val="05633A58"/>
    <w:rsid w:val="06B411F0"/>
    <w:rsid w:val="087403E0"/>
    <w:rsid w:val="0BE56081"/>
    <w:rsid w:val="0D223EE4"/>
    <w:rsid w:val="117479FE"/>
    <w:rsid w:val="12E23D97"/>
    <w:rsid w:val="13BE003E"/>
    <w:rsid w:val="16341ECA"/>
    <w:rsid w:val="17A87124"/>
    <w:rsid w:val="1B334486"/>
    <w:rsid w:val="2234120F"/>
    <w:rsid w:val="262F3F47"/>
    <w:rsid w:val="27DB542D"/>
    <w:rsid w:val="27E7596C"/>
    <w:rsid w:val="366364DD"/>
    <w:rsid w:val="370B6762"/>
    <w:rsid w:val="3D522F9D"/>
    <w:rsid w:val="3E0E0F0C"/>
    <w:rsid w:val="4177481D"/>
    <w:rsid w:val="4187015C"/>
    <w:rsid w:val="45F9639D"/>
    <w:rsid w:val="48ED43E7"/>
    <w:rsid w:val="4C975D73"/>
    <w:rsid w:val="4EE07070"/>
    <w:rsid w:val="51A26B45"/>
    <w:rsid w:val="530C3D20"/>
    <w:rsid w:val="55B61960"/>
    <w:rsid w:val="60A907EA"/>
    <w:rsid w:val="610F687D"/>
    <w:rsid w:val="6145544E"/>
    <w:rsid w:val="64942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BDB7-9465-44B6-A866-8D6C301148F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5130</Words>
  <Characters>5536</Characters>
  <Lines>37</Lines>
  <Paragraphs>10</Paragraphs>
  <TotalTime>8</TotalTime>
  <ScaleCrop>false</ScaleCrop>
  <LinksUpToDate>false</LinksUpToDate>
  <CharactersWithSpaces>5551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2022-09-20T09:28:00Z</dcterms:created>
  <dc:creator>李航 null</dc:creator>
  <cp:lastModifiedBy>何蔚</cp:lastModifiedBy>
  <cp:lastPrinted>2022-07-27T12:55:00Z</cp:lastPrinted>
  <dcterms:modified xsi:type="dcterms:W3CDTF">2023-09-22T09:03:18Z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239AC3C74C7C43DCBA8C2D000FDBA8BB_13</vt:lpwstr>
  </property>
</Properties>
</file>