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湖南东洞庭湖国家级自然保护区管理局</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608002</w:t>
      </w:r>
      <w:r>
        <w:rPr>
          <w:rFonts w:hint="eastAsia"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 xml:space="preserve">报告日期： </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5</w:t>
      </w:r>
      <w:r>
        <w:rPr>
          <w:rFonts w:hint="eastAsia" w:eastAsia="仿宋_GB2312"/>
          <w:sz w:val="32"/>
        </w:rPr>
        <w:t>月</w:t>
      </w:r>
      <w:r>
        <w:rPr>
          <w:rFonts w:hint="eastAsia" w:eastAsia="仿宋_GB2312"/>
          <w:sz w:val="32"/>
          <w:lang w:val="en-US" w:eastAsia="zh-CN"/>
        </w:rPr>
        <w:t>30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101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175"/>
        <w:gridCol w:w="115"/>
        <w:gridCol w:w="1145"/>
        <w:gridCol w:w="272"/>
        <w:gridCol w:w="793"/>
        <w:gridCol w:w="1450"/>
        <w:gridCol w:w="270"/>
        <w:gridCol w:w="55"/>
        <w:gridCol w:w="141"/>
        <w:gridCol w:w="1034"/>
        <w:gridCol w:w="570"/>
        <w:gridCol w:w="139"/>
        <w:gridCol w:w="291"/>
        <w:gridCol w:w="1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015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46"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曾娟</w:t>
            </w:r>
          </w:p>
        </w:tc>
        <w:tc>
          <w:tcPr>
            <w:tcW w:w="177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75"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18873000336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46"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47人</w:t>
            </w:r>
          </w:p>
        </w:tc>
        <w:tc>
          <w:tcPr>
            <w:tcW w:w="177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75"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54人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496"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保护东洞庭湖湿地生态系统和野生动植物资源，制止打击破坏野生资源违法行为，开展野生动物保护，维护生态平衡；开展珍稀物种栖息地生态修复与治理；开展生物多样性监测及珍稀物种科研分析、国际合作、宣传教育和生态旅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496"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kern w:val="0"/>
                <w:sz w:val="24"/>
                <w:lang w:val="en-US" w:eastAsia="zh-CN"/>
              </w:rPr>
              <w:t>1.</w:t>
            </w:r>
            <w:r>
              <w:rPr>
                <w:rFonts w:hint="eastAsia" w:eastAsia="仿宋_GB2312"/>
                <w:kern w:val="0"/>
                <w:sz w:val="24"/>
              </w:rPr>
              <w:t>鸟类、麋鹿、植被、东方田鼠的物种多样性调查；野生动物疫源疫病监测与防控；野生动物救护；湿地修复项目点的监测；鸟类GPS卫星追踪等专项调查和科研工作。</w:t>
            </w:r>
            <w:r>
              <w:rPr>
                <w:rFonts w:hint="eastAsia" w:eastAsia="仿宋_GB2312"/>
                <w:kern w:val="0"/>
                <w:sz w:val="24"/>
                <w:lang w:val="en-US" w:eastAsia="zh-CN"/>
              </w:rPr>
              <w:t xml:space="preserve">                                                                   2.按要求整改保护区生态环境破坏问题；进一步推进《岳阳市东洞庭湖国家级自然保护区条例》实施落实；加强大小西湖、丁字堤生境工程生态矮围管理。          3.根据相关要求和制度完善保护区建设并标准化；推进建议提案办理落实。      4.爱鸟周、湿地日、野生动物保护日等宣传；自然学校的建立和运行；生态教材的师资培训与推广；未成年人生态教育；新闻媒体宣传；网站和微信公众号的运营。5.推进湿地保护与恢复项目及湿地生态效益补偿项目开展实施；山水林田湖草项目、二期项目、三峡后续项目进行竣工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496" w:type="dxa"/>
            <w:gridSpan w:val="15"/>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1、科学编制监测方案、科学开展监测、强化野生动物疫源疫病监测防控和救治。2</w:t>
            </w:r>
            <w:r>
              <w:rPr>
                <w:rFonts w:hint="eastAsia" w:ascii="仿宋_GB2312" w:hAnsi="仿宋_GB2312" w:eastAsia="仿宋_GB2312" w:cs="仿宋_GB2312"/>
                <w:color w:val="000000"/>
                <w:sz w:val="24"/>
              </w:rPr>
              <w:t>、积极推动《岳阳市东洞庭湖国家级自然保护区条例》实施</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开展保护区突出生态环境问题核查整改工作。</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、加大巡查执法力度，严厉打击各类违法违规行为。</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4、持续加强媒体宣传、开展内容丰富的宣传活动。                           5</w:t>
            </w:r>
            <w:r>
              <w:rPr>
                <w:rFonts w:hint="eastAsia" w:ascii="仿宋_GB2312" w:hAnsi="仿宋_GB2312" w:eastAsia="仿宋_GB2312" w:cs="仿宋_GB2312"/>
                <w:color w:val="000000"/>
                <w:sz w:val="24"/>
              </w:rPr>
              <w:t>、我局在20</w:t>
            </w:r>
            <w:r>
              <w:rPr>
                <w:rFonts w:hint="eastAsia" w:ascii="仿宋_GB2312" w:hAnsi="仿宋_GB2312" w:eastAsia="仿宋_GB2312" w:cs="仿宋_GB2312"/>
                <w:color w:val="000000"/>
                <w:sz w:val="24"/>
                <w:lang w:val="en-US" w:eastAsia="zh-CN"/>
              </w:rPr>
              <w:t>21</w:t>
            </w:r>
            <w:r>
              <w:rPr>
                <w:rFonts w:hint="eastAsia" w:ascii="仿宋_GB2312" w:hAnsi="仿宋_GB2312" w:eastAsia="仿宋_GB2312" w:cs="仿宋_GB2312"/>
                <w:color w:val="000000"/>
                <w:sz w:val="24"/>
              </w:rPr>
              <w:t>年争取各级项目资金</w:t>
            </w:r>
            <w:r>
              <w:rPr>
                <w:rFonts w:hint="eastAsia" w:ascii="仿宋_GB2312" w:hAnsi="仿宋_GB2312" w:eastAsia="仿宋_GB2312" w:cs="仿宋_GB2312"/>
                <w:color w:val="000000"/>
                <w:sz w:val="24"/>
                <w:lang w:val="en-US" w:eastAsia="zh-CN"/>
              </w:rPr>
              <w:t>2335.59</w:t>
            </w:r>
            <w:r>
              <w:rPr>
                <w:rFonts w:hint="eastAsia" w:ascii="仿宋_GB2312" w:hAnsi="仿宋_GB2312" w:eastAsia="仿宋_GB2312" w:cs="仿宋_GB2312"/>
                <w:color w:val="000000"/>
                <w:sz w:val="24"/>
              </w:rPr>
              <w:t>万元，湿地保护与恢复项目</w:t>
            </w:r>
            <w:r>
              <w:rPr>
                <w:rFonts w:hint="eastAsia" w:ascii="仿宋_GB2312" w:hAnsi="仿宋_GB2312" w:eastAsia="仿宋_GB2312" w:cs="仿宋_GB2312"/>
                <w:color w:val="000000"/>
                <w:sz w:val="24"/>
                <w:lang w:eastAsia="zh-CN"/>
              </w:rPr>
              <w:t>、湿地生态修复</w:t>
            </w:r>
            <w:r>
              <w:rPr>
                <w:rFonts w:hint="eastAsia" w:ascii="仿宋_GB2312" w:hAnsi="仿宋_GB2312" w:eastAsia="仿宋_GB2312" w:cs="仿宋_GB2312"/>
                <w:color w:val="000000"/>
                <w:sz w:val="24"/>
              </w:rPr>
              <w:t>项目</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GEF项目</w:t>
            </w:r>
            <w:r>
              <w:rPr>
                <w:rFonts w:hint="eastAsia" w:ascii="仿宋_GB2312" w:hAnsi="仿宋_GB2312" w:eastAsia="仿宋_GB2312" w:cs="仿宋_GB2312"/>
                <w:color w:val="000000"/>
                <w:sz w:val="24"/>
              </w:rPr>
              <w:t>等有序进行。</w:t>
            </w:r>
          </w:p>
          <w:p>
            <w:pPr>
              <w:pStyle w:val="2"/>
              <w:ind w:left="0" w:leftChars="0" w:firstLine="0" w:firstLineChars="0"/>
              <w:jc w:val="left"/>
              <w:rPr>
                <w:rFonts w:hint="eastAsia" w:eastAsia="仿宋_GB2312"/>
                <w:lang w:val="en-US" w:eastAsia="zh-CN"/>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我局总体运行良好，各项工作有序开展并取得了一定的成效，达到了预期效果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015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015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175"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275"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175"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60"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6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2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43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湖南东洞庭湖国家级自然保护区管理局</w:t>
            </w:r>
          </w:p>
        </w:tc>
        <w:tc>
          <w:tcPr>
            <w:tcW w:w="1175"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5068.19</w:t>
            </w:r>
          </w:p>
        </w:tc>
        <w:tc>
          <w:tcPr>
            <w:tcW w:w="1260"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2871.46</w:t>
            </w:r>
          </w:p>
        </w:tc>
        <w:tc>
          <w:tcPr>
            <w:tcW w:w="1065"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2064.76</w:t>
            </w:r>
          </w:p>
        </w:tc>
        <w:tc>
          <w:tcPr>
            <w:tcW w:w="172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43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131.97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015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175"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275"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000"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175"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60"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515" w:type="dxa"/>
            <w:gridSpan w:val="3"/>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500" w:type="dxa"/>
            <w:gridSpan w:val="4"/>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000"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1000"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175"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60"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6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450"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500" w:type="dxa"/>
            <w:gridSpan w:val="4"/>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00"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00"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湖南东洞庭湖国家级自然保护区管理局</w:t>
            </w:r>
          </w:p>
        </w:tc>
        <w:tc>
          <w:tcPr>
            <w:tcW w:w="1175"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4791.69</w:t>
            </w:r>
          </w:p>
        </w:tc>
        <w:tc>
          <w:tcPr>
            <w:tcW w:w="1260"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606.71</w:t>
            </w:r>
          </w:p>
        </w:tc>
        <w:tc>
          <w:tcPr>
            <w:tcW w:w="1065"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557.39</w:t>
            </w:r>
          </w:p>
        </w:tc>
        <w:tc>
          <w:tcPr>
            <w:tcW w:w="1450" w:type="dxa"/>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49.32</w:t>
            </w:r>
          </w:p>
        </w:tc>
        <w:tc>
          <w:tcPr>
            <w:tcW w:w="1500" w:type="dxa"/>
            <w:gridSpan w:val="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4184.98</w:t>
            </w:r>
          </w:p>
        </w:tc>
        <w:tc>
          <w:tcPr>
            <w:tcW w:w="1000"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-2594.96</w:t>
            </w:r>
          </w:p>
        </w:tc>
        <w:tc>
          <w:tcPr>
            <w:tcW w:w="1000"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175"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275"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175"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60"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6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450"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500"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湖南东洞庭湖国家级自然保护区管理局</w:t>
            </w:r>
          </w:p>
        </w:tc>
        <w:tc>
          <w:tcPr>
            <w:tcW w:w="1175"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19.32</w:t>
            </w:r>
          </w:p>
        </w:tc>
        <w:tc>
          <w:tcPr>
            <w:tcW w:w="1260"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7.32</w:t>
            </w:r>
          </w:p>
        </w:tc>
        <w:tc>
          <w:tcPr>
            <w:tcW w:w="1065"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11.99</w:t>
            </w:r>
          </w:p>
        </w:tc>
        <w:tc>
          <w:tcPr>
            <w:tcW w:w="1450" w:type="dxa"/>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3500"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175"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5984" w:type="dxa"/>
            <w:gridSpan w:val="11"/>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bookmarkStart w:id="0" w:name="_GoBack"/>
            <w:bookmarkEnd w:id="0"/>
          </w:p>
        </w:tc>
        <w:tc>
          <w:tcPr>
            <w:tcW w:w="1291"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175"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2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59"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291"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湖南东洞庭湖国家级自然保护区管理局</w:t>
            </w:r>
          </w:p>
        </w:tc>
        <w:tc>
          <w:tcPr>
            <w:tcW w:w="1175"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2052.28</w:t>
            </w:r>
          </w:p>
        </w:tc>
        <w:tc>
          <w:tcPr>
            <w:tcW w:w="232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2052.28</w:t>
            </w:r>
          </w:p>
        </w:tc>
        <w:tc>
          <w:tcPr>
            <w:tcW w:w="365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9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015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5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950"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04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59" w:type="dxa"/>
            <w:gridSpan w:val="7"/>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eastAsia="仿宋_GB2312"/>
                <w:kern w:val="0"/>
                <w:sz w:val="24"/>
                <w:lang w:val="en-US" w:eastAsia="zh-CN"/>
              </w:rPr>
              <w:t>1.</w:t>
            </w:r>
            <w:r>
              <w:rPr>
                <w:rFonts w:hint="eastAsia" w:eastAsia="仿宋_GB2312"/>
                <w:kern w:val="0"/>
                <w:sz w:val="24"/>
              </w:rPr>
              <w:t>鸟类、麋鹿、植被、东方田鼠的物种多样性调查；野生动物疫源疫病监测与防控；野生动物救护；湿地修复项目点的监测；鸟类GPS卫星追踪等专项调查和科研工作。</w:t>
            </w:r>
            <w:r>
              <w:rPr>
                <w:rFonts w:hint="eastAsia" w:eastAsia="仿宋_GB2312"/>
                <w:kern w:val="0"/>
                <w:sz w:val="24"/>
                <w:lang w:val="en-US" w:eastAsia="zh-CN"/>
              </w:rPr>
              <w:t>2.按要求整改保护区生态环境破坏问题；进一步推进《岳阳市东洞庭湖国家级自然保护区条例》实施落实；加强大小西湖、丁字堤生境工程生态矮围管理。3.根据相关要求和制度完善保护区建设并标准化；推进建议提案办理落实。4.爱鸟周、湿地日、野生动物保护日等宣传；自然学校的建立和运行；生态教材的师资培训与推广；未成年人生态教育；新闻媒体宣传；网站和微信公众号的运营。5.推进湿地保护与恢复项目开展实施；山水林田湖草项目、二期项目、三峡后续项目进行竣工验收</w:t>
            </w:r>
          </w:p>
        </w:tc>
        <w:tc>
          <w:tcPr>
            <w:tcW w:w="4950" w:type="dxa"/>
            <w:gridSpan w:val="9"/>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1、科学编制监</w:t>
            </w:r>
            <w:r>
              <w:rPr>
                <w:rFonts w:hint="eastAsia" w:ascii="Times New Roman" w:hAnsi="Times New Roman" w:eastAsia="仿宋_GB2312" w:cs="Times New Roman"/>
                <w:kern w:val="0"/>
                <w:sz w:val="24"/>
                <w:lang w:val="en-US" w:eastAsia="zh-CN"/>
              </w:rPr>
              <w:t>测方案、科学开展监测（</w:t>
            </w:r>
            <w:r>
              <w:rPr>
                <w:rFonts w:hint="eastAsia" w:ascii="Times New Roman" w:hAnsi="Times New Roman" w:eastAsia="仿宋_GB2312" w:cs="Times New Roman"/>
                <w:kern w:val="0"/>
                <w:sz w:val="24"/>
                <w:lang w:eastAsia="zh-CN"/>
              </w:rPr>
              <w:t>根据监测方案，</w:t>
            </w:r>
            <w:r>
              <w:rPr>
                <w:rFonts w:hint="eastAsia" w:ascii="Times New Roman" w:hAnsi="Times New Roman" w:eastAsia="仿宋_GB2312" w:cs="Times New Roman"/>
                <w:kern w:val="0"/>
                <w:sz w:val="24"/>
                <w:lang w:val="en-US" w:eastAsia="zh-CN"/>
              </w:rPr>
              <w:t xml:space="preserve">组织人员开展了3次环洞庭湖越冬水鸟同步调查）、强化野生动物疫源疫病监测防控和救治。       </w:t>
            </w:r>
            <w:r>
              <w:rPr>
                <w:rFonts w:hint="eastAsia" w:ascii="仿宋_GB2312" w:hAnsi="仿宋_GB2312" w:eastAsia="仿宋_GB2312" w:cs="仿宋_GB2312"/>
                <w:color w:val="000000"/>
                <w:sz w:val="24"/>
                <w:lang w:val="en-US" w:eastAsia="zh-CN"/>
              </w:rPr>
              <w:t xml:space="preserve">                            2</w:t>
            </w:r>
            <w:r>
              <w:rPr>
                <w:rFonts w:hint="eastAsia" w:ascii="仿宋_GB2312" w:hAnsi="仿宋_GB2312" w:eastAsia="仿宋_GB2312" w:cs="仿宋_GB2312"/>
                <w:color w:val="000000"/>
                <w:sz w:val="24"/>
              </w:rPr>
              <w:t>、积极推动《岳阳市东洞庭湖国家级自然保护区条例》实施</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开展保护区突出生态环境问题核查整改工作。</w:t>
            </w:r>
          </w:p>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、加大巡查执法力度，严厉打击各类违法违规行为</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多次联合岳阳市森林公安局等职能部门开展麋鹿、鸟类等野生动物保护集中巡护执法行动，销毁捕鸟网12张150余米，查获非法狩猎案件2起。</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4、持续加强媒体宣传，全年在各级媒体报道达70余次；开展内容丰富的宣传活动。                                     5</w:t>
            </w:r>
            <w:r>
              <w:rPr>
                <w:rFonts w:hint="eastAsia" w:ascii="仿宋_GB2312" w:hAnsi="仿宋_GB2312" w:eastAsia="仿宋_GB2312" w:cs="仿宋_GB2312"/>
                <w:color w:val="000000"/>
                <w:sz w:val="24"/>
              </w:rPr>
              <w:t>、我局在20</w:t>
            </w:r>
            <w:r>
              <w:rPr>
                <w:rFonts w:hint="eastAsia" w:ascii="仿宋_GB2312" w:hAnsi="仿宋_GB2312" w:eastAsia="仿宋_GB2312" w:cs="仿宋_GB2312"/>
                <w:color w:val="000000"/>
                <w:sz w:val="24"/>
                <w:lang w:val="en-US" w:eastAsia="zh-CN"/>
              </w:rPr>
              <w:t>21</w:t>
            </w:r>
            <w:r>
              <w:rPr>
                <w:rFonts w:hint="eastAsia" w:ascii="仿宋_GB2312" w:hAnsi="仿宋_GB2312" w:eastAsia="仿宋_GB2312" w:cs="仿宋_GB2312"/>
                <w:color w:val="000000"/>
                <w:sz w:val="24"/>
              </w:rPr>
              <w:t>年争取各级项目资金</w:t>
            </w:r>
            <w:r>
              <w:rPr>
                <w:rFonts w:hint="eastAsia" w:ascii="仿宋_GB2312" w:hAnsi="仿宋_GB2312" w:eastAsia="仿宋_GB2312" w:cs="仿宋_GB2312"/>
                <w:color w:val="000000"/>
                <w:sz w:val="24"/>
                <w:lang w:val="en-US" w:eastAsia="zh-CN"/>
              </w:rPr>
              <w:t>2335.59</w:t>
            </w:r>
            <w:r>
              <w:rPr>
                <w:rFonts w:hint="eastAsia" w:ascii="仿宋_GB2312" w:hAnsi="仿宋_GB2312" w:eastAsia="仿宋_GB2312" w:cs="仿宋_GB2312"/>
                <w:color w:val="000000"/>
                <w:sz w:val="24"/>
              </w:rPr>
              <w:t>万元，湿地保护与恢复项目</w:t>
            </w:r>
            <w:r>
              <w:rPr>
                <w:rFonts w:hint="eastAsia" w:ascii="仿宋_GB2312" w:hAnsi="仿宋_GB2312" w:eastAsia="仿宋_GB2312" w:cs="仿宋_GB2312"/>
                <w:color w:val="000000"/>
                <w:sz w:val="24"/>
                <w:lang w:eastAsia="zh-CN"/>
              </w:rPr>
              <w:t>、湿地生态修复</w:t>
            </w:r>
            <w:r>
              <w:rPr>
                <w:rFonts w:hint="eastAsia" w:ascii="仿宋_GB2312" w:hAnsi="仿宋_GB2312" w:eastAsia="仿宋_GB2312" w:cs="仿宋_GB2312"/>
                <w:color w:val="000000"/>
                <w:sz w:val="24"/>
              </w:rPr>
              <w:t>项目</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GEF项目</w:t>
            </w:r>
            <w:r>
              <w:rPr>
                <w:rFonts w:hint="eastAsia" w:ascii="仿宋_GB2312" w:hAnsi="仿宋_GB2312" w:eastAsia="仿宋_GB2312" w:cs="仿宋_GB2312"/>
                <w:color w:val="000000"/>
                <w:sz w:val="24"/>
              </w:rPr>
              <w:t>等有序进行。</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3034"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生物多样性监测数据报告得到专家认可</w:t>
            </w:r>
          </w:p>
        </w:tc>
        <w:tc>
          <w:tcPr>
            <w:tcW w:w="3034"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lang w:val="en-US" w:eastAsia="zh-CN"/>
              </w:rPr>
              <w:t>监测数据已得到专家认可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5"/>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开展36次科研监测；开展20次巡护执法打击行动；</w:t>
            </w:r>
          </w:p>
        </w:tc>
        <w:tc>
          <w:tcPr>
            <w:tcW w:w="3034" w:type="dxa"/>
            <w:gridSpan w:val="5"/>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已完成36次科研监测，22次执法打击行动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5"/>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上半年完成项目申报工作</w:t>
            </w:r>
          </w:p>
        </w:tc>
        <w:tc>
          <w:tcPr>
            <w:tcW w:w="3034" w:type="dxa"/>
            <w:gridSpan w:val="5"/>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完成了湿地生态效益补偿和疫源疫病监测项目的申报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指标2：全年完成科研监测和巡护执法打击工作任务</w:t>
            </w:r>
          </w:p>
        </w:tc>
        <w:tc>
          <w:tcPr>
            <w:tcW w:w="3034"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lang w:val="en-US" w:eastAsia="zh-CN"/>
              </w:rPr>
              <w:t>完成了科研监测和巡护工作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5"/>
            <w:vAlign w:val="center"/>
          </w:tcPr>
          <w:p>
            <w:pPr>
              <w:autoSpaceDN w:val="0"/>
              <w:spacing w:line="320" w:lineRule="exact"/>
              <w:jc w:val="left"/>
              <w:textAlignment w:val="center"/>
              <w:rPr>
                <w:rFonts w:hint="default"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sz w:val="24"/>
              </w:rPr>
              <w:t>指标1：</w:t>
            </w:r>
            <w:r>
              <w:rPr>
                <w:rFonts w:hint="eastAsia" w:ascii="仿宋_GB2312" w:hAnsi="仿宋_GB2312" w:eastAsia="仿宋_GB2312" w:cs="仿宋_GB2312"/>
                <w:b w:val="0"/>
                <w:bCs w:val="0"/>
                <w:color w:val="000000"/>
                <w:sz w:val="24"/>
                <w:lang w:val="en-US" w:eastAsia="zh-CN"/>
              </w:rPr>
              <w:t>压缩成本，厉行节约，控制在年度预算内</w:t>
            </w:r>
          </w:p>
        </w:tc>
        <w:tc>
          <w:tcPr>
            <w:tcW w:w="3034" w:type="dxa"/>
            <w:gridSpan w:val="5"/>
            <w:vAlign w:val="center"/>
          </w:tcPr>
          <w:p>
            <w:pPr>
              <w:autoSpaceDN w:val="0"/>
              <w:spacing w:line="320" w:lineRule="exact"/>
              <w:jc w:val="center"/>
              <w:textAlignment w:val="center"/>
              <w:rPr>
                <w:rFonts w:hint="default"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sz w:val="24"/>
                <w:lang w:val="en-US" w:eastAsia="zh-CN"/>
              </w:rPr>
              <w:t>控制在预算内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709" w:type="dxa"/>
            <w:gridSpan w:val="5"/>
            <w:vAlign w:val="center"/>
          </w:tcPr>
          <w:p>
            <w:pPr>
              <w:autoSpaceDN w:val="0"/>
              <w:spacing w:line="320" w:lineRule="exact"/>
              <w:jc w:val="left"/>
              <w:textAlignment w:val="center"/>
              <w:rPr>
                <w:rFonts w:hint="default"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sz w:val="24"/>
              </w:rPr>
              <w:t>指标2：</w:t>
            </w:r>
            <w:r>
              <w:rPr>
                <w:rFonts w:hint="eastAsia" w:ascii="仿宋_GB2312" w:hAnsi="仿宋_GB2312" w:eastAsia="仿宋_GB2312" w:cs="仿宋_GB2312"/>
                <w:b w:val="0"/>
                <w:bCs w:val="0"/>
                <w:color w:val="000000"/>
                <w:sz w:val="24"/>
                <w:lang w:val="en-US" w:eastAsia="zh-CN"/>
              </w:rPr>
              <w:t>按项目概算控制投资成本</w:t>
            </w:r>
          </w:p>
        </w:tc>
        <w:tc>
          <w:tcPr>
            <w:tcW w:w="3034" w:type="dxa"/>
            <w:gridSpan w:val="5"/>
            <w:vAlign w:val="center"/>
          </w:tcPr>
          <w:p>
            <w:pPr>
              <w:autoSpaceDN w:val="0"/>
              <w:spacing w:line="320" w:lineRule="exact"/>
              <w:jc w:val="center"/>
              <w:textAlignment w:val="center"/>
              <w:rPr>
                <w:rFonts w:hint="default"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sz w:val="24"/>
                <w:lang w:val="en-US" w:eastAsia="zh-CN"/>
              </w:rPr>
              <w:t>控制在概算内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5"/>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洞庭湖湿地保护知名度提升</w:t>
            </w:r>
          </w:p>
        </w:tc>
        <w:tc>
          <w:tcPr>
            <w:tcW w:w="3034" w:type="dxa"/>
            <w:gridSpan w:val="5"/>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已达到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5"/>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控制投资成本，发挥各项项目完成后达到预算目标</w:t>
            </w:r>
          </w:p>
        </w:tc>
        <w:tc>
          <w:tcPr>
            <w:tcW w:w="3034" w:type="dxa"/>
            <w:gridSpan w:val="5"/>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5"/>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物种栖息地环境进一步优化美化</w:t>
            </w:r>
          </w:p>
        </w:tc>
        <w:tc>
          <w:tcPr>
            <w:tcW w:w="3034" w:type="dxa"/>
            <w:gridSpan w:val="5"/>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已达到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5"/>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社会公众满意度达85%以上</w:t>
            </w:r>
          </w:p>
        </w:tc>
        <w:tc>
          <w:tcPr>
            <w:tcW w:w="3034" w:type="dxa"/>
            <w:gridSpan w:val="5"/>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7160" w:type="dxa"/>
            <w:gridSpan w:val="1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7160" w:type="dxa"/>
            <w:gridSpan w:val="1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015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4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77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75"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400" w:lineRule="exact"/>
              <w:jc w:val="center"/>
              <w:textAlignment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lang w:eastAsia="zh-CN"/>
              </w:rPr>
              <w:t>童</w:t>
            </w:r>
            <w:r>
              <w:rPr>
                <w:rFonts w:hint="eastAsia" w:ascii="仿宋_GB2312" w:eastAsia="仿宋_GB2312" w:cs="仿宋_GB2312"/>
                <w:sz w:val="24"/>
                <w:lang w:val="en-US" w:eastAsia="zh-CN"/>
              </w:rPr>
              <w:t xml:space="preserve"> </w:t>
            </w:r>
            <w:r>
              <w:rPr>
                <w:rFonts w:hint="eastAsia" w:ascii="仿宋_GB2312" w:eastAsia="仿宋_GB2312" w:cs="仿宋_GB2312"/>
                <w:sz w:val="24"/>
                <w:lang w:eastAsia="zh-CN"/>
              </w:rPr>
              <w:t>铮</w:t>
            </w:r>
          </w:p>
        </w:tc>
        <w:tc>
          <w:tcPr>
            <w:tcW w:w="3546" w:type="dxa"/>
            <w:gridSpan w:val="6"/>
            <w:vAlign w:val="center"/>
          </w:tcPr>
          <w:p>
            <w:pPr>
              <w:autoSpaceDN w:val="0"/>
              <w:spacing w:line="400" w:lineRule="exact"/>
              <w:jc w:val="center"/>
              <w:textAlignment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rPr>
              <w:t>单位负责人</w:t>
            </w:r>
          </w:p>
        </w:tc>
        <w:tc>
          <w:tcPr>
            <w:tcW w:w="1775" w:type="dxa"/>
            <w:gridSpan w:val="3"/>
            <w:vAlign w:val="center"/>
          </w:tcPr>
          <w:p>
            <w:pPr>
              <w:autoSpaceDN w:val="0"/>
              <w:spacing w:line="400" w:lineRule="exact"/>
              <w:jc w:val="center"/>
              <w:textAlignment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rPr>
              <w:t>东洞庭湖保护局</w:t>
            </w:r>
          </w:p>
        </w:tc>
        <w:tc>
          <w:tcPr>
            <w:tcW w:w="3175"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400" w:lineRule="exact"/>
              <w:jc w:val="center"/>
              <w:textAlignment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lang w:eastAsia="zh-CN"/>
              </w:rPr>
              <w:t>陈秋荣</w:t>
            </w:r>
          </w:p>
        </w:tc>
        <w:tc>
          <w:tcPr>
            <w:tcW w:w="3546" w:type="dxa"/>
            <w:gridSpan w:val="6"/>
            <w:vAlign w:val="center"/>
          </w:tcPr>
          <w:p>
            <w:pPr>
              <w:autoSpaceDN w:val="0"/>
              <w:spacing w:line="400" w:lineRule="exact"/>
              <w:jc w:val="center"/>
              <w:textAlignment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lang w:eastAsia="zh-CN"/>
              </w:rPr>
              <w:t>分管财务</w:t>
            </w:r>
          </w:p>
        </w:tc>
        <w:tc>
          <w:tcPr>
            <w:tcW w:w="1775" w:type="dxa"/>
            <w:gridSpan w:val="3"/>
            <w:vAlign w:val="center"/>
          </w:tcPr>
          <w:p>
            <w:pPr>
              <w:autoSpaceDN w:val="0"/>
              <w:spacing w:line="400" w:lineRule="exact"/>
              <w:jc w:val="center"/>
              <w:textAlignment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rPr>
              <w:t>东洞庭湖保护局</w:t>
            </w:r>
          </w:p>
        </w:tc>
        <w:tc>
          <w:tcPr>
            <w:tcW w:w="3175"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许庆华</w:t>
            </w:r>
          </w:p>
        </w:tc>
        <w:tc>
          <w:tcPr>
            <w:tcW w:w="3546"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财务负责人</w:t>
            </w:r>
          </w:p>
        </w:tc>
        <w:tc>
          <w:tcPr>
            <w:tcW w:w="177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eastAsia="仿宋_GB2312" w:cs="仿宋_GB2312"/>
                <w:sz w:val="24"/>
              </w:rPr>
              <w:t>东洞庭湖保护局</w:t>
            </w:r>
          </w:p>
        </w:tc>
        <w:tc>
          <w:tcPr>
            <w:tcW w:w="3175"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曾娟</w:t>
            </w:r>
          </w:p>
        </w:tc>
        <w:tc>
          <w:tcPr>
            <w:tcW w:w="3546"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会计</w:t>
            </w:r>
          </w:p>
        </w:tc>
        <w:tc>
          <w:tcPr>
            <w:tcW w:w="177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eastAsia="仿宋_GB2312" w:cs="仿宋_GB2312"/>
                <w:sz w:val="24"/>
              </w:rPr>
              <w:t>东洞庭湖保护局</w:t>
            </w:r>
          </w:p>
        </w:tc>
        <w:tc>
          <w:tcPr>
            <w:tcW w:w="3175"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1015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1015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10150"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                          联系电话：</w:t>
      </w:r>
      <w:r>
        <w:rPr>
          <w:rFonts w:hint="eastAsia" w:eastAsia="仿宋_GB2312" w:cs="仿宋_GB2312"/>
          <w:bCs/>
          <w:sz w:val="28"/>
          <w:szCs w:val="28"/>
          <w:lang w:val="en-US" w:eastAsia="zh-CN"/>
        </w:rPr>
        <w:t>18873000336</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spacing w:line="560" w:lineRule="exact"/>
              <w:ind w:firstLine="600" w:firstLineChars="200"/>
              <w:rPr>
                <w:rFonts w:hint="eastAsia" w:ascii="仿宋_GB2312" w:hAnsi="仿宋_GB2312" w:eastAsia="仿宋_GB2312" w:cs="仿宋_GB2312"/>
                <w:bCs/>
                <w:sz w:val="28"/>
                <w:szCs w:val="28"/>
              </w:rPr>
            </w:pPr>
            <w:r>
              <w:rPr>
                <w:rFonts w:hint="eastAsia" w:ascii="仿宋" w:eastAsia="仿宋" w:cs="仿宋_GB2312"/>
                <w:sz w:val="30"/>
                <w:szCs w:val="30"/>
              </w:rPr>
              <w:t>湖南东洞庭湖国家级自然保护区管理局位于岳阳市，总面积15.7627万公顷，成立于1982年，主要保护东洞庭湖湿地生态系统和生物资源。1992年加入“国际重要湿地公约”，是我国首批加入“国际重要湿地公约”的六大国际重要湿地之一，1994年经国务院批准升格为国家级自然保护区。我局编制数</w:t>
            </w:r>
            <w:r>
              <w:rPr>
                <w:rFonts w:hint="eastAsia" w:ascii="仿宋" w:eastAsia="仿宋" w:cs="仿宋_GB2312"/>
                <w:sz w:val="30"/>
                <w:szCs w:val="30"/>
                <w:lang w:val="en-US" w:eastAsia="zh-CN"/>
              </w:rPr>
              <w:t>47</w:t>
            </w:r>
            <w:r>
              <w:rPr>
                <w:rFonts w:hint="eastAsia" w:ascii="仿宋" w:eastAsia="仿宋" w:cs="仿宋_GB2312"/>
                <w:sz w:val="30"/>
                <w:szCs w:val="30"/>
                <w:lang w:eastAsia="zh-CN"/>
              </w:rPr>
              <w:t>个</w:t>
            </w:r>
            <w:r>
              <w:rPr>
                <w:rFonts w:hint="eastAsia" w:ascii="仿宋" w:eastAsia="仿宋" w:cs="仿宋_GB2312"/>
                <w:sz w:val="30"/>
                <w:szCs w:val="30"/>
              </w:rPr>
              <w:t>，</w:t>
            </w:r>
            <w:r>
              <w:rPr>
                <w:rFonts w:hint="eastAsia" w:ascii="仿宋" w:eastAsia="仿宋" w:cs="仿宋_GB2312"/>
                <w:sz w:val="30"/>
                <w:szCs w:val="30"/>
                <w:lang w:eastAsia="zh-CN"/>
              </w:rPr>
              <w:t>实有</w:t>
            </w:r>
            <w:r>
              <w:rPr>
                <w:rFonts w:hint="eastAsia" w:ascii="仿宋" w:eastAsia="仿宋" w:cs="仿宋_GB2312"/>
                <w:sz w:val="30"/>
                <w:szCs w:val="30"/>
              </w:rPr>
              <w:t>人数</w:t>
            </w:r>
            <w:r>
              <w:rPr>
                <w:rFonts w:hint="eastAsia" w:ascii="仿宋" w:eastAsia="仿宋" w:cs="仿宋_GB2312"/>
                <w:sz w:val="30"/>
                <w:szCs w:val="30"/>
                <w:lang w:val="en-US" w:eastAsia="zh-CN"/>
              </w:rPr>
              <w:t>54</w:t>
            </w:r>
            <w:r>
              <w:rPr>
                <w:rFonts w:hint="eastAsia" w:ascii="仿宋" w:eastAsia="仿宋" w:cs="仿宋_GB2312"/>
                <w:sz w:val="30"/>
                <w:szCs w:val="30"/>
              </w:rPr>
              <w:t>人，其中在职人员</w:t>
            </w:r>
            <w:r>
              <w:rPr>
                <w:rFonts w:hint="eastAsia" w:ascii="仿宋" w:eastAsia="仿宋" w:cs="仿宋_GB2312"/>
                <w:sz w:val="30"/>
                <w:szCs w:val="30"/>
                <w:lang w:val="en-US" w:eastAsia="zh-CN"/>
              </w:rPr>
              <w:t>42</w:t>
            </w:r>
            <w:r>
              <w:rPr>
                <w:rFonts w:hint="eastAsia" w:ascii="仿宋" w:eastAsia="仿宋" w:cs="仿宋_GB2312"/>
                <w:sz w:val="30"/>
                <w:szCs w:val="30"/>
              </w:rPr>
              <w:t>人，</w:t>
            </w:r>
            <w:r>
              <w:rPr>
                <w:rFonts w:hint="eastAsia" w:ascii="仿宋" w:eastAsia="仿宋" w:cs="仿宋_GB2312"/>
                <w:sz w:val="30"/>
                <w:szCs w:val="30"/>
                <w:lang w:eastAsia="zh-CN"/>
              </w:rPr>
              <w:t>退休</w:t>
            </w:r>
            <w:r>
              <w:rPr>
                <w:rFonts w:hint="eastAsia" w:ascii="仿宋" w:eastAsia="仿宋" w:cs="仿宋_GB2312"/>
                <w:sz w:val="30"/>
                <w:szCs w:val="30"/>
              </w:rPr>
              <w:t>人员1</w:t>
            </w:r>
            <w:r>
              <w:rPr>
                <w:rFonts w:hint="eastAsia" w:ascii="仿宋" w:eastAsia="仿宋" w:cs="仿宋_GB2312"/>
                <w:sz w:val="30"/>
                <w:szCs w:val="30"/>
                <w:lang w:val="en-US" w:eastAsia="zh-CN"/>
              </w:rPr>
              <w:t>2</w:t>
            </w:r>
            <w:r>
              <w:rPr>
                <w:rFonts w:hint="eastAsia" w:ascii="仿宋" w:eastAsia="仿宋" w:cs="仿宋_GB2312"/>
                <w:sz w:val="30"/>
                <w:szCs w:val="30"/>
              </w:rPr>
              <w:t>人。下设5个管理站</w:t>
            </w:r>
            <w:r>
              <w:rPr>
                <w:rFonts w:hint="eastAsia" w:ascii="仿宋" w:eastAsia="仿宋" w:cs="仿宋_GB2312"/>
                <w:sz w:val="30"/>
                <w:szCs w:val="30"/>
                <w:lang w:eastAsia="zh-CN"/>
              </w:rPr>
              <w:t>，</w:t>
            </w:r>
            <w:r>
              <w:rPr>
                <w:rFonts w:hint="eastAsia" w:ascii="仿宋" w:eastAsia="仿宋" w:cs="仿宋_GB2312"/>
                <w:sz w:val="30"/>
                <w:szCs w:val="30"/>
              </w:rPr>
              <w:t>主要保护东洞庭湖湿地生态系统和生物资源。</w:t>
            </w:r>
          </w:p>
          <w:p>
            <w:pPr>
              <w:spacing w:line="560" w:lineRule="exact"/>
              <w:ind w:firstLine="560" w:firstLineChars="200"/>
              <w:rPr>
                <w:rFonts w:ascii="仿宋_GB2312" w:hAnsi="仿宋_GB2312" w:eastAsia="仿宋_GB2312" w:cs="仿宋_GB2312"/>
                <w:bCs/>
                <w:sz w:val="28"/>
                <w:szCs w:val="28"/>
              </w:rPr>
            </w:pPr>
          </w:p>
          <w:p>
            <w:pPr>
              <w:numPr>
                <w:ilvl w:val="0"/>
                <w:numId w:val="1"/>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部门（单位）整体支出规模、使用方向和主要内容、涉及范围等</w:t>
            </w:r>
          </w:p>
          <w:p>
            <w:pPr>
              <w:pStyle w:val="2"/>
              <w:numPr>
                <w:ilvl w:val="0"/>
                <w:numId w:val="0"/>
              </w:numPr>
              <w:spacing w:after="0"/>
              <w:ind w:left="0" w:leftChars="0" w:firstLine="600" w:firstLineChars="200"/>
              <w:rPr>
                <w:rFonts w:hint="default" w:ascii="仿宋" w:eastAsia="仿宋" w:cs="仿宋_GB2312"/>
                <w:sz w:val="30"/>
                <w:szCs w:val="30"/>
                <w:lang w:val="en-US" w:eastAsia="zh-CN"/>
              </w:rPr>
            </w:pPr>
            <w:r>
              <w:rPr>
                <w:rFonts w:hint="eastAsia" w:ascii="仿宋" w:eastAsia="仿宋" w:cs="仿宋_GB2312"/>
                <w:sz w:val="30"/>
                <w:szCs w:val="30"/>
                <w:lang w:val="en-US" w:eastAsia="zh-CN"/>
              </w:rPr>
              <w:t>2021年我局整体支出4791.69万元，其中基本支出606.71万元，项目支出4184.98</w:t>
            </w:r>
            <w:r>
              <w:rPr>
                <w:rFonts w:hint="eastAsia" w:ascii="仿宋" w:eastAsia="仿宋" w:cs="仿宋_GB2312"/>
                <w:sz w:val="30"/>
                <w:szCs w:val="30"/>
              </w:rPr>
              <w:t>万元</w:t>
            </w:r>
            <w:r>
              <w:rPr>
                <w:rFonts w:hint="eastAsia" w:ascii="仿宋" w:eastAsia="仿宋" w:cs="仿宋_GB2312"/>
                <w:sz w:val="30"/>
                <w:szCs w:val="30"/>
                <w:lang w:eastAsia="zh-CN"/>
              </w:rPr>
              <w:t>，</w:t>
            </w:r>
            <w:r>
              <w:rPr>
                <w:rFonts w:hint="eastAsia" w:ascii="仿宋" w:eastAsia="仿宋" w:cs="仿宋_GB2312"/>
                <w:sz w:val="30"/>
                <w:szCs w:val="30"/>
                <w:lang w:val="en-US" w:eastAsia="zh-CN"/>
              </w:rPr>
              <w:t>基本支出是维持机关运行及完成所有工作规划所发生的基本支出。项目支出4184.98万元，主要用于自然生态保护、湿地保护和修复项目、湿地生态效益补偿项目、山水林田湖草项目等开支。</w:t>
            </w:r>
          </w:p>
          <w:p>
            <w:pPr>
              <w:pStyle w:val="2"/>
              <w:numPr>
                <w:ilvl w:val="0"/>
                <w:numId w:val="0"/>
              </w:num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600" w:firstLineChars="200"/>
              <w:rPr>
                <w:rFonts w:hint="eastAsia" w:ascii="仿宋" w:eastAsia="仿宋" w:cs="仿宋_GB2312"/>
                <w:sz w:val="30"/>
                <w:szCs w:val="30"/>
              </w:rPr>
            </w:pPr>
            <w:r>
              <w:rPr>
                <w:rFonts w:hint="eastAsia" w:ascii="仿宋" w:eastAsia="仿宋" w:cs="仿宋_GB2312"/>
                <w:sz w:val="30"/>
                <w:szCs w:val="30"/>
              </w:rPr>
              <w:t>20</w:t>
            </w:r>
            <w:r>
              <w:rPr>
                <w:rFonts w:hint="eastAsia" w:ascii="仿宋" w:eastAsia="仿宋" w:cs="仿宋_GB2312"/>
                <w:sz w:val="30"/>
                <w:szCs w:val="30"/>
                <w:lang w:val="en-US" w:eastAsia="zh-CN"/>
              </w:rPr>
              <w:t>21</w:t>
            </w:r>
            <w:r>
              <w:rPr>
                <w:rFonts w:hint="eastAsia" w:ascii="仿宋" w:eastAsia="仿宋" w:cs="仿宋_GB2312"/>
                <w:sz w:val="30"/>
                <w:szCs w:val="30"/>
              </w:rPr>
              <w:t>年基本支出</w:t>
            </w:r>
            <w:r>
              <w:rPr>
                <w:rFonts w:hint="eastAsia" w:ascii="仿宋" w:eastAsia="仿宋" w:cs="仿宋_GB2312"/>
                <w:sz w:val="30"/>
                <w:szCs w:val="30"/>
                <w:lang w:val="en-US" w:eastAsia="zh-CN"/>
              </w:rPr>
              <w:t>606.71</w:t>
            </w:r>
            <w:r>
              <w:rPr>
                <w:rFonts w:hint="eastAsia" w:ascii="仿宋" w:eastAsia="仿宋" w:cs="仿宋_GB2312"/>
                <w:sz w:val="30"/>
                <w:szCs w:val="30"/>
              </w:rPr>
              <w:t>万元，其中人员经费</w:t>
            </w:r>
            <w:r>
              <w:rPr>
                <w:rFonts w:hint="eastAsia" w:ascii="仿宋" w:eastAsia="仿宋" w:cs="仿宋_GB2312"/>
                <w:sz w:val="30"/>
                <w:szCs w:val="30"/>
                <w:lang w:val="en-US" w:eastAsia="zh-CN"/>
              </w:rPr>
              <w:t>557.39</w:t>
            </w:r>
            <w:r>
              <w:rPr>
                <w:rFonts w:hint="eastAsia" w:ascii="仿宋" w:eastAsia="仿宋" w:cs="仿宋_GB2312"/>
                <w:sz w:val="30"/>
                <w:szCs w:val="30"/>
              </w:rPr>
              <w:t>万元，公用经费</w:t>
            </w:r>
            <w:r>
              <w:rPr>
                <w:rFonts w:hint="eastAsia" w:ascii="仿宋" w:eastAsia="仿宋" w:cs="仿宋_GB2312"/>
                <w:sz w:val="30"/>
                <w:szCs w:val="30"/>
                <w:lang w:val="en-US" w:eastAsia="zh-CN"/>
              </w:rPr>
              <w:t>49.32</w:t>
            </w:r>
            <w:r>
              <w:rPr>
                <w:rFonts w:hint="eastAsia" w:ascii="仿宋" w:eastAsia="仿宋" w:cs="仿宋_GB2312"/>
                <w:sz w:val="30"/>
                <w:szCs w:val="30"/>
              </w:rPr>
              <w:t>万元。</w:t>
            </w:r>
          </w:p>
          <w:p>
            <w:pPr>
              <w:spacing w:line="560" w:lineRule="exact"/>
              <w:ind w:firstLine="560" w:firstLineChars="200"/>
              <w:rPr>
                <w:rFonts w:ascii="仿宋_GB2312" w:hAnsi="仿宋_GB2312" w:eastAsia="仿宋_GB2312" w:cs="仿宋_GB2312"/>
                <w:bCs/>
                <w:sz w:val="28"/>
                <w:szCs w:val="28"/>
              </w:rPr>
            </w:pP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600" w:firstLineChars="200"/>
              <w:rPr>
                <w:rFonts w:hint="eastAsia" w:ascii="仿宋" w:eastAsia="仿宋" w:cs="仿宋_GB2312"/>
                <w:sz w:val="30"/>
                <w:szCs w:val="30"/>
                <w:lang w:val="en-US" w:eastAsia="zh-CN"/>
              </w:rPr>
            </w:pPr>
            <w:r>
              <w:rPr>
                <w:rFonts w:hint="eastAsia" w:ascii="仿宋" w:eastAsia="仿宋" w:cs="仿宋_GB2312"/>
                <w:sz w:val="30"/>
                <w:szCs w:val="30"/>
              </w:rPr>
              <w:t>20</w:t>
            </w:r>
            <w:r>
              <w:rPr>
                <w:rFonts w:hint="eastAsia" w:ascii="仿宋" w:eastAsia="仿宋" w:cs="仿宋_GB2312"/>
                <w:sz w:val="30"/>
                <w:szCs w:val="30"/>
                <w:lang w:val="en-US" w:eastAsia="zh-CN"/>
              </w:rPr>
              <w:t>21</w:t>
            </w:r>
            <w:r>
              <w:rPr>
                <w:rFonts w:hint="eastAsia" w:ascii="仿宋" w:eastAsia="仿宋" w:cs="仿宋_GB2312"/>
                <w:sz w:val="30"/>
                <w:szCs w:val="30"/>
              </w:rPr>
              <w:t>年专项支出</w:t>
            </w:r>
            <w:r>
              <w:rPr>
                <w:rFonts w:hint="eastAsia" w:ascii="仿宋" w:eastAsia="仿宋" w:cs="仿宋_GB2312"/>
                <w:sz w:val="30"/>
                <w:szCs w:val="30"/>
                <w:lang w:val="en-US" w:eastAsia="zh-CN"/>
              </w:rPr>
              <w:t>4184.98</w:t>
            </w:r>
            <w:r>
              <w:rPr>
                <w:rFonts w:hint="eastAsia" w:ascii="仿宋" w:eastAsia="仿宋" w:cs="仿宋_GB2312"/>
                <w:sz w:val="30"/>
                <w:szCs w:val="30"/>
              </w:rPr>
              <w:t>万元</w:t>
            </w:r>
            <w:r>
              <w:rPr>
                <w:rFonts w:hint="eastAsia" w:ascii="仿宋" w:eastAsia="仿宋" w:cs="仿宋_GB2312"/>
                <w:sz w:val="30"/>
                <w:szCs w:val="30"/>
                <w:lang w:val="en-US" w:eastAsia="zh-CN"/>
              </w:rPr>
              <w:t>分别为自然生态保护、湿地保护和修复项目、湿地生态效益补偿项目、山水林田湖草项目等支出。</w:t>
            </w:r>
          </w:p>
          <w:p>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专项资金实际使用情况分析</w:t>
            </w:r>
          </w:p>
          <w:p>
            <w:pPr>
              <w:pStyle w:val="2"/>
              <w:numPr>
                <w:ilvl w:val="0"/>
                <w:numId w:val="0"/>
              </w:numPr>
              <w:spacing w:after="0"/>
              <w:ind w:left="0" w:leftChars="0"/>
            </w:pPr>
            <w:r>
              <w:rPr>
                <w:rFonts w:hint="eastAsia"/>
                <w:lang w:val="en-US" w:eastAsia="zh-CN"/>
              </w:rPr>
              <w:t xml:space="preserve">     </w:t>
            </w:r>
            <w:r>
              <w:rPr>
                <w:rFonts w:hint="eastAsia" w:ascii="仿宋" w:eastAsia="仿宋" w:cs="仿宋_GB2312"/>
                <w:kern w:val="2"/>
                <w:sz w:val="30"/>
                <w:szCs w:val="30"/>
                <w:lang w:val="en-US" w:eastAsia="zh-CN" w:bidi="ar-SA"/>
              </w:rPr>
              <w:t>项目资金严格按照市财政局的要求实行国库集中支付管理，全程由财政局监控支付。这样一方面确保了资金的安全，另一方面可更好地促进项目的按质量要求落实。</w:t>
            </w:r>
          </w:p>
          <w:p>
            <w:pPr>
              <w:numPr>
                <w:ilvl w:val="0"/>
                <w:numId w:val="2"/>
              </w:numPr>
              <w:spacing w:line="560" w:lineRule="exact"/>
              <w:ind w:left="0" w:leftChars="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专项资金管理情况分析</w:t>
            </w:r>
          </w:p>
          <w:p>
            <w:pPr>
              <w:spacing w:line="560" w:lineRule="exact"/>
              <w:ind w:firstLine="600" w:firstLineChars="200"/>
            </w:pPr>
            <w:r>
              <w:rPr>
                <w:rFonts w:hint="eastAsia" w:ascii="仿宋" w:eastAsia="仿宋" w:cs="仿宋_GB2312"/>
                <w:sz w:val="30"/>
                <w:szCs w:val="30"/>
              </w:rPr>
              <w:t>为加强项目的资金管理，提高项目建设质量，确保项目内容顺利实施，保护区建立了健全的资金管理办法，规定了项目资金的使用范围，确保专款专用；加强了对资金使用情况的核查、审计和监督</w:t>
            </w:r>
            <w:r>
              <w:rPr>
                <w:rFonts w:hint="eastAsia" w:ascii="仿宋" w:eastAsia="仿宋" w:cs="仿宋_GB2312"/>
                <w:sz w:val="30"/>
                <w:szCs w:val="30"/>
                <w:lang w:eastAsia="zh-CN"/>
              </w:rPr>
              <w:t>，</w:t>
            </w:r>
            <w:r>
              <w:rPr>
                <w:rFonts w:hint="eastAsia" w:ascii="仿宋" w:eastAsia="仿宋" w:cs="仿宋_GB2312"/>
                <w:sz w:val="30"/>
                <w:szCs w:val="30"/>
                <w:lang w:val="en-US" w:eastAsia="zh-CN"/>
              </w:rPr>
              <w:t>2021年我局接受了市审计局对我们的环保专项审计和2019-2020年收支审计</w:t>
            </w:r>
            <w:r>
              <w:rPr>
                <w:rFonts w:hint="eastAsia" w:ascii="仿宋" w:eastAsia="仿宋" w:cs="仿宋_GB2312"/>
                <w:sz w:val="30"/>
                <w:szCs w:val="30"/>
              </w:rPr>
              <w:t>；项目实施严格遵照方案执行，严格监督预算编制和执行过程，保证了资金使用安全、合法与合理。</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我局班子高度重视专项的申报、实施、验收等工作，成立了专门的专项管理领导小组，从专项的申报、批复到实施阶段的概算、建设、验收等各环节的监控，确保了专项的完整、安全。</w:t>
            </w:r>
          </w:p>
          <w:p>
            <w:pPr>
              <w:pStyle w:val="2"/>
            </w:pPr>
          </w:p>
          <w:p>
            <w:pPr>
              <w:numPr>
                <w:ilvl w:val="0"/>
                <w:numId w:val="0"/>
              </w:numPr>
              <w:spacing w:line="560" w:lineRule="exact"/>
              <w:ind w:leftChars="200" w:firstLine="280" w:firstLineChars="1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（二）</w:t>
            </w:r>
            <w:r>
              <w:rPr>
                <w:rFonts w:hint="eastAsia" w:ascii="仿宋_GB2312" w:hAnsi="仿宋_GB2312" w:eastAsia="仿宋_GB2312" w:cs="仿宋_GB2312"/>
                <w:bCs/>
                <w:sz w:val="28"/>
                <w:szCs w:val="28"/>
              </w:rPr>
              <w:t>专项管理情况分析</w:t>
            </w:r>
          </w:p>
          <w:p>
            <w:pPr>
              <w:ind w:firstLine="600" w:firstLineChars="200"/>
              <w:rPr>
                <w:rFonts w:hint="eastAsia" w:ascii="仿宋" w:eastAsia="仿宋" w:cs="仿宋_GB2312"/>
                <w:sz w:val="30"/>
                <w:szCs w:val="30"/>
              </w:rPr>
            </w:pPr>
            <w:r>
              <w:rPr>
                <w:rFonts w:hint="eastAsia" w:ascii="仿宋" w:eastAsia="仿宋" w:cs="仿宋_GB2312"/>
                <w:sz w:val="30"/>
                <w:szCs w:val="30"/>
                <w:lang w:val="en-US" w:eastAsia="zh-CN"/>
              </w:rPr>
              <w:t>1、</w:t>
            </w:r>
            <w:r>
              <w:rPr>
                <w:rFonts w:hint="eastAsia" w:ascii="仿宋" w:eastAsia="仿宋" w:cs="仿宋_GB2312"/>
                <w:sz w:val="30"/>
                <w:szCs w:val="30"/>
              </w:rPr>
              <w:t>预算管理。严格执行预算管理，按部门预算方案实施和执行。</w:t>
            </w:r>
          </w:p>
          <w:p>
            <w:pPr>
              <w:ind w:firstLine="600" w:firstLineChars="200"/>
              <w:rPr>
                <w:rFonts w:hint="eastAsia" w:ascii="仿宋" w:eastAsia="仿宋" w:cs="仿宋_GB2312"/>
                <w:sz w:val="30"/>
                <w:szCs w:val="30"/>
              </w:rPr>
            </w:pPr>
            <w:r>
              <w:rPr>
                <w:rFonts w:hint="eastAsia" w:ascii="仿宋" w:eastAsia="仿宋" w:cs="仿宋_GB2312"/>
                <w:sz w:val="30"/>
                <w:szCs w:val="30"/>
                <w:lang w:val="en-US" w:eastAsia="zh-CN"/>
              </w:rPr>
              <w:t>2、</w:t>
            </w:r>
            <w:r>
              <w:rPr>
                <w:rFonts w:hint="eastAsia" w:ascii="仿宋" w:eastAsia="仿宋" w:cs="仿宋_GB2312"/>
                <w:sz w:val="30"/>
                <w:szCs w:val="30"/>
              </w:rPr>
              <w:t>合同管理。严格执行合同管理，根据相关法律法规要求及工作内容，签订协议，严格按协议执行资金管理。</w:t>
            </w:r>
          </w:p>
          <w:p>
            <w:pPr>
              <w:ind w:firstLine="600" w:firstLineChars="200"/>
              <w:rPr>
                <w:rFonts w:hint="eastAsia" w:ascii="仿宋" w:eastAsia="仿宋" w:cs="仿宋_GB2312"/>
                <w:sz w:val="30"/>
                <w:szCs w:val="30"/>
              </w:rPr>
            </w:pPr>
            <w:r>
              <w:rPr>
                <w:rFonts w:hint="eastAsia" w:ascii="仿宋" w:eastAsia="仿宋" w:cs="仿宋_GB2312"/>
                <w:sz w:val="30"/>
                <w:szCs w:val="30"/>
                <w:lang w:val="en-US" w:eastAsia="zh-CN"/>
              </w:rPr>
              <w:t>3、</w:t>
            </w:r>
            <w:r>
              <w:rPr>
                <w:rFonts w:hint="eastAsia" w:ascii="仿宋" w:eastAsia="仿宋" w:cs="仿宋_GB2312"/>
                <w:sz w:val="30"/>
                <w:szCs w:val="30"/>
              </w:rPr>
              <w:t>支付管理。严格按财政部门国库集中支付的程序，执行部门预算资金的支付管理。</w:t>
            </w:r>
          </w:p>
          <w:p>
            <w:pPr>
              <w:ind w:firstLine="600" w:firstLineChars="200"/>
            </w:pPr>
            <w:r>
              <w:rPr>
                <w:rFonts w:hint="eastAsia" w:ascii="仿宋" w:eastAsia="仿宋" w:cs="仿宋_GB2312"/>
                <w:sz w:val="30"/>
                <w:szCs w:val="30"/>
                <w:lang w:val="en-US" w:eastAsia="zh-CN"/>
              </w:rPr>
              <w:t>4、</w:t>
            </w:r>
            <w:r>
              <w:rPr>
                <w:rFonts w:hint="eastAsia" w:ascii="仿宋" w:eastAsia="仿宋" w:cs="仿宋_GB2312"/>
                <w:sz w:val="30"/>
                <w:szCs w:val="30"/>
              </w:rPr>
              <w:t>制度管理。严格按《预算管理办法》和我局《</w:t>
            </w:r>
            <w:r>
              <w:rPr>
                <w:rFonts w:hint="eastAsia" w:ascii="仿宋" w:eastAsia="仿宋" w:cs="仿宋_GB2312"/>
                <w:sz w:val="30"/>
                <w:szCs w:val="30"/>
                <w:lang w:eastAsia="zh-CN"/>
              </w:rPr>
              <w:t>收支业务管理制度</w:t>
            </w:r>
            <w:r>
              <w:rPr>
                <w:rFonts w:hint="eastAsia" w:ascii="仿宋" w:eastAsia="仿宋" w:cs="仿宋_GB2312"/>
                <w:sz w:val="30"/>
                <w:szCs w:val="30"/>
              </w:rPr>
              <w:t>》进行管理。</w:t>
            </w:r>
          </w:p>
          <w:p>
            <w:pPr>
              <w:spacing w:line="560" w:lineRule="exact"/>
              <w:ind w:firstLine="560" w:firstLineChars="200"/>
              <w:rPr>
                <w:rFonts w:hint="eastAsia" w:ascii="黑体" w:hAnsi="黑体" w:eastAsia="黑体" w:cs="黑体"/>
                <w:bCs/>
                <w:color w:val="auto"/>
                <w:sz w:val="28"/>
                <w:szCs w:val="28"/>
              </w:rPr>
            </w:pPr>
            <w:r>
              <w:rPr>
                <w:rFonts w:hint="eastAsia" w:ascii="黑体" w:hAnsi="黑体" w:eastAsia="黑体" w:cs="黑体"/>
                <w:bCs/>
                <w:color w:val="auto"/>
                <w:sz w:val="28"/>
                <w:szCs w:val="28"/>
              </w:rPr>
              <w:t>四、部门（单位）整体支出绩效情况</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ascii="仿宋" w:eastAsia="仿宋"/>
                <w:b/>
                <w:bCs/>
                <w:sz w:val="32"/>
                <w:szCs w:val="32"/>
              </w:rPr>
            </w:pPr>
            <w:r>
              <w:rPr>
                <w:rFonts w:hint="eastAsia" w:ascii="华文楷体" w:hAnsi="华文楷体" w:eastAsia="华文楷体" w:cs="华文楷体"/>
                <w:sz w:val="32"/>
                <w:szCs w:val="32"/>
                <w:lang w:eastAsia="zh-CN"/>
              </w:rPr>
              <w:t>一、</w:t>
            </w:r>
            <w:r>
              <w:rPr>
                <w:rFonts w:hint="eastAsia" w:ascii="仿宋" w:eastAsia="仿宋"/>
                <w:b/>
                <w:bCs/>
                <w:sz w:val="32"/>
                <w:szCs w:val="32"/>
              </w:rPr>
              <w:t>坚持</w:t>
            </w:r>
            <w:r>
              <w:rPr>
                <w:rFonts w:ascii="仿宋" w:eastAsia="仿宋"/>
                <w:b/>
                <w:bCs/>
                <w:sz w:val="32"/>
                <w:szCs w:val="32"/>
              </w:rPr>
              <w:t>问题导向</w:t>
            </w:r>
            <w:r>
              <w:rPr>
                <w:rFonts w:hint="eastAsia" w:ascii="仿宋" w:eastAsia="仿宋"/>
                <w:b/>
                <w:bCs/>
                <w:sz w:val="32"/>
                <w:szCs w:val="32"/>
              </w:rPr>
              <w:t>，</w:t>
            </w:r>
            <w:r>
              <w:rPr>
                <w:rFonts w:ascii="仿宋" w:eastAsia="仿宋"/>
                <w:b/>
                <w:bCs/>
                <w:sz w:val="32"/>
                <w:szCs w:val="32"/>
              </w:rPr>
              <w:t>生态保护呈现新成效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华文仿宋" w:hAnsi="华文仿宋" w:eastAsia="华文仿宋" w:cs="华文仿宋"/>
                <w:color w:val="auto"/>
                <w:sz w:val="32"/>
                <w:szCs w:val="32"/>
              </w:rPr>
            </w:pPr>
            <w:r>
              <w:rPr>
                <w:rFonts w:hint="eastAsia" w:ascii="楷体" w:hAnsi="楷体" w:eastAsia="楷体" w:cs="楷体"/>
                <w:b/>
                <w:bCs w:val="0"/>
                <w:color w:val="auto"/>
                <w:sz w:val="32"/>
                <w:szCs w:val="32"/>
                <w:lang w:eastAsia="zh-CN"/>
              </w:rPr>
              <w:t>一是</w:t>
            </w:r>
            <w:r>
              <w:rPr>
                <w:rFonts w:hint="eastAsia" w:ascii="楷体" w:hAnsi="楷体" w:eastAsia="楷体" w:cs="楷体"/>
                <w:b/>
                <w:bCs w:val="0"/>
                <w:color w:val="auto"/>
                <w:sz w:val="32"/>
                <w:szCs w:val="32"/>
              </w:rPr>
              <w:t>强化生态保护</w:t>
            </w:r>
            <w:r>
              <w:rPr>
                <w:rFonts w:hint="eastAsia" w:ascii="楷体" w:hAnsi="楷体" w:eastAsia="楷体" w:cs="楷体"/>
                <w:b/>
                <w:bCs w:val="0"/>
                <w:color w:val="auto"/>
                <w:sz w:val="32"/>
                <w:szCs w:val="32"/>
                <w:lang w:eastAsia="zh-CN"/>
              </w:rPr>
              <w:t>。</w:t>
            </w:r>
            <w:r>
              <w:rPr>
                <w:rFonts w:hint="eastAsia" w:ascii="华文仿宋" w:hAnsi="华文仿宋" w:eastAsia="华文仿宋" w:cs="华文仿宋"/>
                <w:color w:val="auto"/>
                <w:sz w:val="32"/>
                <w:szCs w:val="32"/>
              </w:rPr>
              <w:t>多次联合岳阳市森林公安局等职能部门开展麋鹿、鸟类等野生动物保护集中巡护执法行动，销毁捕鸟网12张150余米，查获非法狩猎案件2起。全面开展保护区范围内重点水域禁捕退捕专项整治工作，联合林业、公安、农业农村、渔政等职能部门和洞庭湖生态保护协会、反电鱼志愿者协会等开展巡护巡查30余次，现场制止、劝阻、教育垂钓人员1000余人次，收缴销毁非法捕捞工具20余件，查处涉嫌非法捕捞案件5起，放生各类渔获物450余公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hint="eastAsia" w:ascii="华文仿宋" w:hAnsi="华文仿宋" w:eastAsia="华文仿宋" w:cs="华文仿宋"/>
                <w:color w:val="auto"/>
                <w:sz w:val="32"/>
                <w:szCs w:val="32"/>
                <w:lang w:eastAsia="zh-CN"/>
              </w:rPr>
            </w:pPr>
            <w:r>
              <w:rPr>
                <w:rFonts w:hint="eastAsia" w:ascii="楷体" w:hAnsi="楷体" w:eastAsia="楷体" w:cs="楷体"/>
                <w:b/>
                <w:bCs/>
                <w:color w:val="auto"/>
                <w:sz w:val="32"/>
                <w:szCs w:val="32"/>
                <w:lang w:eastAsia="zh-CN"/>
              </w:rPr>
              <w:t>二是</w:t>
            </w:r>
            <w:r>
              <w:rPr>
                <w:rFonts w:hint="eastAsia" w:ascii="楷体" w:hAnsi="楷体" w:eastAsia="楷体" w:cs="楷体"/>
                <w:b/>
                <w:bCs/>
                <w:color w:val="auto"/>
                <w:sz w:val="32"/>
                <w:szCs w:val="32"/>
              </w:rPr>
              <w:t>推进问题整改。</w:t>
            </w:r>
            <w:r>
              <w:rPr>
                <w:rFonts w:hint="eastAsia" w:ascii="华文仿宋" w:hAnsi="华文仿宋" w:eastAsia="华文仿宋" w:cs="华文仿宋"/>
                <w:color w:val="auto"/>
                <w:sz w:val="32"/>
                <w:szCs w:val="32"/>
              </w:rPr>
              <w:t>配合上级主管部门做好第二轮中央生态环保督察工作，认真按照市委市政府决策部署，对标对表，举一反三，压实整改责任。组织力量全面排查保护区范围内生态环境破坏问题，对已整改销号的中央环保督察及“回头看”、长江经济带警示片等反馈问题全面开展“回头看”，严防问题反弹。开展“污染防治攻坚战”和“洞庭清波”专项行动，制止开垦湿地洲滩的破坏行为2起，查处非法采砂案件1起。切实扛牢“守护好一江碧水”首倡地的政治责任</w:t>
            </w:r>
            <w:r>
              <w:rPr>
                <w:rFonts w:hint="eastAsia" w:ascii="华文仿宋" w:hAnsi="华文仿宋" w:eastAsia="华文仿宋" w:cs="华文仿宋"/>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hint="eastAsia" w:ascii="华文仿宋" w:hAnsi="华文仿宋" w:eastAsia="华文仿宋" w:cs="华文仿宋"/>
                <w:color w:val="auto"/>
                <w:sz w:val="32"/>
                <w:szCs w:val="32"/>
              </w:rPr>
            </w:pPr>
            <w:r>
              <w:rPr>
                <w:rFonts w:hint="eastAsia" w:ascii="楷体" w:hAnsi="楷体" w:eastAsia="楷体" w:cs="楷体"/>
                <w:b/>
                <w:bCs/>
                <w:color w:val="auto"/>
                <w:sz w:val="32"/>
                <w:szCs w:val="32"/>
                <w:lang w:eastAsia="zh-CN"/>
              </w:rPr>
              <w:t>三是</w:t>
            </w:r>
            <w:r>
              <w:rPr>
                <w:rFonts w:hint="eastAsia" w:ascii="楷体" w:hAnsi="楷体" w:eastAsia="楷体" w:cs="楷体"/>
                <w:b/>
                <w:bCs/>
                <w:color w:val="auto"/>
                <w:sz w:val="32"/>
                <w:szCs w:val="32"/>
              </w:rPr>
              <w:t>核查遥感问题。</w:t>
            </w:r>
            <w:r>
              <w:rPr>
                <w:rFonts w:hint="eastAsia" w:ascii="华文仿宋" w:hAnsi="华文仿宋" w:eastAsia="华文仿宋" w:cs="华文仿宋"/>
                <w:color w:val="auto"/>
                <w:sz w:val="32"/>
                <w:szCs w:val="32"/>
              </w:rPr>
              <w:t>组织人员对生态环境部指出的2020年106个遥感监测疑似重点问题、国家林草局指出的2021年第二批国家级自然保护区人类活动遥感监测22处问题、市生态环境保护委员会办公室和洞庭湖生态经济区建设领导小组办公室下发的涉及保护区的“围湖圈地”“沙石码头堆场”“畜禽养殖”“欧美黑杨”等问题，认真开展实地核查，建立问题台账，形成核查报告并按要求完成上报。同时配合相关牵头单位开展问题核实和督办整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hint="eastAsia" w:ascii="华文仿宋" w:hAnsi="华文仿宋" w:eastAsia="华文仿宋" w:cs="华文仿宋"/>
                <w:color w:val="auto"/>
                <w:sz w:val="32"/>
                <w:szCs w:val="32"/>
              </w:rPr>
            </w:pPr>
            <w:r>
              <w:rPr>
                <w:rFonts w:hint="eastAsia" w:ascii="楷体" w:hAnsi="楷体" w:eastAsia="楷体" w:cs="楷体"/>
                <w:b/>
                <w:bCs/>
                <w:color w:val="auto"/>
                <w:sz w:val="32"/>
                <w:szCs w:val="32"/>
                <w:lang w:eastAsia="zh-CN"/>
              </w:rPr>
              <w:t>四是</w:t>
            </w:r>
            <w:r>
              <w:rPr>
                <w:rFonts w:hint="eastAsia" w:ascii="楷体" w:hAnsi="楷体" w:eastAsia="楷体" w:cs="楷体"/>
                <w:b/>
                <w:bCs/>
                <w:color w:val="auto"/>
                <w:sz w:val="32"/>
                <w:szCs w:val="32"/>
              </w:rPr>
              <w:t>修改完善整合优化预案。</w:t>
            </w:r>
            <w:r>
              <w:rPr>
                <w:rFonts w:hint="eastAsia" w:ascii="华文仿宋" w:hAnsi="华文仿宋" w:eastAsia="华文仿宋" w:cs="华文仿宋"/>
                <w:color w:val="auto"/>
                <w:sz w:val="32"/>
                <w:szCs w:val="32"/>
              </w:rPr>
              <w:t>按国家林草局要求两次修改完善保护区整合优化预案，积极对接上级部门，专题汇报，全力争取国家林草局、省林业局和整合预案技术审查单位及评审专家对保护区整合优化预案的支持，协调解决了君山岛、岳阳港等重大矛盾冲突。目前评审入库的整合优化预案基本解决了保护区历史遗留问题及矛盾冲突，为岳阳争取了发展空间，较好的解决了制约岳阳经济社会发展的瓶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ascii="仿宋" w:eastAsia="仿宋"/>
                <w:b/>
                <w:bCs/>
                <w:sz w:val="32"/>
                <w:szCs w:val="32"/>
              </w:rPr>
            </w:pPr>
            <w:r>
              <w:rPr>
                <w:rFonts w:hint="eastAsia" w:ascii="华文仿宋" w:hAnsi="华文仿宋" w:eastAsia="华文仿宋" w:cs="华文仿宋"/>
                <w:b/>
                <w:color w:val="auto"/>
                <w:kern w:val="0"/>
                <w:sz w:val="32"/>
                <w:szCs w:val="32"/>
                <w:lang w:eastAsia="zh-CN"/>
              </w:rPr>
              <w:t>二、</w:t>
            </w:r>
            <w:r>
              <w:rPr>
                <w:rFonts w:hint="eastAsia" w:ascii="仿宋" w:eastAsia="仿宋"/>
                <w:b/>
                <w:bCs/>
                <w:sz w:val="32"/>
                <w:szCs w:val="32"/>
              </w:rPr>
              <w:t>坚持</w:t>
            </w:r>
            <w:r>
              <w:rPr>
                <w:rFonts w:ascii="仿宋" w:eastAsia="仿宋"/>
                <w:b/>
                <w:bCs/>
                <w:sz w:val="32"/>
                <w:szCs w:val="32"/>
              </w:rPr>
              <w:t>生态优先</w:t>
            </w:r>
            <w:r>
              <w:rPr>
                <w:rFonts w:hint="eastAsia" w:ascii="仿宋" w:eastAsia="仿宋"/>
                <w:b/>
                <w:bCs/>
                <w:sz w:val="32"/>
                <w:szCs w:val="32"/>
              </w:rPr>
              <w:t>，</w:t>
            </w:r>
            <w:r>
              <w:rPr>
                <w:rFonts w:ascii="仿宋" w:eastAsia="仿宋"/>
                <w:b/>
                <w:bCs/>
                <w:sz w:val="32"/>
                <w:szCs w:val="32"/>
              </w:rPr>
              <w:t>项目建设有了新突破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华文仿宋" w:hAnsi="华文仿宋" w:eastAsia="华文仿宋" w:cs="华文仿宋"/>
                <w:color w:val="auto"/>
                <w:sz w:val="32"/>
                <w:szCs w:val="32"/>
                <w:lang w:val="en-US" w:eastAsia="zh-CN"/>
              </w:rPr>
            </w:pPr>
            <w:r>
              <w:rPr>
                <w:rFonts w:hint="eastAsia" w:ascii="楷体" w:hAnsi="楷体" w:eastAsia="楷体" w:cs="楷体"/>
                <w:b/>
                <w:bCs/>
                <w:color w:val="auto"/>
                <w:kern w:val="0"/>
                <w:sz w:val="32"/>
                <w:szCs w:val="32"/>
                <w:lang w:eastAsia="zh-CN"/>
              </w:rPr>
              <w:t>一是扎实稳妥推进在建项目。</w:t>
            </w:r>
            <w:r>
              <w:rPr>
                <w:rFonts w:hint="eastAsia" w:ascii="华文仿宋" w:hAnsi="华文仿宋" w:eastAsia="华文仿宋" w:cs="华文仿宋"/>
                <w:color w:val="auto"/>
                <w:sz w:val="32"/>
                <w:szCs w:val="32"/>
                <w:lang w:val="en-US" w:eastAsia="zh-CN"/>
              </w:rPr>
              <w:t>完成了湿地保护与修复项目采桑湖、蓄水湖、三岔湖退养还湖、湿地恢复等3个子项工程建设任务；湿地监测管理系统建设全面进入扫尾阶段；植被恢复子项、生境改善、生态廊道和隐蔽地等子项进入招标挂程序；长江、磊石、鹿角、团洲等管理站建设子项完成了施工设计及预算编制；山水林田湖草项目</w:t>
            </w:r>
            <w:r>
              <w:rPr>
                <w:rFonts w:hint="eastAsia" w:ascii="华文仿宋" w:hAnsi="华文仿宋" w:eastAsia="华文仿宋" w:cs="华文仿宋"/>
                <w:color w:val="auto"/>
                <w:sz w:val="32"/>
                <w:szCs w:val="32"/>
                <w:lang w:eastAsia="zh-CN"/>
              </w:rPr>
              <w:t>已向省林业局申请了竣工验收</w:t>
            </w:r>
            <w:r>
              <w:rPr>
                <w:rFonts w:hint="eastAsia" w:ascii="华文仿宋" w:hAnsi="华文仿宋" w:eastAsia="华文仿宋" w:cs="华文仿宋"/>
                <w:color w:val="auto"/>
                <w:sz w:val="32"/>
                <w:szCs w:val="32"/>
                <w:lang w:val="en-US" w:eastAsia="zh-CN"/>
              </w:rPr>
              <w:t>；三峡后续工作规划项目进入决算财审；GEF项目完成了稻渔基地建设、人员外出考察学习、</w:t>
            </w:r>
            <w:r>
              <w:rPr>
                <w:rFonts w:hint="eastAsia" w:ascii="华文仿宋" w:hAnsi="华文仿宋" w:eastAsia="华文仿宋" w:cs="华文仿宋"/>
                <w:color w:val="auto"/>
                <w:sz w:val="32"/>
                <w:szCs w:val="32"/>
              </w:rPr>
              <w:t>《我爱洞庭母亲湖》</w:t>
            </w:r>
            <w:r>
              <w:rPr>
                <w:rFonts w:hint="eastAsia" w:ascii="华文仿宋" w:hAnsi="华文仿宋" w:eastAsia="华文仿宋" w:cs="华文仿宋"/>
                <w:color w:val="auto"/>
                <w:sz w:val="32"/>
                <w:szCs w:val="32"/>
                <w:lang w:eastAsia="zh-CN"/>
              </w:rPr>
              <w:t>生态教材出版等工作，印刷生态教材</w:t>
            </w:r>
            <w:r>
              <w:rPr>
                <w:rFonts w:hint="eastAsia" w:ascii="华文仿宋" w:hAnsi="华文仿宋" w:eastAsia="华文仿宋" w:cs="华文仿宋"/>
                <w:color w:val="auto"/>
                <w:sz w:val="32"/>
                <w:szCs w:val="32"/>
                <w:lang w:val="en-US" w:eastAsia="zh-CN"/>
              </w:rPr>
              <w:t>10000册。通过项目实施，修复受损湿地洲滩301.67公顷，退养还湖扩大湿地面积297.37公顷，改善湿地生境350.87公顷，治理外来入侵物种44.79公顷，水系连通20千米，植被恢复350.38公顷，建设生境岛1.10公顷、隐蔽地126.42公顷；生态廊道建设24.00千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hint="eastAsia" w:ascii="华文仿宋" w:hAnsi="华文仿宋" w:eastAsia="华文仿宋" w:cs="华文仿宋"/>
                <w:color w:val="auto"/>
                <w:sz w:val="32"/>
                <w:szCs w:val="32"/>
                <w:lang w:val="en-US" w:eastAsia="zh-CN"/>
              </w:rPr>
            </w:pPr>
            <w:r>
              <w:rPr>
                <w:rFonts w:hint="eastAsia" w:ascii="楷体" w:hAnsi="楷体" w:eastAsia="楷体" w:cs="楷体"/>
                <w:b/>
                <w:bCs/>
                <w:color w:val="auto"/>
                <w:sz w:val="32"/>
                <w:szCs w:val="32"/>
                <w:lang w:val="en-US" w:eastAsia="zh-CN"/>
              </w:rPr>
              <w:t>二是积极争资争项。</w:t>
            </w:r>
            <w:r>
              <w:rPr>
                <w:rFonts w:hint="eastAsia" w:ascii="华文仿宋" w:hAnsi="华文仿宋" w:eastAsia="华文仿宋" w:cs="华文仿宋"/>
                <w:color w:val="auto"/>
                <w:sz w:val="32"/>
                <w:szCs w:val="32"/>
                <w:lang w:val="en-US" w:eastAsia="zh-CN"/>
              </w:rPr>
              <w:t>全力争取了2000万元的《湖南东洞庭湖国际重要湿地生态效益补偿》项目。根据省林业局要求，</w:t>
            </w:r>
            <w:r>
              <w:rPr>
                <w:rFonts w:hint="eastAsia" w:ascii="华文仿宋" w:hAnsi="华文仿宋" w:eastAsia="华文仿宋" w:cs="华文仿宋"/>
                <w:color w:val="auto"/>
                <w:sz w:val="32"/>
                <w:szCs w:val="32"/>
                <w:lang w:eastAsia="zh-CN"/>
              </w:rPr>
              <w:t>第一时间</w:t>
            </w:r>
            <w:r>
              <w:rPr>
                <w:rFonts w:hint="eastAsia" w:ascii="华文仿宋" w:hAnsi="华文仿宋" w:eastAsia="华文仿宋" w:cs="华文仿宋"/>
                <w:color w:val="auto"/>
                <w:sz w:val="32"/>
                <w:szCs w:val="32"/>
                <w:lang w:val="en-US" w:eastAsia="zh-CN"/>
              </w:rPr>
              <w:t>完成了该项目实施方案编制。目前，湿地生态效益补偿项目已实施完成60%的工作任务，支付资金1200多万元。为解决第十一届</w:t>
            </w:r>
            <w:r>
              <w:rPr>
                <w:rFonts w:hint="eastAsia" w:ascii="华文仿宋" w:hAnsi="华文仿宋" w:eastAsia="华文仿宋" w:cs="华文仿宋"/>
                <w:color w:val="auto"/>
                <w:sz w:val="32"/>
                <w:szCs w:val="32"/>
                <w:lang w:eastAsia="zh-CN"/>
              </w:rPr>
              <w:t>观鸟节资金缺口问题，主动</w:t>
            </w:r>
            <w:r>
              <w:rPr>
                <w:rFonts w:hint="eastAsia" w:ascii="华文仿宋" w:hAnsi="华文仿宋" w:eastAsia="华文仿宋" w:cs="华文仿宋"/>
                <w:color w:val="auto"/>
                <w:kern w:val="0"/>
                <w:sz w:val="32"/>
                <w:szCs w:val="32"/>
                <w:lang w:eastAsia="zh-CN"/>
              </w:rPr>
              <w:t>对接，积极协调，</w:t>
            </w:r>
            <w:r>
              <w:rPr>
                <w:rFonts w:hint="eastAsia" w:ascii="华文仿宋" w:hAnsi="华文仿宋" w:eastAsia="华文仿宋" w:cs="华文仿宋"/>
                <w:color w:val="auto"/>
                <w:sz w:val="32"/>
                <w:szCs w:val="32"/>
                <w:lang w:eastAsia="zh-CN"/>
              </w:rPr>
              <w:t>争取了省财政观鸟节专项资金</w:t>
            </w:r>
            <w:r>
              <w:rPr>
                <w:rFonts w:hint="eastAsia" w:ascii="华文仿宋" w:hAnsi="华文仿宋" w:eastAsia="华文仿宋" w:cs="华文仿宋"/>
                <w:color w:val="auto"/>
                <w:sz w:val="32"/>
                <w:szCs w:val="32"/>
                <w:lang w:val="en-US" w:eastAsia="zh-CN"/>
              </w:rPr>
              <w:t>100万元。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ascii="仿宋" w:eastAsia="仿宋"/>
                <w:b/>
                <w:bCs/>
                <w:sz w:val="32"/>
                <w:szCs w:val="32"/>
              </w:rPr>
            </w:pPr>
            <w:r>
              <w:rPr>
                <w:rFonts w:hint="eastAsia" w:ascii="华文仿宋" w:hAnsi="华文仿宋" w:eastAsia="华文仿宋" w:cs="华文仿宋"/>
                <w:b/>
                <w:color w:val="auto"/>
                <w:kern w:val="0"/>
                <w:sz w:val="32"/>
                <w:szCs w:val="32"/>
                <w:lang w:eastAsia="zh-CN"/>
              </w:rPr>
              <w:t>三、</w:t>
            </w:r>
            <w:r>
              <w:rPr>
                <w:rFonts w:hint="eastAsia" w:ascii="仿宋" w:eastAsia="仿宋"/>
                <w:b/>
                <w:bCs/>
                <w:sz w:val="32"/>
                <w:szCs w:val="32"/>
              </w:rPr>
              <w:t>坚持</w:t>
            </w:r>
            <w:r>
              <w:rPr>
                <w:rFonts w:ascii="仿宋" w:eastAsia="仿宋"/>
                <w:b/>
                <w:bCs/>
                <w:sz w:val="32"/>
                <w:szCs w:val="32"/>
              </w:rPr>
              <w:t>科学保护</w:t>
            </w:r>
            <w:r>
              <w:rPr>
                <w:rFonts w:hint="eastAsia" w:ascii="仿宋" w:eastAsia="仿宋"/>
                <w:b/>
                <w:bCs/>
                <w:sz w:val="32"/>
                <w:szCs w:val="32"/>
              </w:rPr>
              <w:t>，</w:t>
            </w:r>
            <w:r>
              <w:rPr>
                <w:rFonts w:ascii="仿宋" w:eastAsia="仿宋"/>
                <w:b/>
                <w:bCs/>
                <w:sz w:val="32"/>
                <w:szCs w:val="32"/>
              </w:rPr>
              <w:t>科研监测突出新成果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华文仿宋" w:hAnsi="华文仿宋" w:eastAsia="华文仿宋" w:cs="华文仿宋"/>
                <w:b w:val="0"/>
                <w:bCs w:val="0"/>
                <w:color w:val="auto"/>
                <w:sz w:val="32"/>
                <w:szCs w:val="32"/>
                <w:lang w:val="en-US" w:eastAsia="zh-CN"/>
              </w:rPr>
            </w:pPr>
            <w:r>
              <w:rPr>
                <w:rFonts w:hint="eastAsia" w:ascii="楷体" w:hAnsi="楷体" w:eastAsia="楷体" w:cs="楷体"/>
                <w:b/>
                <w:bCs w:val="0"/>
                <w:color w:val="auto"/>
                <w:sz w:val="32"/>
                <w:szCs w:val="32"/>
                <w:lang w:val="en-US" w:eastAsia="zh-CN"/>
              </w:rPr>
              <w:t>一是科学编制监测方案。</w:t>
            </w:r>
            <w:r>
              <w:rPr>
                <w:rFonts w:hint="eastAsia" w:ascii="华文仿宋" w:hAnsi="华文仿宋" w:eastAsia="华文仿宋" w:cs="华文仿宋"/>
                <w:b w:val="0"/>
                <w:bCs/>
                <w:color w:val="auto"/>
                <w:sz w:val="32"/>
                <w:szCs w:val="32"/>
                <w:lang w:eastAsia="zh-CN"/>
              </w:rPr>
              <w:t>相继编制了</w:t>
            </w:r>
            <w:r>
              <w:rPr>
                <w:rFonts w:hint="eastAsia" w:ascii="华文仿宋" w:hAnsi="华文仿宋" w:eastAsia="华文仿宋" w:cs="华文仿宋"/>
                <w:b/>
                <w:bCs w:val="0"/>
                <w:color w:val="auto"/>
                <w:sz w:val="32"/>
                <w:szCs w:val="32"/>
              </w:rPr>
              <w:t>2</w:t>
            </w:r>
            <w:r>
              <w:rPr>
                <w:rFonts w:hint="eastAsia" w:ascii="华文仿宋" w:hAnsi="华文仿宋" w:eastAsia="华文仿宋" w:cs="华文仿宋"/>
                <w:color w:val="auto"/>
                <w:sz w:val="32"/>
                <w:szCs w:val="32"/>
              </w:rPr>
              <w:t>021年度《环洞庭湖隆冬水鸟调查方案》</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《环洞庭湖迁徙前水鸟调查方案》</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夏季鸟类调查方案</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春季</w:t>
            </w:r>
            <w:r>
              <w:rPr>
                <w:rFonts w:hint="eastAsia" w:ascii="华文仿宋" w:hAnsi="华文仿宋" w:eastAsia="华文仿宋" w:cs="华文仿宋"/>
                <w:color w:val="auto"/>
                <w:sz w:val="32"/>
                <w:szCs w:val="32"/>
                <w:lang w:eastAsia="zh-CN"/>
              </w:rPr>
              <w:t>和</w:t>
            </w:r>
            <w:r>
              <w:rPr>
                <w:rFonts w:hint="eastAsia" w:ascii="华文仿宋" w:hAnsi="华文仿宋" w:eastAsia="华文仿宋" w:cs="华文仿宋"/>
                <w:color w:val="auto"/>
                <w:sz w:val="32"/>
                <w:szCs w:val="32"/>
                <w:lang w:val="en-US" w:eastAsia="zh-CN"/>
              </w:rPr>
              <w:t>五月</w:t>
            </w:r>
            <w:r>
              <w:rPr>
                <w:rFonts w:hint="eastAsia" w:ascii="华文仿宋" w:hAnsi="华文仿宋" w:eastAsia="华文仿宋" w:cs="华文仿宋"/>
                <w:color w:val="auto"/>
                <w:sz w:val="32"/>
                <w:szCs w:val="32"/>
              </w:rPr>
              <w:t>东方田鼠调查方案》</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《春季</w:t>
            </w:r>
            <w:r>
              <w:rPr>
                <w:rFonts w:hint="eastAsia" w:ascii="华文仿宋" w:hAnsi="华文仿宋" w:eastAsia="华文仿宋" w:cs="华文仿宋"/>
                <w:color w:val="auto"/>
                <w:sz w:val="32"/>
                <w:szCs w:val="32"/>
                <w:lang w:eastAsia="zh-CN"/>
              </w:rPr>
              <w:t>和</w:t>
            </w:r>
            <w:r>
              <w:rPr>
                <w:rFonts w:hint="eastAsia" w:ascii="华文仿宋" w:hAnsi="华文仿宋" w:eastAsia="华文仿宋" w:cs="华文仿宋"/>
                <w:color w:val="auto"/>
                <w:sz w:val="32"/>
                <w:szCs w:val="32"/>
                <w:lang w:val="en-US" w:eastAsia="zh-CN"/>
              </w:rPr>
              <w:t>4月</w:t>
            </w:r>
            <w:r>
              <w:rPr>
                <w:rFonts w:hint="eastAsia" w:ascii="华文仿宋" w:hAnsi="华文仿宋" w:eastAsia="华文仿宋" w:cs="华文仿宋"/>
                <w:color w:val="auto"/>
                <w:sz w:val="32"/>
                <w:szCs w:val="32"/>
              </w:rPr>
              <w:t>麋鹿调查方案》</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环洞庭湖</w:t>
            </w:r>
            <w:r>
              <w:rPr>
                <w:rFonts w:hint="eastAsia" w:ascii="华文仿宋" w:hAnsi="华文仿宋" w:eastAsia="华文仿宋" w:cs="华文仿宋"/>
                <w:color w:val="auto"/>
                <w:sz w:val="32"/>
                <w:szCs w:val="32"/>
              </w:rPr>
              <w:t>麋鹿调查方案</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等系列调查方案。</w:t>
            </w:r>
            <w:r>
              <w:rPr>
                <w:rFonts w:hint="eastAsia" w:ascii="华文仿宋" w:hAnsi="华文仿宋" w:eastAsia="华文仿宋" w:cs="华文仿宋"/>
                <w:b w:val="0"/>
                <w:bCs w:val="0"/>
                <w:color w:val="auto"/>
                <w:sz w:val="32"/>
                <w:szCs w:val="32"/>
                <w:lang w:val="en-US" w:eastAsia="zh-CN"/>
              </w:rPr>
              <w:t>对湿地保护与修复项目实施区域制定了鸟类监测、水质透明度监测和水样采集等监测计划。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hint="eastAsia" w:ascii="华文仿宋" w:hAnsi="华文仿宋" w:eastAsia="华文仿宋" w:cs="华文仿宋"/>
                <w:b w:val="0"/>
                <w:bCs w:val="0"/>
                <w:color w:val="auto"/>
                <w:sz w:val="32"/>
                <w:szCs w:val="32"/>
                <w:lang w:val="en-US" w:eastAsia="zh-CN"/>
              </w:rPr>
            </w:pPr>
            <w:r>
              <w:rPr>
                <w:rFonts w:hint="eastAsia" w:ascii="楷体" w:hAnsi="楷体" w:eastAsia="楷体" w:cs="楷体"/>
                <w:b/>
                <w:bCs/>
                <w:color w:val="auto"/>
                <w:sz w:val="32"/>
                <w:szCs w:val="32"/>
                <w:lang w:val="en-US" w:eastAsia="zh-CN"/>
              </w:rPr>
              <w:t>二是科学开展监测</w:t>
            </w:r>
            <w:r>
              <w:rPr>
                <w:rFonts w:hint="eastAsia" w:ascii="华文仿宋" w:hAnsi="华文仿宋" w:eastAsia="华文仿宋" w:cs="华文仿宋"/>
                <w:b/>
                <w:bCs/>
                <w:color w:val="auto"/>
                <w:sz w:val="32"/>
                <w:szCs w:val="32"/>
                <w:lang w:val="en-US" w:eastAsia="zh-CN"/>
              </w:rPr>
              <w:t>。</w:t>
            </w:r>
            <w:r>
              <w:rPr>
                <w:rFonts w:hint="eastAsia" w:ascii="华文仿宋" w:hAnsi="华文仿宋" w:eastAsia="华文仿宋" w:cs="华文仿宋"/>
                <w:color w:val="auto"/>
                <w:sz w:val="32"/>
                <w:szCs w:val="32"/>
                <w:lang w:eastAsia="zh-CN"/>
              </w:rPr>
              <w:t>根据监测方案，</w:t>
            </w:r>
            <w:r>
              <w:rPr>
                <w:rFonts w:hint="eastAsia" w:ascii="华文仿宋" w:hAnsi="华文仿宋" w:eastAsia="华文仿宋" w:cs="华文仿宋"/>
                <w:color w:val="auto"/>
                <w:sz w:val="32"/>
                <w:szCs w:val="32"/>
                <w:lang w:val="en-US" w:eastAsia="zh-CN"/>
              </w:rPr>
              <w:t>组织人员</w:t>
            </w:r>
            <w:r>
              <w:rPr>
                <w:rFonts w:hint="eastAsia" w:ascii="华文仿宋" w:hAnsi="华文仿宋" w:eastAsia="华文仿宋" w:cs="华文仿宋"/>
                <w:b w:val="0"/>
                <w:bCs w:val="0"/>
                <w:color w:val="auto"/>
                <w:sz w:val="32"/>
                <w:szCs w:val="32"/>
                <w:lang w:val="en-US" w:eastAsia="zh-CN"/>
              </w:rPr>
              <w:t>开展了3次环洞庭湖越冬水鸟同步调查。</w:t>
            </w:r>
            <w:r>
              <w:rPr>
                <w:rFonts w:hint="eastAsia" w:ascii="华文仿宋" w:hAnsi="华文仿宋" w:eastAsia="华文仿宋" w:cs="华文仿宋"/>
                <w:color w:val="auto"/>
                <w:sz w:val="32"/>
                <w:szCs w:val="32"/>
                <w:lang w:val="en-US" w:eastAsia="zh-CN"/>
              </w:rPr>
              <w:t>11月17-19日开展的越冬水鸟初期调查，调查到鸟类7目12科47种203970只，其中东洞庭湖42种122773只，占总数量的60%</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b w:val="0"/>
                <w:bCs w:val="0"/>
                <w:color w:val="auto"/>
                <w:sz w:val="32"/>
                <w:szCs w:val="32"/>
                <w:lang w:val="en-US" w:eastAsia="zh-CN"/>
              </w:rPr>
              <w:t>环洞庭湖越冬水鸟同步调查中3月份</w:t>
            </w:r>
            <w:r>
              <w:rPr>
                <w:rFonts w:hint="eastAsia" w:ascii="华文仿宋" w:hAnsi="华文仿宋" w:eastAsia="华文仿宋" w:cs="华文仿宋"/>
                <w:color w:val="auto"/>
                <w:sz w:val="32"/>
                <w:szCs w:val="32"/>
                <w:lang w:eastAsia="zh-CN"/>
              </w:rPr>
              <w:t>记录到</w:t>
            </w:r>
            <w:r>
              <w:rPr>
                <w:rFonts w:hint="eastAsia" w:ascii="华文仿宋" w:hAnsi="华文仿宋" w:eastAsia="华文仿宋" w:cs="华文仿宋"/>
                <w:color w:val="auto"/>
                <w:sz w:val="32"/>
                <w:szCs w:val="32"/>
              </w:rPr>
              <w:t>水鸟</w:t>
            </w:r>
            <w:r>
              <w:rPr>
                <w:rFonts w:hint="eastAsia" w:ascii="华文仿宋" w:hAnsi="华文仿宋" w:eastAsia="华文仿宋" w:cs="华文仿宋"/>
                <w:color w:val="auto"/>
                <w:sz w:val="32"/>
                <w:szCs w:val="32"/>
                <w:lang w:eastAsia="zh-CN"/>
              </w:rPr>
              <w:t>最多，达</w:t>
            </w:r>
            <w:r>
              <w:rPr>
                <w:rFonts w:hint="eastAsia" w:ascii="华文仿宋" w:hAnsi="华文仿宋" w:eastAsia="华文仿宋" w:cs="华文仿宋"/>
                <w:color w:val="auto"/>
                <w:sz w:val="32"/>
                <w:szCs w:val="32"/>
              </w:rPr>
              <w:t>7目12科53种288157只，比去年同期增加41089只，增长16.6%</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b w:val="0"/>
                <w:bCs w:val="0"/>
                <w:color w:val="auto"/>
                <w:sz w:val="32"/>
                <w:szCs w:val="32"/>
                <w:lang w:val="en-US" w:eastAsia="zh-CN"/>
              </w:rPr>
              <w:t>开展了15次麋鹿、东方田鼠和湿地植被监测和调查，10月份监测到数量达104头的麋鹿大群。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hint="eastAsia" w:ascii="华文仿宋" w:hAnsi="华文仿宋" w:eastAsia="华文仿宋" w:cs="华文仿宋"/>
                <w:b w:val="0"/>
                <w:bCs w:val="0"/>
                <w:color w:val="auto"/>
                <w:sz w:val="32"/>
                <w:szCs w:val="32"/>
                <w:lang w:val="en-US" w:eastAsia="zh-CN"/>
              </w:rPr>
            </w:pPr>
            <w:r>
              <w:rPr>
                <w:rFonts w:hint="eastAsia" w:ascii="楷体" w:hAnsi="楷体" w:eastAsia="楷体" w:cs="楷体"/>
                <w:b/>
                <w:bCs/>
                <w:color w:val="auto"/>
                <w:sz w:val="32"/>
                <w:szCs w:val="32"/>
                <w:lang w:val="en-US" w:eastAsia="zh-CN"/>
              </w:rPr>
              <w:t>三是强化野生动物疫源疫病监测防控和救护。</w:t>
            </w:r>
            <w:r>
              <w:rPr>
                <w:rFonts w:hint="eastAsia" w:ascii="华文仿宋" w:hAnsi="华文仿宋" w:eastAsia="华文仿宋" w:cs="华文仿宋"/>
                <w:color w:val="auto"/>
                <w:sz w:val="32"/>
                <w:szCs w:val="32"/>
              </w:rPr>
              <w:t>编制了《陆生野生动物疫源疫病监测防控制度》</w:t>
            </w:r>
            <w:r>
              <w:rPr>
                <w:rFonts w:hint="eastAsia" w:ascii="华文仿宋" w:hAnsi="华文仿宋" w:eastAsia="华文仿宋" w:cs="华文仿宋"/>
                <w:color w:val="auto"/>
                <w:sz w:val="32"/>
                <w:szCs w:val="32"/>
                <w:lang w:eastAsia="zh-CN"/>
              </w:rPr>
              <w:t>和</w:t>
            </w:r>
            <w:r>
              <w:rPr>
                <w:rFonts w:hint="eastAsia" w:ascii="华文仿宋" w:hAnsi="华文仿宋" w:eastAsia="华文仿宋" w:cs="华文仿宋"/>
                <w:color w:val="auto"/>
                <w:sz w:val="32"/>
                <w:szCs w:val="32"/>
              </w:rPr>
              <w:t>《湖南东洞庭湖国家级自然保护区陆生野生动物疫源疫病应急预案》，</w:t>
            </w:r>
            <w:r>
              <w:rPr>
                <w:rFonts w:hint="eastAsia" w:ascii="华文仿宋" w:hAnsi="华文仿宋" w:eastAsia="华文仿宋" w:cs="华文仿宋"/>
                <w:color w:val="auto"/>
                <w:sz w:val="32"/>
                <w:szCs w:val="32"/>
                <w:lang w:eastAsia="zh-CN"/>
              </w:rPr>
              <w:t>细化</w:t>
            </w:r>
            <w:r>
              <w:rPr>
                <w:rFonts w:hint="eastAsia" w:ascii="华文仿宋" w:hAnsi="华文仿宋" w:eastAsia="华文仿宋" w:cs="华文仿宋"/>
                <w:color w:val="auto"/>
                <w:sz w:val="32"/>
                <w:szCs w:val="32"/>
              </w:rPr>
              <w:t>规范责</w:t>
            </w:r>
            <w:r>
              <w:rPr>
                <w:rFonts w:hint="eastAsia" w:ascii="华文仿宋" w:hAnsi="华文仿宋" w:eastAsia="华文仿宋" w:cs="华文仿宋"/>
                <w:color w:val="auto"/>
                <w:sz w:val="32"/>
                <w:szCs w:val="32"/>
                <w:lang w:eastAsia="zh-CN"/>
              </w:rPr>
              <w:t>任</w:t>
            </w:r>
            <w:r>
              <w:rPr>
                <w:rFonts w:hint="eastAsia" w:ascii="华文仿宋" w:hAnsi="华文仿宋" w:eastAsia="华文仿宋" w:cs="华文仿宋"/>
                <w:color w:val="auto"/>
                <w:sz w:val="32"/>
                <w:szCs w:val="32"/>
              </w:rPr>
              <w:t>部门、</w:t>
            </w:r>
            <w:r>
              <w:rPr>
                <w:rFonts w:hint="eastAsia" w:ascii="华文仿宋" w:hAnsi="华文仿宋" w:eastAsia="华文仿宋" w:cs="华文仿宋"/>
                <w:color w:val="auto"/>
                <w:sz w:val="32"/>
                <w:szCs w:val="32"/>
                <w:lang w:eastAsia="zh-CN"/>
              </w:rPr>
              <w:t>值班</w:t>
            </w:r>
            <w:r>
              <w:rPr>
                <w:rFonts w:hint="eastAsia" w:ascii="华文仿宋" w:hAnsi="华文仿宋" w:eastAsia="华文仿宋" w:cs="华文仿宋"/>
                <w:color w:val="auto"/>
                <w:sz w:val="32"/>
                <w:szCs w:val="32"/>
              </w:rPr>
              <w:t>值守</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b w:val="0"/>
                <w:bCs w:val="0"/>
                <w:color w:val="auto"/>
                <w:sz w:val="32"/>
                <w:szCs w:val="32"/>
                <w:lang w:val="en-US" w:eastAsia="zh-CN"/>
              </w:rPr>
              <w:t>采样送检、</w:t>
            </w:r>
            <w:r>
              <w:rPr>
                <w:rFonts w:hint="eastAsia" w:ascii="华文仿宋" w:hAnsi="华文仿宋" w:eastAsia="华文仿宋" w:cs="华文仿宋"/>
                <w:color w:val="auto"/>
                <w:sz w:val="32"/>
                <w:szCs w:val="32"/>
              </w:rPr>
              <w:t>疫情通报、应急处置</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信息上报等工作</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b w:val="0"/>
                <w:bCs w:val="0"/>
                <w:color w:val="auto"/>
                <w:sz w:val="32"/>
                <w:szCs w:val="32"/>
                <w:lang w:val="en-US" w:eastAsia="zh-CN"/>
              </w:rPr>
              <w:t>扎实开展野生动物疫源疫病监测防控，高质量</w:t>
            </w:r>
            <w:r>
              <w:rPr>
                <w:rFonts w:hint="eastAsia" w:ascii="华文仿宋" w:hAnsi="华文仿宋" w:eastAsia="华文仿宋" w:cs="华文仿宋"/>
                <w:color w:val="auto"/>
                <w:sz w:val="32"/>
                <w:szCs w:val="32"/>
              </w:rPr>
              <w:t>完成</w:t>
            </w:r>
            <w:r>
              <w:rPr>
                <w:rFonts w:hint="eastAsia" w:ascii="华文仿宋" w:hAnsi="华文仿宋" w:eastAsia="华文仿宋" w:cs="华文仿宋"/>
                <w:b w:val="0"/>
                <w:bCs w:val="0"/>
                <w:color w:val="auto"/>
                <w:sz w:val="32"/>
                <w:szCs w:val="32"/>
                <w:lang w:val="en-US" w:eastAsia="zh-CN"/>
              </w:rPr>
              <w:t>日报、周报等信息上报工作。积极救护受伤野生动物，全年共救护白鹭、小天鹅、斑嘴鸭、凤头麦鸡、小天鹅、领角鸮等鸟类20多只并成功放飞。</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华文仿宋" w:hAnsi="华文仿宋" w:eastAsia="华文仿宋" w:cs="华文仿宋"/>
                <w:b w:val="0"/>
                <w:i w:val="0"/>
                <w:caps w:val="0"/>
                <w:color w:val="auto"/>
                <w:spacing w:val="0"/>
                <w:w w:val="100"/>
                <w:sz w:val="32"/>
                <w:szCs w:val="32"/>
              </w:rPr>
            </w:pPr>
            <w:r>
              <w:rPr>
                <w:rFonts w:hint="eastAsia" w:ascii="楷体" w:hAnsi="楷体" w:eastAsia="楷体" w:cs="楷体"/>
                <w:b/>
                <w:bCs/>
                <w:color w:val="auto"/>
                <w:sz w:val="32"/>
                <w:szCs w:val="32"/>
                <w:lang w:val="en-US" w:eastAsia="zh-CN"/>
              </w:rPr>
              <w:t>四是加强科研合作。</w:t>
            </w:r>
            <w:r>
              <w:rPr>
                <w:rFonts w:hint="eastAsia" w:ascii="华文仿宋" w:hAnsi="华文仿宋" w:eastAsia="华文仿宋" w:cs="华文仿宋"/>
                <w:b w:val="0"/>
                <w:bCs w:val="0"/>
                <w:color w:val="auto"/>
                <w:sz w:val="32"/>
                <w:szCs w:val="32"/>
                <w:lang w:val="en-US" w:eastAsia="zh-CN"/>
              </w:rPr>
              <w:t>与水利部、环球信士、中南林业科技大学、市血防所等部门机构共同合作，开展了三峡工程运行安全综合监测系统—2021年度洞庭湖生态环境监测、鸟类环志，迁徙候鸟卫星定位追踪研究、洞庭湖湿地小白额雁遥感动态监测与候鸟响应、麋鹿感染血吸虫等监测研究及采样工作。</w:t>
            </w:r>
            <w:r>
              <w:rPr>
                <w:rFonts w:hint="eastAsia" w:ascii="华文仿宋" w:hAnsi="华文仿宋" w:eastAsia="华文仿宋" w:cs="华文仿宋"/>
                <w:b w:val="0"/>
                <w:i w:val="0"/>
                <w:caps w:val="0"/>
                <w:color w:val="auto"/>
                <w:spacing w:val="0"/>
                <w:w w:val="100"/>
                <w:sz w:val="32"/>
                <w:szCs w:val="32"/>
                <w:lang w:eastAsia="zh-CN"/>
              </w:rPr>
              <w:t>及时</w:t>
            </w:r>
            <w:r>
              <w:rPr>
                <w:rFonts w:hint="eastAsia" w:ascii="华文仿宋" w:hAnsi="华文仿宋" w:eastAsia="华文仿宋" w:cs="华文仿宋"/>
                <w:b w:val="0"/>
                <w:i w:val="0"/>
                <w:caps w:val="0"/>
                <w:color w:val="auto"/>
                <w:spacing w:val="0"/>
                <w:w w:val="100"/>
                <w:sz w:val="32"/>
                <w:szCs w:val="32"/>
              </w:rPr>
              <w:t>根据省</w:t>
            </w:r>
            <w:r>
              <w:rPr>
                <w:rFonts w:hint="eastAsia" w:ascii="华文仿宋" w:hAnsi="华文仿宋" w:eastAsia="华文仿宋" w:cs="华文仿宋"/>
                <w:b w:val="0"/>
                <w:i w:val="0"/>
                <w:caps w:val="0"/>
                <w:color w:val="auto"/>
                <w:spacing w:val="0"/>
                <w:w w:val="100"/>
                <w:sz w:val="32"/>
                <w:szCs w:val="32"/>
                <w:lang w:eastAsia="zh-CN"/>
              </w:rPr>
              <w:t>林业</w:t>
            </w:r>
            <w:r>
              <w:rPr>
                <w:rFonts w:hint="eastAsia" w:ascii="华文仿宋" w:hAnsi="华文仿宋" w:eastAsia="华文仿宋" w:cs="华文仿宋"/>
                <w:b w:val="0"/>
                <w:i w:val="0"/>
                <w:caps w:val="0"/>
                <w:color w:val="auto"/>
                <w:spacing w:val="0"/>
                <w:w w:val="100"/>
                <w:sz w:val="32"/>
                <w:szCs w:val="32"/>
              </w:rPr>
              <w:t>局要求，申报了关于生态修复的需求计划2000万元</w:t>
            </w:r>
            <w:r>
              <w:rPr>
                <w:rFonts w:hint="eastAsia" w:ascii="华文仿宋" w:hAnsi="华文仿宋" w:eastAsia="华文仿宋" w:cs="华文仿宋"/>
                <w:b w:val="0"/>
                <w:i w:val="0"/>
                <w:caps w:val="0"/>
                <w:color w:val="auto"/>
                <w:spacing w:val="0"/>
                <w:w w:val="100"/>
                <w:sz w:val="32"/>
                <w:szCs w:val="32"/>
                <w:lang w:eastAsia="zh-CN"/>
              </w:rPr>
              <w:t>和</w:t>
            </w:r>
            <w:r>
              <w:rPr>
                <w:rFonts w:hint="eastAsia" w:ascii="华文仿宋" w:hAnsi="华文仿宋" w:eastAsia="华文仿宋" w:cs="华文仿宋"/>
                <w:b w:val="0"/>
                <w:i w:val="0"/>
                <w:caps w:val="0"/>
                <w:color w:val="auto"/>
                <w:spacing w:val="0"/>
                <w:w w:val="100"/>
                <w:sz w:val="32"/>
                <w:szCs w:val="32"/>
              </w:rPr>
              <w:t>202</w:t>
            </w:r>
            <w:r>
              <w:rPr>
                <w:rFonts w:hint="eastAsia" w:ascii="华文仿宋" w:hAnsi="华文仿宋" w:eastAsia="华文仿宋" w:cs="华文仿宋"/>
                <w:b w:val="0"/>
                <w:i w:val="0"/>
                <w:caps w:val="0"/>
                <w:color w:val="auto"/>
                <w:spacing w:val="0"/>
                <w:w w:val="100"/>
                <w:sz w:val="32"/>
                <w:szCs w:val="32"/>
                <w:lang w:val="en-US" w:eastAsia="zh-CN"/>
              </w:rPr>
              <w:t>1</w:t>
            </w:r>
            <w:r>
              <w:rPr>
                <w:rFonts w:hint="eastAsia" w:ascii="华文仿宋" w:hAnsi="华文仿宋" w:eastAsia="华文仿宋" w:cs="华文仿宋"/>
                <w:b w:val="0"/>
                <w:i w:val="0"/>
                <w:caps w:val="0"/>
                <w:color w:val="auto"/>
                <w:spacing w:val="0"/>
                <w:w w:val="100"/>
                <w:sz w:val="32"/>
                <w:szCs w:val="32"/>
              </w:rPr>
              <w:t>年度疫源疫病监测项目</w:t>
            </w:r>
            <w:r>
              <w:rPr>
                <w:rFonts w:hint="eastAsia" w:ascii="华文仿宋" w:hAnsi="华文仿宋" w:eastAsia="华文仿宋" w:cs="华文仿宋"/>
                <w:b w:val="0"/>
                <w:i w:val="0"/>
                <w:caps w:val="0"/>
                <w:color w:val="auto"/>
                <w:spacing w:val="0"/>
                <w:w w:val="100"/>
                <w:sz w:val="32"/>
                <w:szCs w:val="32"/>
                <w:lang w:val="en-US" w:eastAsia="zh-CN"/>
              </w:rPr>
              <w:t>30</w:t>
            </w:r>
            <w:r>
              <w:rPr>
                <w:rFonts w:hint="eastAsia" w:ascii="华文仿宋" w:hAnsi="华文仿宋" w:eastAsia="华文仿宋" w:cs="华文仿宋"/>
                <w:b w:val="0"/>
                <w:i w:val="0"/>
                <w:caps w:val="0"/>
                <w:color w:val="auto"/>
                <w:spacing w:val="0"/>
                <w:w w:val="100"/>
                <w:sz w:val="32"/>
                <w:szCs w:val="32"/>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21" w:firstLineChars="100"/>
              <w:textAlignment w:val="auto"/>
              <w:rPr>
                <w:rFonts w:hint="eastAsia" w:ascii="华文仿宋" w:hAnsi="华文仿宋" w:eastAsia="华文仿宋" w:cs="华文仿宋"/>
                <w:b/>
                <w:bCs w:val="0"/>
                <w:color w:val="auto"/>
                <w:kern w:val="0"/>
                <w:sz w:val="32"/>
                <w:szCs w:val="32"/>
                <w:lang w:eastAsia="zh-CN"/>
              </w:rPr>
            </w:pPr>
            <w:r>
              <w:rPr>
                <w:rFonts w:hint="eastAsia" w:ascii="华文仿宋" w:hAnsi="华文仿宋" w:eastAsia="华文仿宋" w:cs="华文仿宋"/>
                <w:b/>
                <w:bCs w:val="0"/>
                <w:color w:val="auto"/>
                <w:kern w:val="0"/>
                <w:sz w:val="32"/>
                <w:szCs w:val="32"/>
                <w:lang w:eastAsia="zh-CN"/>
              </w:rPr>
              <w:t>四、</w:t>
            </w:r>
            <w:r>
              <w:rPr>
                <w:rFonts w:hint="eastAsia" w:ascii="仿宋" w:eastAsia="仿宋"/>
                <w:b/>
                <w:bCs/>
                <w:sz w:val="32"/>
                <w:szCs w:val="32"/>
              </w:rPr>
              <w:t>坚持</w:t>
            </w:r>
            <w:r>
              <w:rPr>
                <w:rFonts w:ascii="仿宋" w:eastAsia="仿宋"/>
                <w:b/>
                <w:bCs/>
                <w:sz w:val="32"/>
                <w:szCs w:val="32"/>
              </w:rPr>
              <w:t>氛围营造</w:t>
            </w:r>
            <w:r>
              <w:rPr>
                <w:rFonts w:hint="eastAsia" w:ascii="仿宋" w:eastAsia="仿宋"/>
                <w:b/>
                <w:bCs/>
                <w:sz w:val="32"/>
                <w:szCs w:val="32"/>
              </w:rPr>
              <w:t>，</w:t>
            </w:r>
            <w:r>
              <w:rPr>
                <w:rFonts w:ascii="仿宋" w:eastAsia="仿宋"/>
                <w:b/>
                <w:bCs/>
                <w:sz w:val="32"/>
                <w:szCs w:val="32"/>
              </w:rPr>
              <w:t>宣传教育展现新亮点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2"/>
              <w:textAlignment w:val="auto"/>
              <w:rPr>
                <w:rFonts w:hint="eastAsia" w:ascii="华文仿宋" w:hAnsi="华文仿宋" w:eastAsia="华文仿宋" w:cs="华文仿宋"/>
                <w:b w:val="0"/>
                <w:bCs/>
                <w:color w:val="auto"/>
                <w:kern w:val="0"/>
                <w:sz w:val="32"/>
                <w:szCs w:val="32"/>
                <w:lang w:eastAsia="zh-CN"/>
              </w:rPr>
            </w:pPr>
            <w:r>
              <w:rPr>
                <w:rFonts w:hint="eastAsia" w:ascii="楷体" w:hAnsi="楷体" w:eastAsia="楷体" w:cs="楷体"/>
                <w:b/>
                <w:bCs w:val="0"/>
                <w:color w:val="auto"/>
                <w:kern w:val="0"/>
                <w:sz w:val="32"/>
                <w:szCs w:val="32"/>
                <w:lang w:eastAsia="zh-CN"/>
              </w:rPr>
              <w:t>一是持续加强媒体宣传。</w:t>
            </w:r>
            <w:r>
              <w:rPr>
                <w:rFonts w:hint="eastAsia" w:ascii="华文仿宋" w:hAnsi="华文仿宋" w:eastAsia="华文仿宋" w:cs="华文仿宋"/>
                <w:b w:val="0"/>
                <w:bCs/>
                <w:color w:val="auto"/>
                <w:kern w:val="0"/>
                <w:sz w:val="32"/>
                <w:szCs w:val="32"/>
                <w:lang w:eastAsia="zh-CN"/>
              </w:rPr>
              <w:t>我局充分发挥“洞庭三宝”资源优势和媒体及公众平台舆论优势，全年在各级媒体报道达70余次。其中新华社、中央电视台、人民网等国家级媒体报道15次，湖南卫视、湖南日报等省级媒体报道16次，岳阳电视台、岳阳日报等市级媒体报道40次。</w:t>
            </w:r>
          </w:p>
          <w:p>
            <w:pPr>
              <w:spacing w:line="240" w:lineRule="auto"/>
              <w:ind w:firstLine="629"/>
              <w:jc w:val="both"/>
              <w:rPr>
                <w:rFonts w:hint="eastAsia" w:ascii="华文仿宋" w:hAnsi="华文仿宋" w:eastAsia="华文仿宋" w:cs="华文仿宋"/>
                <w:b w:val="0"/>
                <w:bCs/>
                <w:color w:val="auto"/>
                <w:kern w:val="0"/>
                <w:sz w:val="32"/>
                <w:szCs w:val="32"/>
                <w:lang w:eastAsia="zh-CN"/>
              </w:rPr>
            </w:pPr>
            <w:r>
              <w:rPr>
                <w:rFonts w:hint="eastAsia" w:ascii="楷体" w:hAnsi="楷体" w:eastAsia="楷体" w:cs="楷体"/>
                <w:b/>
                <w:bCs w:val="0"/>
                <w:color w:val="auto"/>
                <w:kern w:val="0"/>
                <w:sz w:val="32"/>
                <w:szCs w:val="32"/>
                <w:lang w:eastAsia="zh-CN"/>
              </w:rPr>
              <w:t>二是开展内容丰富宣传活动。</w:t>
            </w:r>
            <w:r>
              <w:rPr>
                <w:rFonts w:hint="eastAsia" w:ascii="华文仿宋" w:hAnsi="华文仿宋" w:eastAsia="华文仿宋" w:cs="华文仿宋"/>
                <w:b w:val="0"/>
                <w:bCs/>
                <w:color w:val="auto"/>
                <w:kern w:val="0"/>
                <w:sz w:val="32"/>
                <w:szCs w:val="32"/>
                <w:lang w:eastAsia="zh-CN"/>
              </w:rPr>
              <w:t>积极举办野生动植物日、“世界水日”、“爱鸟周”等节庆日宣传活动，发放宣传资料3000份。配合团市委成功举办了“守护一江碧水·‘河小青’再出发”启动仪式和“十三五河小青”青少年环保展。开展了生态课堂进校园活动，在楼区郭兴小学等举办生态讲座5次。配合省委宣传部和岳阳电视台完成《总书记视察三周年（生态篇）》、湖南卫视麋鹿专题片拍摄，完成“湖南省自然保护地摄影大赛”组稿和投稿。</w:t>
            </w:r>
          </w:p>
          <w:p>
            <w:pPr>
              <w:spacing w:line="240" w:lineRule="auto"/>
              <w:ind w:firstLine="629"/>
              <w:jc w:val="both"/>
              <w:rPr>
                <w:rFonts w:ascii="仿宋" w:eastAsia="仿宋"/>
                <w:sz w:val="32"/>
                <w:szCs w:val="32"/>
              </w:rPr>
            </w:pPr>
            <w:r>
              <w:rPr>
                <w:rFonts w:ascii="仿宋" w:eastAsia="仿宋"/>
                <w:b/>
                <w:sz w:val="32"/>
                <w:szCs w:val="32"/>
              </w:rPr>
              <w:t>三是我局组织人员参加外地观鸟节</w:t>
            </w:r>
            <w:r>
              <w:rPr>
                <w:rFonts w:hint="eastAsia" w:ascii="仿宋" w:eastAsia="仿宋"/>
                <w:b/>
                <w:sz w:val="32"/>
                <w:szCs w:val="32"/>
              </w:rPr>
              <w:t>，</w:t>
            </w:r>
            <w:r>
              <w:rPr>
                <w:rFonts w:ascii="仿宋" w:eastAsia="仿宋"/>
                <w:b/>
                <w:sz w:val="32"/>
                <w:szCs w:val="32"/>
              </w:rPr>
              <w:t>学习办节经验</w:t>
            </w:r>
            <w:r>
              <w:rPr>
                <w:rFonts w:hint="eastAsia" w:ascii="仿宋" w:eastAsia="仿宋"/>
                <w:b/>
                <w:sz w:val="32"/>
                <w:szCs w:val="32"/>
              </w:rPr>
              <w:t>，</w:t>
            </w:r>
            <w:r>
              <w:rPr>
                <w:rFonts w:ascii="仿宋" w:eastAsia="仿宋"/>
                <w:b/>
                <w:sz w:val="32"/>
                <w:szCs w:val="32"/>
              </w:rPr>
              <w:t>积极</w:t>
            </w:r>
            <w:r>
              <w:rPr>
                <w:rFonts w:hint="eastAsia" w:ascii="仿宋" w:eastAsia="仿宋"/>
                <w:b/>
                <w:sz w:val="32"/>
                <w:szCs w:val="32"/>
              </w:rPr>
              <w:t>筹备</w:t>
            </w:r>
            <w:r>
              <w:rPr>
                <w:rFonts w:ascii="仿宋" w:eastAsia="仿宋"/>
                <w:b/>
                <w:sz w:val="32"/>
                <w:szCs w:val="32"/>
              </w:rPr>
              <w:t>明年洞庭湖观鸟节</w:t>
            </w:r>
            <w:r>
              <w:rPr>
                <w:rFonts w:hint="eastAsia" w:ascii="仿宋" w:eastAsia="仿宋"/>
                <w:b/>
                <w:sz w:val="32"/>
                <w:szCs w:val="32"/>
              </w:rPr>
              <w:t>。</w:t>
            </w:r>
            <w:r>
              <w:rPr>
                <w:rFonts w:hint="eastAsia" w:ascii="仿宋" w:eastAsia="仿宋"/>
                <w:sz w:val="32"/>
                <w:szCs w:val="32"/>
              </w:rPr>
              <w:t>12月上旬，我们受邀赴鄱阳湖观鸟节学习，返回后总结并形成报告为明年观鸟节提前做好筹划。</w:t>
            </w:r>
          </w:p>
          <w:p>
            <w:pPr>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五、存在的主要问题</w:t>
            </w:r>
          </w:p>
          <w:p>
            <w:pPr>
              <w:numPr>
                <w:ilvl w:val="0"/>
                <w:numId w:val="0"/>
              </w:num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1．因各种原因，部分项目建设进度缓慢。</w:t>
            </w:r>
          </w:p>
          <w:p>
            <w:pPr>
              <w:numPr>
                <w:ilvl w:val="0"/>
                <w:numId w:val="0"/>
              </w:numPr>
              <w:spacing w:line="560" w:lineRule="exact"/>
              <w:ind w:firstLine="640" w:firstLineChars="200"/>
              <w:rPr>
                <w:rFonts w:hint="eastAsia"/>
              </w:rPr>
            </w:pPr>
            <w:r>
              <w:rPr>
                <w:rFonts w:hint="eastAsia" w:ascii="仿宋_GB2312" w:hAnsi="仿宋" w:eastAsia="仿宋_GB2312"/>
                <w:sz w:val="32"/>
                <w:szCs w:val="32"/>
                <w:lang w:val="en-US" w:eastAsia="zh-CN"/>
              </w:rPr>
              <w:t>2．地方配套资金短缺，按上级要求项目实施较困难。</w:t>
            </w:r>
          </w:p>
          <w:p>
            <w:pPr>
              <w:pStyle w:val="2"/>
            </w:pPr>
          </w:p>
          <w:p>
            <w:pPr>
              <w:spacing w:line="560" w:lineRule="exact"/>
              <w:ind w:firstLine="600" w:firstLineChars="200"/>
              <w:rPr>
                <w:rFonts w:hint="eastAsia" w:ascii="黑体" w:hAnsi="黑体" w:eastAsia="黑体" w:cs="黑体"/>
                <w:bCs/>
                <w:sz w:val="30"/>
                <w:szCs w:val="30"/>
              </w:rPr>
            </w:pPr>
            <w:r>
              <w:rPr>
                <w:rFonts w:hint="eastAsia" w:ascii="黑体" w:hAnsi="黑体" w:eastAsia="黑体" w:cs="黑体"/>
                <w:bCs/>
                <w:sz w:val="30"/>
                <w:szCs w:val="30"/>
              </w:rPr>
              <w:t>六、改进措施和有关建议</w:t>
            </w:r>
          </w:p>
          <w:p>
            <w:pPr>
              <w:numPr>
                <w:ilvl w:val="0"/>
                <w:numId w:val="0"/>
              </w:num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1．抓住有利时机推进部分项目建设进度，确保项目如质如期完成；</w:t>
            </w:r>
          </w:p>
          <w:p>
            <w:pPr>
              <w:numPr>
                <w:ilvl w:val="0"/>
                <w:numId w:val="0"/>
              </w:num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2．建议相关项目（如生态修复）制定统一的验收标准；</w:t>
            </w:r>
          </w:p>
          <w:p>
            <w:pPr>
              <w:pStyle w:val="2"/>
              <w:ind w:firstLine="640" w:firstLineChars="200"/>
            </w:pPr>
            <w:r>
              <w:rPr>
                <w:rFonts w:hint="eastAsia" w:ascii="仿宋_GB2312" w:hAnsi="仿宋" w:eastAsia="仿宋_GB2312"/>
                <w:sz w:val="32"/>
                <w:szCs w:val="32"/>
                <w:lang w:val="en-US" w:eastAsia="zh-CN"/>
              </w:rPr>
              <w:t>3．建议加大项目配套资金预算，项目才能按概算完成实施。</w:t>
            </w:r>
          </w:p>
          <w:p>
            <w:pPr>
              <w:rPr>
                <w:rFonts w:eastAsia="楷体_GB2312"/>
                <w:bCs/>
                <w:sz w:val="28"/>
                <w:szCs w:val="28"/>
              </w:rPr>
            </w:pPr>
          </w:p>
        </w:tc>
      </w:tr>
    </w:tbl>
    <w:p>
      <w:pPr>
        <w:spacing w:line="348" w:lineRule="auto"/>
        <w:rPr>
          <w:rFonts w:eastAsia="楷体_GB2312"/>
          <w:bCs/>
          <w:sz w:val="28"/>
          <w:szCs w:val="28"/>
        </w:rPr>
      </w:pPr>
    </w:p>
    <w:sectPr>
      <w:pgSz w:w="11906" w:h="16838"/>
      <w:pgMar w:top="1100" w:right="1800" w:bottom="93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9"/>
        <w:sz w:val="24"/>
        <w:szCs w:val="24"/>
      </w:rPr>
    </w:pPr>
    <w:r>
      <w:rPr>
        <w:rStyle w:val="9"/>
        <w:rFonts w:hint="eastAsia"/>
        <w:sz w:val="24"/>
        <w:szCs w:val="24"/>
      </w:rPr>
      <w:t xml:space="preserve">— </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9</w:t>
    </w:r>
    <w:r>
      <w:rPr>
        <w:sz w:val="24"/>
        <w:szCs w:val="24"/>
      </w:rPr>
      <w:fldChar w:fldCharType="end"/>
    </w:r>
    <w:r>
      <w:rPr>
        <w:rStyle w:val="9"/>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6716C8"/>
    <w:multiLevelType w:val="singleLevel"/>
    <w:tmpl w:val="446716C8"/>
    <w:lvl w:ilvl="0" w:tentative="0">
      <w:start w:val="2"/>
      <w:numFmt w:val="decimal"/>
      <w:suff w:val="nothing"/>
      <w:lvlText w:val="%1、"/>
      <w:lvlJc w:val="left"/>
    </w:lvl>
  </w:abstractNum>
  <w:abstractNum w:abstractNumId="1">
    <w:nsid w:val="4865AC8F"/>
    <w:multiLevelType w:val="singleLevel"/>
    <w:tmpl w:val="4865AC8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NWZmOGRjYjgyMzBkNjY4OGE4ZThkOWE2MDMyOTYifQ=="/>
  </w:docVars>
  <w:rsids>
    <w:rsidRoot w:val="55E47CFD"/>
    <w:rsid w:val="026C26AF"/>
    <w:rsid w:val="08B37018"/>
    <w:rsid w:val="18613357"/>
    <w:rsid w:val="20907EAE"/>
    <w:rsid w:val="24925020"/>
    <w:rsid w:val="3E393C7A"/>
    <w:rsid w:val="46AA4F57"/>
    <w:rsid w:val="47961026"/>
    <w:rsid w:val="49DB0194"/>
    <w:rsid w:val="4AF96E9C"/>
    <w:rsid w:val="52D21FCD"/>
    <w:rsid w:val="55E47CFD"/>
    <w:rsid w:val="5C7824A3"/>
    <w:rsid w:val="5D5336B6"/>
    <w:rsid w:val="612E1C5E"/>
    <w:rsid w:val="656A4917"/>
    <w:rsid w:val="69612AA4"/>
    <w:rsid w:val="6A5C063B"/>
    <w:rsid w:val="6E5B2216"/>
    <w:rsid w:val="73BC1C3B"/>
    <w:rsid w:val="745B4D7D"/>
    <w:rsid w:val="7DA44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afterLines="0" w:afterAutospacing="0"/>
    </w:pPr>
  </w:style>
  <w:style w:type="paragraph" w:customStyle="1" w:styleId="4">
    <w:name w:val="Body Text Indent 21"/>
    <w:basedOn w:val="1"/>
    <w:next w:val="5"/>
    <w:qFormat/>
    <w:uiPriority w:val="0"/>
    <w:pPr>
      <w:widowControl/>
      <w:overflowPunct w:val="0"/>
      <w:autoSpaceDE w:val="0"/>
      <w:autoSpaceDN w:val="0"/>
      <w:adjustRightInd w:val="0"/>
      <w:spacing w:line="360" w:lineRule="auto"/>
      <w:ind w:firstLine="555"/>
      <w:textAlignment w:val="baseline"/>
    </w:pPr>
    <w:rPr>
      <w:rFonts w:ascii="宋体"/>
      <w:spacing w:val="12"/>
      <w:kern w:val="0"/>
      <w:sz w:val="24"/>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footer"/>
    <w:basedOn w:val="1"/>
    <w:unhideWhenUsed/>
    <w:qFormat/>
    <w:uiPriority w:val="0"/>
    <w:pPr>
      <w:tabs>
        <w:tab w:val="center" w:pos="4153"/>
        <w:tab w:val="right" w:pos="8306"/>
      </w:tabs>
      <w:snapToGrid w:val="0"/>
      <w:jc w:val="left"/>
    </w:pPr>
    <w:rPr>
      <w:sz w:val="18"/>
      <w:szCs w:val="18"/>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5868</Words>
  <Characters>6248</Characters>
  <Lines>0</Lines>
  <Paragraphs>0</Paragraphs>
  <TotalTime>12</TotalTime>
  <ScaleCrop>false</ScaleCrop>
  <LinksUpToDate>false</LinksUpToDate>
  <CharactersWithSpaces>6794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2021-06-04T01:44:00Z</dcterms:created>
  <dc:creator>丫丫</dc:creator>
  <cp:lastModifiedBy>丫丫</cp:lastModifiedBy>
  <cp:lastPrinted>2022-06-02T01:01:00Z</cp:lastPrinted>
  <dcterms:modified xsi:type="dcterms:W3CDTF">2023-05-15T02:20:06Z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F2FB1EE594FF48F89A5B9CE58110A466</vt:lpwstr>
  </property>
</Properties>
</file>