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岳阳市文学艺术界联合会2022年度部门预算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CellMar>
            <w:top w:w="0" w:type="dxa"/>
            <w:left w:w="108" w:type="dxa"/>
            <w:bottom w:w="0" w:type="dxa"/>
            <w:right w:w="108" w:type="dxa"/>
          </w:tblCellMar>
        </w:tblPrEx>
        <w:trPr>
          <w:trHeight w:val="4519" w:hRule="atLeast"/>
        </w:trPr>
        <w:tc>
          <w:tcPr>
            <w:tcW w:w="5000" w:type="pct"/>
            <w:vMerge w:val="restar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19"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CellMar>
            <w:top w:w="0" w:type="dxa"/>
            <w:left w:w="108" w:type="dxa"/>
            <w:bottom w:w="0" w:type="dxa"/>
            <w:right w:w="108" w:type="dxa"/>
          </w:tblCellMar>
        </w:tblPrEx>
        <w:trPr>
          <w:trHeight w:val="3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1、作为党和政府联系文艺界的桥梁和纽带，贯彻落实党的文艺工作方针，开展同各文艺工作者协会和各县市区文联的团结引导、联络协调、服务管理、自律维权工作，听取和反映文艺界的情况和意见。</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2、组织召开市文联和市文艺工作者协会代表大会、全委会、理事会、主席团会议；组织召开全市文联系统的工作和学术研讨会议。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3、开展多种形式的文艺活动，发现和培养文学艺术人才，繁荣文学艺术创作。</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4、协同有关部门联系、组织中外文艺界的文化交流活动，加强国内外文化交流。</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5、维护文艺工作协会的合法权益，为团体会员服务。</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6、完成市委、市政府交办的其他任务。</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根据编委核定，我单位内设处室3个，分别是办公室（人事科）、组织联络科、作协秘书科。市文联机关行政编制9名。设主席1名，副主席2名；正科级领导职数3名，副科级领导职数2名，科员职数1名。</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213.27万元，其中，一般公共预算拨款213.27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收入较去年增加52.41万元，主要是因为工资福利支出及对个人和家庭的补助项目支出增加。</w:t>
            </w:r>
          </w:p>
        </w:tc>
      </w:tr>
      <w:tr>
        <w:tblPrEx>
          <w:tblCellMar>
            <w:top w:w="0" w:type="dxa"/>
            <w:left w:w="108" w:type="dxa"/>
            <w:bottom w:w="0" w:type="dxa"/>
            <w:right w:w="108" w:type="dxa"/>
          </w:tblCellMar>
        </w:tblPrEx>
        <w:trPr>
          <w:trHeight w:val="402"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320" w:hRule="atLeast"/>
        </w:trPr>
        <w:tc>
          <w:tcPr>
            <w:tcW w:w="5000" w:type="pct"/>
            <w:tcBorders>
              <w:top w:val="nil"/>
              <w:left w:val="nil"/>
              <w:bottom w:val="nil"/>
              <w:right w:val="nil"/>
            </w:tcBorders>
            <w:shd w:val="clear" w:color="auto" w:fill="auto"/>
            <w:vAlign w:val="center"/>
          </w:tcPr>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部门支出预算213.27万元，其中，一般公共服务支出128.53万元，占比60.27%，文化旅游体育与传媒支出62.56万元，占比29.33%，社会保障和就业支出9.01万元，占比4.22%，卫生健康支出6.42万元，占比3.01%，住房保障支出6.75万元，占比3.17%。   支出较去年增加52.41万元，其中基本支出增加3.63万元，项目支出增加48.78万元。其中基本支出较上年增加主要是因为一般商品和服务支出略有增加，项目支出增加主要是因为工资福利支出及对个人和家庭的补助项目支出增加。</w:t>
            </w:r>
          </w:p>
          <w:p>
            <w:pPr>
              <w:widowControl/>
              <w:ind w:firstLine="56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2022年预算公开文档第三大点（对应表3）、第四大点（对应表7）中的金额和百分比，由于预算编制时金额明细到了“分”，而公开表格显示和公开文档取数只到“百元”，可能导致0.01的尾数差异</w:t>
            </w:r>
            <w:r>
              <w:rPr>
                <w:rFonts w:hint="eastAsia" w:ascii="仿宋_GB2312" w:hAnsi="宋体" w:eastAsia="仿宋_GB2312" w:cs="宋体"/>
                <w:kern w:val="0"/>
                <w:sz w:val="28"/>
                <w:szCs w:val="28"/>
                <w:lang w:eastAsia="zh-CN"/>
              </w:rPr>
              <w:t>。</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213.27万元，其中，一般公共服务支出128.53万元，占比60.27%，文化旅游体育与传媒支出62.56万元，占比29.33%，社会保障和就业支出9.01万元，占比4.22%，卫生健康支出6.42万元，占比3.01%，住房保障支出6.75万元，占比3.17%。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108.69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3750" w:hRule="atLeast"/>
        </w:trPr>
        <w:tc>
          <w:tcPr>
            <w:tcW w:w="5000" w:type="pct"/>
            <w:tcBorders>
              <w:top w:val="nil"/>
              <w:left w:val="nil"/>
              <w:bottom w:val="nil"/>
              <w:right w:val="nil"/>
            </w:tcBorders>
            <w:shd w:val="clear" w:color="auto" w:fill="auto"/>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 xml:space="preserve">    （二）项目支出：2022年项目支出年初预算数为104.58万元，是指单位为完成特定行政工作任务或事业发展目标而发生的支出，包括有关业务工作经费、运行维护经费等。其中：10人以下一级预算单位专项补助</w:t>
            </w:r>
            <w:r>
              <w:rPr>
                <w:rFonts w:hint="eastAsia" w:ascii="仿宋_GB2312" w:hAnsi="宋体" w:eastAsia="仿宋_GB2312" w:cs="宋体"/>
                <w:kern w:val="0"/>
                <w:sz w:val="28"/>
                <w:szCs w:val="28"/>
                <w:lang w:val="en-US" w:eastAsia="zh-CN"/>
              </w:rPr>
              <w:t>5万元；工会经费补助6.9万元；伙食补助9.2万元；物业服务补贴8.28万元；预算安排综合绩效奖和平安岳阳建设奖46万元；工作经费追加22.2万元；文艺惠民经费4万元；文艺作品展览经费3万元。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本单位2022年机关运行经费当年一般公共预算拨款23.21万元，比上一年增加3.35万元，增加16.87%。主要原因是办公费用略有增加。</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本单位2022年“三公”经费预算数5.5万元，其中，公务接待费2.5万元，因公出国（境）费0万元，公务用车购置及运行费3万元，其中公务用车购置费0万元，公务用车运行费3万元。</w:t>
            </w:r>
            <w:r>
              <w:rPr>
                <w:rFonts w:hint="eastAsia" w:ascii="仿宋_GB2312" w:hAnsi="宋体" w:eastAsia="仿宋_GB2312" w:cs="宋体"/>
                <w:kern w:val="0"/>
                <w:sz w:val="28"/>
                <w:szCs w:val="28"/>
                <w:lang w:eastAsia="zh-CN"/>
              </w:rPr>
              <w:t>与</w:t>
            </w:r>
            <w:r>
              <w:rPr>
                <w:rFonts w:hint="eastAsia" w:ascii="仿宋_GB2312" w:hAnsi="宋体" w:eastAsia="仿宋_GB2312" w:cs="宋体"/>
                <w:kern w:val="0"/>
                <w:sz w:val="28"/>
                <w:szCs w:val="28"/>
              </w:rPr>
              <w:t>上一年基本持平</w:t>
            </w:r>
            <w:r>
              <w:rPr>
                <w:rFonts w:hint="eastAsia" w:ascii="仿宋_GB2312" w:hAnsi="宋体" w:eastAsia="仿宋_GB2312" w:cs="宋体"/>
                <w:kern w:val="0"/>
                <w:sz w:val="28"/>
                <w:szCs w:val="28"/>
                <w:lang w:eastAsia="zh-CN"/>
              </w:rPr>
              <w:t>，原因是保持节约作风</w:t>
            </w:r>
            <w:r>
              <w:rPr>
                <w:rFonts w:hint="eastAsia" w:ascii="仿宋_GB2312" w:hAnsi="宋体" w:eastAsia="仿宋_GB2312" w:cs="宋体"/>
                <w:kern w:val="0"/>
                <w:sz w:val="28"/>
                <w:szCs w:val="28"/>
              </w:rPr>
              <w:t>。</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本单位2022年会议费预算1.08万元，拟开展2次会议，人数50-80人，内容为市文联五届委员会第六次全体会议、党史学习教育宣讲会；培训费预算0万元，未计划任何培训；</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2022年度本单位未计划举办节庆、晚会、论坛、赛事活动。</w:t>
            </w:r>
          </w:p>
        </w:tc>
      </w:tr>
      <w:tr>
        <w:tblPrEx>
          <w:tblCellMar>
            <w:top w:w="0" w:type="dxa"/>
            <w:left w:w="108" w:type="dxa"/>
            <w:bottom w:w="0" w:type="dxa"/>
            <w:right w:w="108" w:type="dxa"/>
          </w:tblCellMar>
        </w:tblPrEx>
        <w:trPr>
          <w:trHeight w:val="61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本单位2022年政府采购预算总额26万元，其中工程类0万元，货物类8万元，服务类18万元。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259" w:hRule="atLeast"/>
        </w:trPr>
        <w:tc>
          <w:tcPr>
            <w:tcW w:w="5000" w:type="pct"/>
            <w:tcBorders>
              <w:top w:val="nil"/>
              <w:left w:val="nil"/>
              <w:bottom w:val="nil"/>
              <w:right w:val="nil"/>
            </w:tcBorders>
            <w:shd w:val="clear" w:color="auto" w:fill="auto"/>
            <w:vAlign w:val="center"/>
          </w:tcPr>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截至上一年12月底，本单位共有车辆1辆，其中领导干部用车0辆，一般公务用车1辆，其他用车0辆。单位价值50万元以上通用设备0台，单位价值100万元以上专用设备0台。</w:t>
            </w:r>
          </w:p>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2022年拟报废处置公务用车0辆，拟新增配置车辆0辆。2022年拟新增配备单位价值50万元以上通用设备0台，单位价值100万元以上专用设备0台。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本部门所有支出实行绩效目标管理。纳入2022年部门整体支出绩效目标的金额为213.27万元，其中，基本支出108.69万元，项目支出104.58万元，详见文尾附表中部门预算公开表格的表21-22。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CellMar>
            <w:top w:w="0" w:type="dxa"/>
            <w:left w:w="108" w:type="dxa"/>
            <w:bottom w:w="0" w:type="dxa"/>
            <w:right w:w="108" w:type="dxa"/>
          </w:tblCellMar>
        </w:tblPrEx>
        <w:trPr>
          <w:trHeight w:val="4500" w:hRule="atLeast"/>
        </w:trPr>
        <w:tc>
          <w:tcPr>
            <w:tcW w:w="5000" w:type="pct"/>
            <w:vMerge w:val="restar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23、一般公共预算基本支出表</w:t>
            </w:r>
            <w:bookmarkStart w:id="0" w:name="_GoBack"/>
            <w:bookmarkEnd w:id="0"/>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500"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29D36-136D-4BAB-87F5-4F99308059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D70AEF2E-481D-4112-ABD2-29DCA69C6C4A}"/>
  </w:font>
  <w:font w:name="仿宋_GB2312">
    <w:panose1 w:val="02010609030101010101"/>
    <w:charset w:val="86"/>
    <w:family w:val="auto"/>
    <w:pitch w:val="default"/>
    <w:sig w:usb0="00000001" w:usb1="080E0000" w:usb2="00000000" w:usb3="00000000" w:csb0="00040000" w:csb1="00000000"/>
    <w:embedRegular r:id="rId3" w:fontKey="{950910A2-51BC-47CD-AFE2-9284DC5B10F2}"/>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roman"/>
    <w:pitch w:val="default"/>
    <w:sig w:usb0="A00002BF" w:usb1="38CF7CFA" w:usb2="00082016" w:usb3="00000000" w:csb0="00040001" w:csb1="00000000"/>
    <w:embedRegular r:id="rId4" w:fontKey="{3F3923F5-DDD5-46B9-B6CC-EC6A519DA7A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B263A"/>
    <w:multiLevelType w:val="singleLevel"/>
    <w:tmpl w:val="D37B263A"/>
    <w:lvl w:ilvl="0" w:tentative="0">
      <w:start w:val="1"/>
      <w:numFmt w:val="decimal"/>
      <w:suff w:val="nothing"/>
      <w:lvlText w:val="%1、"/>
      <w:lvlJc w:val="left"/>
    </w:lvl>
  </w:abstractNum>
  <w:abstractNum w:abstractNumId="1">
    <w:nsid w:val="737702E2"/>
    <w:multiLevelType w:val="singleLevel"/>
    <w:tmpl w:val="737702E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GFmMTJjZDc5MTY3YTY1N2I2YTE3ZGU3YTY2NDUifQ=="/>
  </w:docVars>
  <w:rsids>
    <w:rsidRoot w:val="00790BAB"/>
    <w:rsid w:val="001031B9"/>
    <w:rsid w:val="00304EC0"/>
    <w:rsid w:val="00790BAB"/>
    <w:rsid w:val="00970A29"/>
    <w:rsid w:val="00D92557"/>
    <w:rsid w:val="00EB4669"/>
    <w:rsid w:val="0EDD2D0A"/>
    <w:rsid w:val="22831E7F"/>
    <w:rsid w:val="3E5A2CB7"/>
    <w:rsid w:val="4A1D382B"/>
    <w:rsid w:val="4CA21884"/>
    <w:rsid w:val="56A05E4E"/>
    <w:rsid w:val="71B3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3371</Words>
  <Characters>3662</Characters>
  <Lines>26</Lines>
  <Paragraphs>7</Paragraphs>
  <TotalTime>1</TotalTime>
  <ScaleCrop>false</ScaleCrop>
  <LinksUpToDate>false</LinksUpToDate>
  <CharactersWithSpaces>3721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2023-05-29T01:09:00Z</dcterms:created>
  <dc:creator>微软用户</dc:creator>
  <cp:lastModifiedBy>German Phillip</cp:lastModifiedBy>
  <dcterms:modified xsi:type="dcterms:W3CDTF">2023-09-22T10:01:51Z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86FCAC00C6F748BAB22BDEFEE1C5C7E3_13</vt:lpwstr>
  </property>
</Properties>
</file>