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58" w:rsidRPr="0033528B" w:rsidRDefault="00E20858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33528B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中共岳阳市委政法委员会2022年度部门预算</w:t>
      </w:r>
    </w:p>
    <w:p w:rsidR="00E20858" w:rsidRDefault="00E20858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目录</w:t>
      </w:r>
    </w:p>
    <w:p w:rsidR="009C5CB9" w:rsidRDefault="009C5CB9" w:rsidP="00CF21F9">
      <w:pPr>
        <w:rPr>
          <w:rFonts w:ascii="仿宋" w:eastAsia="仿宋" w:hAnsi="仿宋"/>
          <w:sz w:val="32"/>
          <w:szCs w:val="32"/>
        </w:rPr>
      </w:pPr>
    </w:p>
    <w:p w:rsidR="00E20858" w:rsidRPr="009C5CB9" w:rsidRDefault="00E20858" w:rsidP="00CF21F9">
      <w:pPr>
        <w:rPr>
          <w:rFonts w:ascii="仿宋" w:eastAsia="仿宋" w:hAnsi="仿宋"/>
          <w:b/>
          <w:sz w:val="32"/>
          <w:szCs w:val="32"/>
        </w:rPr>
      </w:pPr>
      <w:r w:rsidRPr="009C5CB9">
        <w:rPr>
          <w:rFonts w:ascii="仿宋" w:eastAsia="仿宋" w:hAnsi="仿宋" w:hint="eastAsia"/>
          <w:b/>
          <w:sz w:val="32"/>
          <w:szCs w:val="32"/>
        </w:rPr>
        <w:t>第一部分  2022年部门预算说明</w:t>
      </w:r>
    </w:p>
    <w:p w:rsidR="00E20858" w:rsidRPr="009C5CB9" w:rsidRDefault="00E20858" w:rsidP="00CF21F9">
      <w:pPr>
        <w:rPr>
          <w:rFonts w:ascii="仿宋" w:eastAsia="仿宋" w:hAnsi="仿宋"/>
          <w:b/>
          <w:sz w:val="32"/>
          <w:szCs w:val="32"/>
        </w:rPr>
      </w:pPr>
      <w:r w:rsidRPr="009C5CB9">
        <w:rPr>
          <w:rFonts w:ascii="仿宋" w:eastAsia="仿宋" w:hAnsi="仿宋" w:hint="eastAsia"/>
          <w:b/>
          <w:sz w:val="32"/>
          <w:szCs w:val="32"/>
        </w:rPr>
        <w:t>第二部分  2022年部门预算公开表格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1、收支总表</w:t>
      </w:r>
      <w:r w:rsidRPr="00CF21F9">
        <w:rPr>
          <w:rFonts w:ascii="仿宋" w:eastAsia="仿宋" w:hAnsi="仿宋" w:hint="eastAsia"/>
          <w:sz w:val="32"/>
          <w:szCs w:val="32"/>
        </w:rPr>
        <w:br/>
        <w:t>2、收入总表</w:t>
      </w:r>
      <w:r w:rsidRPr="00CF21F9">
        <w:rPr>
          <w:rFonts w:ascii="仿宋" w:eastAsia="仿宋" w:hAnsi="仿宋" w:hint="eastAsia"/>
          <w:sz w:val="32"/>
          <w:szCs w:val="32"/>
        </w:rPr>
        <w:br/>
        <w:t>3、支出总表</w:t>
      </w:r>
      <w:r w:rsidRPr="00CF21F9">
        <w:rPr>
          <w:rFonts w:ascii="仿宋" w:eastAsia="仿宋" w:hAnsi="仿宋" w:hint="eastAsia"/>
          <w:sz w:val="32"/>
          <w:szCs w:val="32"/>
        </w:rPr>
        <w:br/>
        <w:t>4、支出预算分类汇总表（按政府预算经济分类）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5、支出预算分类汇总表（按部门预算经济分类）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6、财政拨款收支总表</w:t>
      </w:r>
      <w:r w:rsidRPr="00CF21F9">
        <w:rPr>
          <w:rFonts w:ascii="仿宋" w:eastAsia="仿宋" w:hAnsi="仿宋" w:hint="eastAsia"/>
          <w:sz w:val="32"/>
          <w:szCs w:val="32"/>
        </w:rPr>
        <w:br/>
        <w:t>7、一般公共预算支出表</w:t>
      </w:r>
      <w:r w:rsidRPr="00CF21F9">
        <w:rPr>
          <w:rFonts w:ascii="仿宋" w:eastAsia="仿宋" w:hAnsi="仿宋" w:hint="eastAsia"/>
          <w:sz w:val="32"/>
          <w:szCs w:val="32"/>
        </w:rPr>
        <w:br/>
        <w:t>8、一般公共预算基本支出表-人员经费（工资福利支出）（按政府预算经济分类）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9、一般公共预算基本支出表-人员经费（工资福利支出）（按部门预算经济分类）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10、一般公共预算基本支出表-人员经费（对个人和家庭的补助）（按政府预算经济分类）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11、一般公共预算基本支出表-人员经费（对个人和家庭的补助）（按部门预算经济分类）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12、一般公共预算基本支出表-</w:t>
      </w:r>
      <w:r w:rsidR="00CF32F6">
        <w:rPr>
          <w:rFonts w:ascii="仿宋" w:eastAsia="仿宋" w:hAnsi="仿宋" w:hint="eastAsia"/>
          <w:sz w:val="32"/>
          <w:szCs w:val="32"/>
        </w:rPr>
        <w:t>公用</w:t>
      </w:r>
      <w:r w:rsidRPr="00CF21F9">
        <w:rPr>
          <w:rFonts w:ascii="仿宋" w:eastAsia="仿宋" w:hAnsi="仿宋" w:hint="eastAsia"/>
          <w:sz w:val="32"/>
          <w:szCs w:val="32"/>
        </w:rPr>
        <w:t>经费（商品和服务支出）（按政府预算经济分类）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</w:r>
      <w:r w:rsidRPr="00CF21F9">
        <w:rPr>
          <w:rFonts w:ascii="仿宋" w:eastAsia="仿宋" w:hAnsi="仿宋" w:hint="eastAsia"/>
          <w:sz w:val="32"/>
          <w:szCs w:val="32"/>
        </w:rPr>
        <w:lastRenderedPageBreak/>
        <w:t>13、一般公共预算基本支出表-</w:t>
      </w:r>
      <w:r w:rsidR="00CF32F6">
        <w:rPr>
          <w:rFonts w:ascii="仿宋" w:eastAsia="仿宋" w:hAnsi="仿宋" w:hint="eastAsia"/>
          <w:sz w:val="32"/>
          <w:szCs w:val="32"/>
        </w:rPr>
        <w:t>公用</w:t>
      </w:r>
      <w:r w:rsidRPr="00CF21F9">
        <w:rPr>
          <w:rFonts w:ascii="仿宋" w:eastAsia="仿宋" w:hAnsi="仿宋" w:hint="eastAsia"/>
          <w:sz w:val="32"/>
          <w:szCs w:val="32"/>
        </w:rPr>
        <w:t>经费（商品和服务支出）（按部门预算经济分类）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14、一般公共预算“三公”经费支出表</w:t>
      </w:r>
      <w:r w:rsidRPr="00CF21F9">
        <w:rPr>
          <w:rFonts w:ascii="仿宋" w:eastAsia="仿宋" w:hAnsi="仿宋" w:hint="eastAsia"/>
          <w:sz w:val="32"/>
          <w:szCs w:val="32"/>
        </w:rPr>
        <w:br/>
        <w:t>15、政府性基金预算支出表</w:t>
      </w:r>
      <w:r w:rsidRPr="00CF21F9">
        <w:rPr>
          <w:rFonts w:ascii="仿宋" w:eastAsia="仿宋" w:hAnsi="仿宋" w:hint="eastAsia"/>
          <w:sz w:val="32"/>
          <w:szCs w:val="32"/>
        </w:rPr>
        <w:br/>
        <w:t>16、政府性基金预算支出分类汇总表（按政府预算经济分类）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17、政府性基金预算支出分类汇总表（按部门预算经济分类）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18、国有资本经营预算支出表</w:t>
      </w:r>
      <w:r w:rsidRPr="00CF21F9">
        <w:rPr>
          <w:rFonts w:ascii="仿宋" w:eastAsia="仿宋" w:hAnsi="仿宋" w:hint="eastAsia"/>
          <w:sz w:val="32"/>
          <w:szCs w:val="32"/>
        </w:rPr>
        <w:br/>
        <w:t>19、财政专户管理资金预算支出表</w:t>
      </w:r>
      <w:r w:rsidRPr="00CF21F9">
        <w:rPr>
          <w:rFonts w:ascii="仿宋" w:eastAsia="仿宋" w:hAnsi="仿宋" w:hint="eastAsia"/>
          <w:sz w:val="32"/>
          <w:szCs w:val="32"/>
        </w:rPr>
        <w:br/>
        <w:t>20、专项资金预算汇总表</w:t>
      </w:r>
      <w:r w:rsidRPr="00CF21F9">
        <w:rPr>
          <w:rFonts w:ascii="仿宋" w:eastAsia="仿宋" w:hAnsi="仿宋" w:hint="eastAsia"/>
          <w:sz w:val="32"/>
          <w:szCs w:val="32"/>
        </w:rPr>
        <w:br/>
        <w:t>21、项目支出绩效目标表</w:t>
      </w:r>
      <w:r w:rsidRPr="00CF21F9">
        <w:rPr>
          <w:rFonts w:ascii="仿宋" w:eastAsia="仿宋" w:hAnsi="仿宋" w:hint="eastAsia"/>
          <w:sz w:val="32"/>
          <w:szCs w:val="32"/>
        </w:rPr>
        <w:br/>
        <w:t xml:space="preserve">22、整体支出绩效目标表                             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23、一般公共预算基本支出表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注：以上单位预算公开报表中，空表表示本单位无相关收支情况。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</w:p>
    <w:p w:rsidR="00E20858" w:rsidRPr="00CF21F9" w:rsidRDefault="00E20858" w:rsidP="009C5CB9">
      <w:pPr>
        <w:jc w:val="center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第一部分  2022年部门预算说明</w:t>
      </w:r>
    </w:p>
    <w:p w:rsidR="009C5CB9" w:rsidRDefault="009C5CB9" w:rsidP="00CF21F9">
      <w:pPr>
        <w:rPr>
          <w:rFonts w:ascii="仿宋" w:eastAsia="仿宋" w:hAnsi="仿宋"/>
          <w:sz w:val="32"/>
          <w:szCs w:val="32"/>
        </w:rPr>
      </w:pP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一、单位基本概况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（一）职能职责</w:t>
      </w:r>
    </w:p>
    <w:p w:rsidR="00E20858" w:rsidRPr="00CF21F9" w:rsidRDefault="00E20858" w:rsidP="00CF21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根据党的路线、方针、政策和省委、市委的部署，统一政法部门的思想和行动。对一定时期内的政法工作</w:t>
      </w:r>
      <w:proofErr w:type="gramStart"/>
      <w:r w:rsidRPr="00CF21F9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CF21F9">
        <w:rPr>
          <w:rFonts w:ascii="仿宋" w:eastAsia="仿宋" w:hAnsi="仿宋" w:hint="eastAsia"/>
          <w:sz w:val="32"/>
          <w:szCs w:val="32"/>
        </w:rPr>
        <w:t>全局性部署，并督促贯彻落实。推进平安岳阳、法治岳阳建设，</w:t>
      </w:r>
      <w:r w:rsidRPr="00CF21F9">
        <w:rPr>
          <w:rFonts w:ascii="仿宋" w:eastAsia="仿宋" w:hAnsi="仿宋" w:hint="eastAsia"/>
          <w:sz w:val="32"/>
          <w:szCs w:val="32"/>
        </w:rPr>
        <w:lastRenderedPageBreak/>
        <w:t>推动政法领域全面深化改革，加强过硬队伍建设，深化智能化建设，严格执法、公正司法，履行维护国家政治安全、确保社会大局稳定、促进社会公平正义、保障人民安居乐业，创造安全的政治环境、稳定的社会环境、公正的法治环境、优质的服务环境，增强人民群众获得感、幸福感、安全感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（二）机构设置</w:t>
      </w:r>
    </w:p>
    <w:p w:rsidR="00E20858" w:rsidRPr="00CF21F9" w:rsidRDefault="00E20858" w:rsidP="00CF21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根据编办核定，市委政法委内设科室</w:t>
      </w:r>
      <w:r w:rsidR="009C5CB9">
        <w:rPr>
          <w:rFonts w:ascii="仿宋" w:eastAsia="仿宋" w:hAnsi="仿宋" w:hint="eastAsia"/>
          <w:sz w:val="32"/>
          <w:szCs w:val="32"/>
        </w:rPr>
        <w:t>15</w:t>
      </w:r>
      <w:r w:rsidRPr="00CF21F9">
        <w:rPr>
          <w:rFonts w:ascii="仿宋" w:eastAsia="仿宋" w:hAnsi="仿宋" w:hint="eastAsia"/>
          <w:sz w:val="32"/>
          <w:szCs w:val="32"/>
        </w:rPr>
        <w:t>个，正科级群团机构1个。</w:t>
      </w:r>
    </w:p>
    <w:p w:rsidR="00E20858" w:rsidRPr="00CF21F9" w:rsidRDefault="00E20858" w:rsidP="00CF21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内设科室：办公室、政治部、政策研究室、政治安全室、</w:t>
      </w:r>
      <w:proofErr w:type="gramStart"/>
      <w:r w:rsidRPr="00CF21F9">
        <w:rPr>
          <w:rFonts w:ascii="仿宋" w:eastAsia="仿宋" w:hAnsi="仿宋" w:hint="eastAsia"/>
          <w:sz w:val="32"/>
          <w:szCs w:val="32"/>
        </w:rPr>
        <w:t>维稳指导</w:t>
      </w:r>
      <w:proofErr w:type="gramEnd"/>
      <w:r w:rsidRPr="00CF21F9">
        <w:rPr>
          <w:rFonts w:ascii="仿宋" w:eastAsia="仿宋" w:hAnsi="仿宋" w:hint="eastAsia"/>
          <w:sz w:val="32"/>
          <w:szCs w:val="32"/>
        </w:rPr>
        <w:t>室、综治督导室、基层社会治理室、反邪教协调室、执法监督室、法治室、宣传教育室、市委国家安全委员会办公室综合科、机关党委、机关纪委按章程设置,机关工会按相关规定设置。</w:t>
      </w:r>
    </w:p>
    <w:p w:rsidR="00E20858" w:rsidRPr="00CF21F9" w:rsidRDefault="00E20858" w:rsidP="00CF21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正科级群团机构：法学会办公室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二、单位预算单位构成</w:t>
      </w:r>
    </w:p>
    <w:p w:rsidR="00E20858" w:rsidRPr="00CF21F9" w:rsidRDefault="00E20858" w:rsidP="00CF21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2022年本单位预算仅含岳阳市委政法委本级预算。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三、部门收支总体情况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（一）收入预算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 xml:space="preserve">    包括一般公共预算、政府性基金、国有资本经营预算等财政拨款收入，以及经营收入、事业收入等单位资金。2022年本部门收入预算1106.55万元，其中，一般公共预算拨款1106.55万元，政府性基金预算拨款0万元，所以公开的附</w:t>
      </w:r>
      <w:r w:rsidRPr="00CF21F9">
        <w:rPr>
          <w:rFonts w:ascii="仿宋" w:eastAsia="仿宋" w:hAnsi="仿宋" w:hint="eastAsia"/>
          <w:sz w:val="32"/>
          <w:szCs w:val="32"/>
        </w:rPr>
        <w:lastRenderedPageBreak/>
        <w:t>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</w:r>
      <w:r>
        <w:rPr>
          <w:rFonts w:ascii="仿宋" w:eastAsia="仿宋" w:hAnsi="仿宋" w:hint="eastAsia"/>
          <w:sz w:val="32"/>
          <w:szCs w:val="32"/>
        </w:rPr>
        <w:t>收入较去年增加246.03万元，主要是因为人员、运转类（其他）项目经费均有所增加</w:t>
      </w:r>
      <w:r w:rsidR="00101359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（二）支出预算</w:t>
      </w:r>
    </w:p>
    <w:p w:rsidR="00E20858" w:rsidRPr="00CF21F9" w:rsidRDefault="00E20858" w:rsidP="00327B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2022年本部门支出预算1106.55万元，其中，一般公共服务支出969.18万元，占比87.59%，社会保障和就业支出56.02万元，占比5.06%，卫生健康支出39.33万元，占比3.55%，住房保障支出42.02万元，占比3.80%。支出较去年增加246.03万元，其中基本支出增加37.95万元，项目支出增加208.08万元。基本支出较上年增加主要是因为人员工资普调增加，项目支出增加主要是因为运转类（其他）项目新增。</w:t>
      </w:r>
    </w:p>
    <w:p w:rsidR="00E20858" w:rsidRPr="00CF21F9" w:rsidRDefault="00E20858" w:rsidP="00327B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2022年预算公开文档第三大点（对应表3）、第四大点（对应表7）中的金额和百分比，由于预算编制</w:t>
      </w:r>
      <w:proofErr w:type="gramStart"/>
      <w:r w:rsidRPr="00CF21F9">
        <w:rPr>
          <w:rFonts w:ascii="仿宋" w:eastAsia="仿宋" w:hAnsi="仿宋" w:hint="eastAsia"/>
          <w:sz w:val="32"/>
          <w:szCs w:val="32"/>
        </w:rPr>
        <w:t>时金额</w:t>
      </w:r>
      <w:proofErr w:type="gramEnd"/>
      <w:r w:rsidRPr="00CF21F9">
        <w:rPr>
          <w:rFonts w:ascii="仿宋" w:eastAsia="仿宋" w:hAnsi="仿宋" w:hint="eastAsia"/>
          <w:sz w:val="32"/>
          <w:szCs w:val="32"/>
        </w:rPr>
        <w:t>明细到了“分”，而公开表格显示和公开文档取数只到“百元”，可能导致0.01的尾数差异。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四、一般公共预算拨款支出预算</w:t>
      </w:r>
    </w:p>
    <w:p w:rsidR="00E20858" w:rsidRPr="00863833" w:rsidRDefault="00E20858" w:rsidP="00863833">
      <w:pPr>
        <w:ind w:firstLine="645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2022年本部门一般公共预算拨款支出预算1106.55万元，</w:t>
      </w:r>
      <w:r w:rsidRPr="00CF21F9">
        <w:rPr>
          <w:rFonts w:ascii="仿宋" w:eastAsia="仿宋" w:hAnsi="仿宋" w:hint="eastAsia"/>
          <w:sz w:val="32"/>
          <w:szCs w:val="32"/>
        </w:rPr>
        <w:lastRenderedPageBreak/>
        <w:t>其中，一般公共服务支出969.18万元，占比87.59%，社会保障和就业支出56.02万元，占比5.06%，卫生健康支出39.33万元，占比3.55%，住房保障支出42.02万元，占比3.80%</w:t>
      </w:r>
      <w:r>
        <w:rPr>
          <w:rFonts w:ascii="仿宋" w:eastAsia="仿宋" w:hAnsi="仿宋" w:hint="eastAsia"/>
          <w:sz w:val="32"/>
          <w:szCs w:val="32"/>
        </w:rPr>
        <w:t>。具体安排情况如下：</w:t>
      </w:r>
    </w:p>
    <w:p w:rsidR="00E20858" w:rsidRDefault="00E20858" w:rsidP="00B233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一）基本支出：2022年基本支出年初预算数为607.27万元（数据来源见表7），是指为保障单位机构正常运转、完成日常工作任务而发生的各项支出，包括用于基本工资、津贴补贴等人员经费以及办公费、印刷费、水电费、差旅费等日常公用经费。</w:t>
      </w:r>
    </w:p>
    <w:p w:rsidR="004A4E97" w:rsidRPr="00E0276C" w:rsidRDefault="006F39C7" w:rsidP="00E0276C">
      <w:pPr>
        <w:pStyle w:val="a0"/>
        <w:ind w:firstLine="640"/>
        <w:rPr>
          <w:sz w:val="32"/>
          <w:szCs w:val="32"/>
        </w:rPr>
      </w:pPr>
      <w:r w:rsidRPr="00E0276C">
        <w:rPr>
          <w:rFonts w:ascii="仿宋_GB2312" w:eastAsia="仿宋_GB2312" w:hAnsi="宋体" w:cs="宋体" w:hint="eastAsia"/>
          <w:kern w:val="0"/>
          <w:sz w:val="32"/>
          <w:szCs w:val="32"/>
        </w:rPr>
        <w:t>（二）项目支出：2022年项目支出年初预算数为499.28万元，是指单位为完成特定行政工作任务或事业发展目标而发生的支出，包括有关业务工作经费、运行维护经费等。其中：法学会工作专项支出10万元、法制培训教育专项支出40.5万元、反邪教工作专项支出30.6万元、铁路护路联防专项支出10.7万元、见义勇为专项支出10万元、教育基地建设租金专项支出45万元、扫黑除恶专项支出100万元、岳阳市网格化服务管理专项支出9万元、执法监督专项支出22.4万元、综</w:t>
      </w:r>
      <w:proofErr w:type="gramStart"/>
      <w:r w:rsidRPr="00E0276C">
        <w:rPr>
          <w:rFonts w:ascii="仿宋_GB2312" w:eastAsia="仿宋_GB2312" w:hAnsi="宋体" w:cs="宋体" w:hint="eastAsia"/>
          <w:kern w:val="0"/>
          <w:sz w:val="32"/>
          <w:szCs w:val="32"/>
        </w:rPr>
        <w:t>治维稳</w:t>
      </w:r>
      <w:proofErr w:type="gramEnd"/>
      <w:r w:rsidRPr="00E0276C">
        <w:rPr>
          <w:rFonts w:ascii="仿宋_GB2312" w:eastAsia="仿宋_GB2312" w:hAnsi="宋体" w:cs="宋体" w:hint="eastAsia"/>
          <w:kern w:val="0"/>
          <w:sz w:val="32"/>
          <w:szCs w:val="32"/>
        </w:rPr>
        <w:t>专项支出13万元，以上专项支出主要是单位为完成全市政法综</w:t>
      </w:r>
      <w:proofErr w:type="gramStart"/>
      <w:r w:rsidRPr="00E0276C">
        <w:rPr>
          <w:rFonts w:ascii="仿宋_GB2312" w:eastAsia="仿宋_GB2312" w:hAnsi="宋体" w:cs="宋体" w:hint="eastAsia"/>
          <w:kern w:val="0"/>
          <w:sz w:val="32"/>
          <w:szCs w:val="32"/>
        </w:rPr>
        <w:t>治维稳</w:t>
      </w:r>
      <w:proofErr w:type="gramEnd"/>
      <w:r w:rsidRPr="00E0276C">
        <w:rPr>
          <w:rFonts w:ascii="仿宋_GB2312" w:eastAsia="仿宋_GB2312" w:hAnsi="宋体" w:cs="宋体" w:hint="eastAsia"/>
          <w:kern w:val="0"/>
          <w:sz w:val="32"/>
          <w:szCs w:val="32"/>
        </w:rPr>
        <w:t>等工作目标任务而发生的支出，具体用于全市执法监督及涉法涉诉、矛盾纠纷排查、</w:t>
      </w:r>
      <w:proofErr w:type="gramStart"/>
      <w:r w:rsidRPr="00E0276C">
        <w:rPr>
          <w:rFonts w:ascii="仿宋_GB2312" w:eastAsia="仿宋_GB2312" w:hAnsi="宋体" w:cs="宋体" w:hint="eastAsia"/>
          <w:kern w:val="0"/>
          <w:sz w:val="32"/>
          <w:szCs w:val="32"/>
        </w:rPr>
        <w:t>涉稳事件</w:t>
      </w:r>
      <w:proofErr w:type="gramEnd"/>
      <w:r w:rsidRPr="00E0276C">
        <w:rPr>
          <w:rFonts w:ascii="仿宋_GB2312" w:eastAsia="仿宋_GB2312" w:hAnsi="宋体" w:cs="宋体" w:hint="eastAsia"/>
          <w:kern w:val="0"/>
          <w:sz w:val="32"/>
          <w:szCs w:val="32"/>
        </w:rPr>
        <w:t>处置，见义勇为、铁路治安联防护路、护线，岳阳市网格化服务管理工作，法制培训教育、扫黑除恶专项斗争</w:t>
      </w:r>
      <w:r w:rsidRPr="00E0276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工作、法学研究交流活动及法学刊物等方面。运行维护经费中208.08万元专项支出，主要用于运转类（其他）项目管理的人员经费等方面。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五、政府性基金预算支出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 xml:space="preserve">    2022年度本部门无政府性基金安排的支出，所以公开的附件15-17（政府性基金预算）为空。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六、其他重要事项的情况说明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（一）机关运行经费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 xml:space="preserve">    本单位2022年机关运行经费当年一般公共预算拨款109.48万元，比上一年增加22.31万元，增加25.59%。主要原因是年工作任务调整。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（二）“三公”经费预算</w:t>
      </w:r>
    </w:p>
    <w:p w:rsidR="00E20858" w:rsidRPr="00E20858" w:rsidRDefault="00E20858" w:rsidP="00E208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2022年委机关“三公”经费预算数为72万元，其中，公务接待费24.83万元，公务用车运行维护费47.17万元（其中，公务用车购置费0万元，公务用车运行费47.17万元），因公出国（境）费0万元。2022年“三公”经费预算较2021年减少26.18万元，主要是公务接待费减少30.25万元，下降54.92%。经费较上年减少，主要是重要活动减少，厉行节约，压缩经费开支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（三）一般性支出情况</w:t>
      </w:r>
    </w:p>
    <w:p w:rsidR="00E20858" w:rsidRPr="00CF21F9" w:rsidRDefault="00E20858" w:rsidP="00673C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2022年本部门</w:t>
      </w:r>
      <w:proofErr w:type="gramStart"/>
      <w:r w:rsidRPr="00CF21F9">
        <w:rPr>
          <w:rFonts w:ascii="仿宋" w:eastAsia="仿宋" w:hAnsi="仿宋" w:hint="eastAsia"/>
          <w:sz w:val="32"/>
          <w:szCs w:val="32"/>
        </w:rPr>
        <w:t>未计划</w:t>
      </w:r>
      <w:proofErr w:type="gramEnd"/>
      <w:r w:rsidRPr="00CF21F9">
        <w:rPr>
          <w:rFonts w:ascii="仿宋" w:eastAsia="仿宋" w:hAnsi="仿宋" w:hint="eastAsia"/>
          <w:sz w:val="32"/>
          <w:szCs w:val="32"/>
        </w:rPr>
        <w:t>安排大型会议、培训，</w:t>
      </w:r>
      <w:proofErr w:type="gramStart"/>
      <w:r w:rsidRPr="00CF21F9">
        <w:rPr>
          <w:rFonts w:ascii="仿宋" w:eastAsia="仿宋" w:hAnsi="仿宋" w:hint="eastAsia"/>
          <w:sz w:val="32"/>
          <w:szCs w:val="32"/>
        </w:rPr>
        <w:t>未计划</w:t>
      </w:r>
      <w:proofErr w:type="gramEnd"/>
      <w:r w:rsidRPr="00CF21F9">
        <w:rPr>
          <w:rFonts w:ascii="仿宋" w:eastAsia="仿宋" w:hAnsi="仿宋" w:hint="eastAsia"/>
          <w:sz w:val="32"/>
          <w:szCs w:val="32"/>
        </w:rPr>
        <w:t>举办节庆、晚会、论坛、赛事等活动。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lastRenderedPageBreak/>
        <w:t>（四）政府采购情况</w:t>
      </w:r>
    </w:p>
    <w:p w:rsidR="00E20858" w:rsidRPr="00CF21F9" w:rsidRDefault="00E20858" w:rsidP="002979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2022年度本单位未安排政府采购预算。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（五）国有资产占有使用及新增资产配置情况</w:t>
      </w:r>
    </w:p>
    <w:p w:rsidR="00E20858" w:rsidRPr="00CF21F9" w:rsidRDefault="00E20858" w:rsidP="008945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截至上年底，本部门共有车辆3辆，其中领导干部用车0辆，一般公务用车3辆，其他用车0辆。单位价值50万元以上通用设备0台，单位价值100万元以上专用设备0台。</w:t>
      </w:r>
      <w:r w:rsidRPr="00CF21F9">
        <w:rPr>
          <w:rFonts w:ascii="仿宋" w:eastAsia="仿宋" w:hAnsi="仿宋" w:hint="eastAsia"/>
          <w:sz w:val="32"/>
          <w:szCs w:val="32"/>
        </w:rPr>
        <w:br/>
        <w:t xml:space="preserve">    2022年拟报废处置公务用车0辆，拟新增配置车辆0辆，其中领导干部用车0辆，一般公务用车0辆，其他用车0辆。</w:t>
      </w:r>
      <w:r w:rsidRPr="00CF21F9">
        <w:rPr>
          <w:rFonts w:ascii="仿宋" w:eastAsia="仿宋" w:hAnsi="仿宋" w:hint="eastAsia"/>
          <w:sz w:val="32"/>
          <w:szCs w:val="32"/>
        </w:rPr>
        <w:br/>
        <w:t xml:space="preserve">    2022年拟新增配备领导干部用车0辆，一般公务用车0辆，其他用车0辆，新增配备单位价值50万元以上通用设备0台，单位价值100万元以上专用设备0台。2022年度本单位</w:t>
      </w:r>
      <w:proofErr w:type="gramStart"/>
      <w:r w:rsidRPr="00CF21F9">
        <w:rPr>
          <w:rFonts w:ascii="仿宋" w:eastAsia="仿宋" w:hAnsi="仿宋" w:hint="eastAsia"/>
          <w:sz w:val="32"/>
          <w:szCs w:val="32"/>
        </w:rPr>
        <w:t>未计划</w:t>
      </w:r>
      <w:proofErr w:type="gramEnd"/>
      <w:r w:rsidRPr="00CF21F9">
        <w:rPr>
          <w:rFonts w:ascii="仿宋" w:eastAsia="仿宋" w:hAnsi="仿宋" w:hint="eastAsia"/>
          <w:sz w:val="32"/>
          <w:szCs w:val="32"/>
        </w:rPr>
        <w:t>处置或新增车辆、设备等。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（六）预算绩效目标说明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 xml:space="preserve">    本部门所有支出实行绩效目标管理。纳入2022年部门整体支出绩效目标的金额为1106.55万元，其中，基本支出607.27万元，项目支出499.28万元，详见文尾附表中部门预算公开表格的表21-22。</w:t>
      </w:r>
    </w:p>
    <w:p w:rsidR="00E20858" w:rsidRPr="00CF21F9" w:rsidRDefault="00E20858" w:rsidP="0029793C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七、名词解释</w:t>
      </w:r>
    </w:p>
    <w:p w:rsidR="00E20858" w:rsidRPr="00CF21F9" w:rsidRDefault="00E20858" w:rsidP="002979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</w:t>
      </w:r>
      <w:r w:rsidRPr="00CF21F9">
        <w:rPr>
          <w:rFonts w:ascii="仿宋" w:eastAsia="仿宋" w:hAnsi="仿宋" w:hint="eastAsia"/>
          <w:sz w:val="32"/>
          <w:szCs w:val="32"/>
        </w:rPr>
        <w:lastRenderedPageBreak/>
        <w:t>费用。</w:t>
      </w:r>
      <w:r w:rsidRPr="00CF21F9">
        <w:rPr>
          <w:rFonts w:ascii="仿宋" w:eastAsia="仿宋" w:hAnsi="仿宋" w:hint="eastAsia"/>
          <w:sz w:val="32"/>
          <w:szCs w:val="32"/>
        </w:rPr>
        <w:br/>
        <w:t xml:space="preserve">    2、“三公”经费：纳入财政预算管理的</w:t>
      </w:r>
      <w:proofErr w:type="gramStart"/>
      <w:r w:rsidRPr="00CF21F9"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Pr="00CF21F9">
        <w:rPr>
          <w:rFonts w:ascii="仿宋" w:eastAsia="仿宋" w:hAnsi="仿宋" w:hint="eastAsia"/>
          <w:sz w:val="32"/>
          <w:szCs w:val="32"/>
        </w:rPr>
        <w:t>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第二部分  2022年部门预算公开表格</w:t>
      </w:r>
    </w:p>
    <w:p w:rsidR="00E20858" w:rsidRPr="00CF21F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1、收支总表</w:t>
      </w:r>
      <w:r w:rsidRPr="00CF21F9">
        <w:rPr>
          <w:rFonts w:ascii="仿宋" w:eastAsia="仿宋" w:hAnsi="仿宋" w:hint="eastAsia"/>
          <w:sz w:val="32"/>
          <w:szCs w:val="32"/>
        </w:rPr>
        <w:br/>
        <w:t>2、收入总表</w:t>
      </w:r>
      <w:r w:rsidRPr="00CF21F9">
        <w:rPr>
          <w:rFonts w:ascii="仿宋" w:eastAsia="仿宋" w:hAnsi="仿宋" w:hint="eastAsia"/>
          <w:sz w:val="32"/>
          <w:szCs w:val="32"/>
        </w:rPr>
        <w:br/>
        <w:t>3、支出总表</w:t>
      </w:r>
      <w:r w:rsidRPr="00CF21F9">
        <w:rPr>
          <w:rFonts w:ascii="仿宋" w:eastAsia="仿宋" w:hAnsi="仿宋" w:hint="eastAsia"/>
          <w:sz w:val="32"/>
          <w:szCs w:val="32"/>
        </w:rPr>
        <w:br/>
        <w:t>4、支出预算分类汇总表（按政府预算经济分类）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5、支出预算分类汇总表（按部门预算经济分类）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6、财政拨款收支总表</w:t>
      </w:r>
      <w:r w:rsidRPr="00CF21F9">
        <w:rPr>
          <w:rFonts w:ascii="仿宋" w:eastAsia="仿宋" w:hAnsi="仿宋" w:hint="eastAsia"/>
          <w:sz w:val="32"/>
          <w:szCs w:val="32"/>
        </w:rPr>
        <w:br/>
        <w:t>7、一般公共预算支出表</w:t>
      </w:r>
      <w:r w:rsidRPr="00CF21F9">
        <w:rPr>
          <w:rFonts w:ascii="仿宋" w:eastAsia="仿宋" w:hAnsi="仿宋" w:hint="eastAsia"/>
          <w:sz w:val="32"/>
          <w:szCs w:val="32"/>
        </w:rPr>
        <w:br/>
        <w:t>8、一般公共预算基本支出表-人员经费（工资福利支出）（按政府预算经济分类）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9、一般公共预算基本支出表-人员经费（工资福利支出）（按部门预算经济分类）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10、一般公共预算基本支出表-人员经费（对个人和家庭的</w:t>
      </w:r>
      <w:r w:rsidRPr="00CF21F9">
        <w:rPr>
          <w:rFonts w:ascii="仿宋" w:eastAsia="仿宋" w:hAnsi="仿宋" w:hint="eastAsia"/>
          <w:sz w:val="32"/>
          <w:szCs w:val="32"/>
        </w:rPr>
        <w:lastRenderedPageBreak/>
        <w:t>补助）（按政府预算经济分类）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11、一般公共预算基本支出表-人员经费（对个人和家庭的补助）（按部门预算经济分类）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12、一般公共预算基本支出表-</w:t>
      </w:r>
      <w:r w:rsidR="00CF32F6">
        <w:rPr>
          <w:rFonts w:ascii="仿宋" w:eastAsia="仿宋" w:hAnsi="仿宋" w:hint="eastAsia"/>
          <w:sz w:val="32"/>
          <w:szCs w:val="32"/>
        </w:rPr>
        <w:t>公用</w:t>
      </w:r>
      <w:r w:rsidRPr="00CF21F9">
        <w:rPr>
          <w:rFonts w:ascii="仿宋" w:eastAsia="仿宋" w:hAnsi="仿宋" w:hint="eastAsia"/>
          <w:sz w:val="32"/>
          <w:szCs w:val="32"/>
        </w:rPr>
        <w:t>经费（商品和服务支出）（按政府预算经济分类）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13、一般公共预算基本支出表-</w:t>
      </w:r>
      <w:r w:rsidR="00CF32F6">
        <w:rPr>
          <w:rFonts w:ascii="仿宋" w:eastAsia="仿宋" w:hAnsi="仿宋" w:hint="eastAsia"/>
          <w:sz w:val="32"/>
          <w:szCs w:val="32"/>
        </w:rPr>
        <w:t>公用</w:t>
      </w:r>
      <w:r w:rsidRPr="00CF21F9">
        <w:rPr>
          <w:rFonts w:ascii="仿宋" w:eastAsia="仿宋" w:hAnsi="仿宋" w:hint="eastAsia"/>
          <w:sz w:val="32"/>
          <w:szCs w:val="32"/>
        </w:rPr>
        <w:t>经费（商品和服务支出）（按部门预算经济分类）</w:t>
      </w:r>
      <w:bookmarkStart w:id="0" w:name="_GoBack"/>
      <w:bookmarkEnd w:id="0"/>
      <w:r w:rsidRPr="00CF21F9">
        <w:rPr>
          <w:rFonts w:ascii="仿宋" w:eastAsia="仿宋" w:hAnsi="仿宋" w:hint="eastAsia"/>
          <w:sz w:val="32"/>
          <w:szCs w:val="32"/>
        </w:rPr>
        <w:br/>
        <w:t>14、一般公共预算“三公”经费支出表</w:t>
      </w:r>
      <w:r w:rsidRPr="00CF21F9">
        <w:rPr>
          <w:rFonts w:ascii="仿宋" w:eastAsia="仿宋" w:hAnsi="仿宋" w:hint="eastAsia"/>
          <w:sz w:val="32"/>
          <w:szCs w:val="32"/>
        </w:rPr>
        <w:br/>
        <w:t>15、政府性基金预算支出表</w:t>
      </w:r>
      <w:r w:rsidRPr="00CF21F9">
        <w:rPr>
          <w:rFonts w:ascii="仿宋" w:eastAsia="仿宋" w:hAnsi="仿宋" w:hint="eastAsia"/>
          <w:sz w:val="32"/>
          <w:szCs w:val="32"/>
        </w:rPr>
        <w:br/>
        <w:t>16、政府性基金预算支出分类汇总表（按政府预算经济分类）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17、政府性基金预算支出分类汇总表（按部门预算经济分类）</w:t>
      </w:r>
      <w:r w:rsidRPr="00CF21F9">
        <w:rPr>
          <w:rFonts w:ascii="仿宋" w:eastAsia="仿宋" w:hAnsi="仿宋" w:hint="eastAsia"/>
          <w:sz w:val="32"/>
          <w:szCs w:val="32"/>
        </w:rPr>
        <w:br/>
        <w:t>18、国有资本经营预算支出表</w:t>
      </w:r>
      <w:r w:rsidRPr="00CF21F9">
        <w:rPr>
          <w:rFonts w:ascii="仿宋" w:eastAsia="仿宋" w:hAnsi="仿宋" w:hint="eastAsia"/>
          <w:sz w:val="32"/>
          <w:szCs w:val="32"/>
        </w:rPr>
        <w:br/>
        <w:t>19、财政专户管理资金预算支出表</w:t>
      </w:r>
      <w:r w:rsidRPr="00CF21F9">
        <w:rPr>
          <w:rFonts w:ascii="仿宋" w:eastAsia="仿宋" w:hAnsi="仿宋" w:hint="eastAsia"/>
          <w:sz w:val="32"/>
          <w:szCs w:val="32"/>
        </w:rPr>
        <w:br/>
        <w:t>20、专项资金预算汇总表</w:t>
      </w:r>
      <w:r w:rsidRPr="00CF21F9">
        <w:rPr>
          <w:rFonts w:ascii="仿宋" w:eastAsia="仿宋" w:hAnsi="仿宋" w:hint="eastAsia"/>
          <w:sz w:val="32"/>
          <w:szCs w:val="32"/>
        </w:rPr>
        <w:br/>
        <w:t>21、项目支出绩效目标表</w:t>
      </w:r>
      <w:r w:rsidRPr="00CF21F9">
        <w:rPr>
          <w:rFonts w:ascii="仿宋" w:eastAsia="仿宋" w:hAnsi="仿宋" w:hint="eastAsia"/>
          <w:sz w:val="32"/>
          <w:szCs w:val="32"/>
        </w:rPr>
        <w:br/>
        <w:t>22、整体支出绩效目标表</w:t>
      </w:r>
    </w:p>
    <w:p w:rsidR="001265B9" w:rsidRDefault="00E20858" w:rsidP="00CF21F9">
      <w:pPr>
        <w:rPr>
          <w:rFonts w:ascii="仿宋" w:eastAsia="仿宋" w:hAnsi="仿宋"/>
          <w:sz w:val="32"/>
          <w:szCs w:val="32"/>
        </w:rPr>
      </w:pPr>
      <w:r w:rsidRPr="00CF21F9">
        <w:rPr>
          <w:rFonts w:ascii="仿宋" w:eastAsia="仿宋" w:hAnsi="仿宋" w:hint="eastAsia"/>
          <w:sz w:val="32"/>
          <w:szCs w:val="32"/>
        </w:rPr>
        <w:t>23、一般公共预算基本支出表</w:t>
      </w:r>
      <w:r w:rsidRPr="00CF21F9">
        <w:rPr>
          <w:rFonts w:ascii="仿宋" w:eastAsia="仿宋" w:hAnsi="仿宋" w:hint="eastAsia"/>
          <w:sz w:val="32"/>
          <w:szCs w:val="32"/>
        </w:rPr>
        <w:br/>
        <w:t>注：以上单位预算公开报表中，空表表示本单位无相关收支情况。</w:t>
      </w:r>
    </w:p>
    <w:p w:rsidR="002E59DD" w:rsidRPr="00BA7895" w:rsidRDefault="002E59DD" w:rsidP="00B33700">
      <w:pPr>
        <w:pStyle w:val="a0"/>
        <w:ind w:firstLineChars="0" w:firstLine="0"/>
      </w:pPr>
    </w:p>
    <w:sectPr w:rsidR="002E59DD" w:rsidRPr="00BA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FC" w:rsidRDefault="00BB37FC" w:rsidP="004A4E97">
      <w:r>
        <w:separator/>
      </w:r>
    </w:p>
  </w:endnote>
  <w:endnote w:type="continuationSeparator" w:id="0">
    <w:p w:rsidR="00BB37FC" w:rsidRDefault="00BB37FC" w:rsidP="004A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roman"/>
    <w:pitch w:val="default"/>
    <w:sig w:usb0="A00002BF" w:usb1="38CF7CFA" w:usb2="00082016" w:usb3="00000000" w:csb0="00040001" w:csb1="00000000"/>
    <w:embedRegular r:id="rId1" w:subsetted="1" w:fontKey="{13CA0083-025A-416C-84AD-F9FC99C1EC1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9116515-3492-46C9-AF20-D6922FE2DAA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A99C733-CC92-4AAB-B829-312B4C8D0DC8}"/>
    <w:embedBold r:id="rId4" w:subsetted="1" w:fontKey="{74C7BA08-F3E0-47E1-B1AC-28836D06F74A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FC" w:rsidRDefault="00BB37FC" w:rsidP="004A4E97">
      <w:r>
        <w:separator/>
      </w:r>
    </w:p>
  </w:footnote>
  <w:footnote w:type="continuationSeparator" w:id="0">
    <w:p w:rsidR="00BB37FC" w:rsidRDefault="00BB37FC" w:rsidP="004A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7D09"/>
    <w:multiLevelType w:val="hybridMultilevel"/>
    <w:tmpl w:val="A61882A0"/>
    <w:lvl w:ilvl="0" w:tplc="E0BC47C4">
      <w:start w:val="23"/>
      <w:numFmt w:val="decimal"/>
      <w:lvlText w:val="%1、"/>
      <w:lvlJc w:val="left"/>
      <w:pPr>
        <w:ind w:left="766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87" w:hanging="420"/>
      </w:pPr>
    </w:lvl>
    <w:lvl w:ilvl="2" w:tplc="0409001B" w:tentative="1">
      <w:start w:val="1"/>
      <w:numFmt w:val="lowerRoman"/>
      <w:lvlText w:val="%3."/>
      <w:lvlJc w:val="right"/>
      <w:pPr>
        <w:ind w:left="8207" w:hanging="420"/>
      </w:pPr>
    </w:lvl>
    <w:lvl w:ilvl="3" w:tplc="0409000F" w:tentative="1">
      <w:start w:val="1"/>
      <w:numFmt w:val="decimal"/>
      <w:lvlText w:val="%4."/>
      <w:lvlJc w:val="left"/>
      <w:pPr>
        <w:ind w:left="8627" w:hanging="420"/>
      </w:pPr>
    </w:lvl>
    <w:lvl w:ilvl="4" w:tplc="04090019" w:tentative="1">
      <w:start w:val="1"/>
      <w:numFmt w:val="lowerLetter"/>
      <w:lvlText w:val="%5)"/>
      <w:lvlJc w:val="left"/>
      <w:pPr>
        <w:ind w:left="9047" w:hanging="420"/>
      </w:pPr>
    </w:lvl>
    <w:lvl w:ilvl="5" w:tplc="0409001B" w:tentative="1">
      <w:start w:val="1"/>
      <w:numFmt w:val="lowerRoman"/>
      <w:lvlText w:val="%6."/>
      <w:lvlJc w:val="right"/>
      <w:pPr>
        <w:ind w:left="9467" w:hanging="420"/>
      </w:pPr>
    </w:lvl>
    <w:lvl w:ilvl="6" w:tplc="0409000F" w:tentative="1">
      <w:start w:val="1"/>
      <w:numFmt w:val="decimal"/>
      <w:lvlText w:val="%7."/>
      <w:lvlJc w:val="left"/>
      <w:pPr>
        <w:ind w:left="9887" w:hanging="420"/>
      </w:pPr>
    </w:lvl>
    <w:lvl w:ilvl="7" w:tplc="04090019" w:tentative="1">
      <w:start w:val="1"/>
      <w:numFmt w:val="lowerLetter"/>
      <w:lvlText w:val="%8)"/>
      <w:lvlJc w:val="left"/>
      <w:pPr>
        <w:ind w:left="10307" w:hanging="420"/>
      </w:pPr>
    </w:lvl>
    <w:lvl w:ilvl="8" w:tplc="0409001B" w:tentative="1">
      <w:start w:val="1"/>
      <w:numFmt w:val="lowerRoman"/>
      <w:lvlText w:val="%9."/>
      <w:lvlJc w:val="right"/>
      <w:pPr>
        <w:ind w:left="10727" w:hanging="420"/>
      </w:pPr>
    </w:lvl>
  </w:abstractNum>
  <w:abstractNum w:abstractNumId="1">
    <w:nsid w:val="36DF585B"/>
    <w:multiLevelType w:val="hybridMultilevel"/>
    <w:tmpl w:val="D88032D8"/>
    <w:lvl w:ilvl="0" w:tplc="39747862">
      <w:start w:val="23"/>
      <w:numFmt w:val="decimal"/>
      <w:lvlText w:val="%1、"/>
      <w:lvlJc w:val="left"/>
      <w:pPr>
        <w:ind w:left="720" w:hanging="720"/>
      </w:pPr>
      <w:rPr>
        <w:rFonts w:ascii="宋体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CB5004"/>
    <w:multiLevelType w:val="hybridMultilevel"/>
    <w:tmpl w:val="C1CA1A52"/>
    <w:lvl w:ilvl="0" w:tplc="467EC1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yMGFmMTJjZDc5MTY3YTY1N2I2YTE3ZGU3YTY2NDUifQ=="/>
  </w:docVars>
  <w:rsids>
    <w:rsidRoot w:val="007C4E41"/>
    <w:rsid w:val="00101359"/>
    <w:rsid w:val="001265B9"/>
    <w:rsid w:val="0017312D"/>
    <w:rsid w:val="0029793C"/>
    <w:rsid w:val="002E59DD"/>
    <w:rsid w:val="00315330"/>
    <w:rsid w:val="00327B88"/>
    <w:rsid w:val="0033528B"/>
    <w:rsid w:val="00405C3A"/>
    <w:rsid w:val="004647A4"/>
    <w:rsid w:val="004A4E97"/>
    <w:rsid w:val="004D0D6D"/>
    <w:rsid w:val="004D4CEA"/>
    <w:rsid w:val="00557E57"/>
    <w:rsid w:val="0058569F"/>
    <w:rsid w:val="005C1423"/>
    <w:rsid w:val="00633C89"/>
    <w:rsid w:val="00673C7C"/>
    <w:rsid w:val="006F39C7"/>
    <w:rsid w:val="00742356"/>
    <w:rsid w:val="007C4E41"/>
    <w:rsid w:val="00863833"/>
    <w:rsid w:val="00894502"/>
    <w:rsid w:val="009C5CB9"/>
    <w:rsid w:val="00A9194F"/>
    <w:rsid w:val="00B2332E"/>
    <w:rsid w:val="00B33700"/>
    <w:rsid w:val="00B74833"/>
    <w:rsid w:val="00B807EC"/>
    <w:rsid w:val="00BA7895"/>
    <w:rsid w:val="00BB37FC"/>
    <w:rsid w:val="00C62C45"/>
    <w:rsid w:val="00C96E6B"/>
    <w:rsid w:val="00CF21F9"/>
    <w:rsid w:val="00CF32F6"/>
    <w:rsid w:val="00D76EF9"/>
    <w:rsid w:val="00DA72EB"/>
    <w:rsid w:val="00DC414B"/>
    <w:rsid w:val="00E0276C"/>
    <w:rsid w:val="00E20858"/>
    <w:rsid w:val="09742E3F"/>
    <w:rsid w:val="28836A4D"/>
    <w:rsid w:val="35ED2F28"/>
    <w:rsid w:val="70420492"/>
    <w:rsid w:val="7A9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5856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611</Words>
  <Characters>3488</Characters>
  <Application>Microsoft Office Word</Application>
  <DocSecurity>0</DocSecurity>
  <Lines>29</Lines>
  <Paragraphs>8</Paragraphs>
  <ScaleCrop>false</ScaleCrop>
  <Company>微软中国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147</cp:revision>
  <dcterms:created xsi:type="dcterms:W3CDTF">2023-05-26T07:00:00Z</dcterms:created>
  <dcterms:modified xsi:type="dcterms:W3CDTF">2023-09-22T09:28:00Z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000D2BF7F45F4000931ED330B8CAAAAA</vt:lpwstr>
  </property>
</Properties>
</file>