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5000" w:type="pct"/>
        <w:tblInd w:w="0" w:type="dxa"/>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trHeight w:val="1380" w:hRule="atLeast"/>
        </w:trPr>
        <w:tc>
          <w:tcPr>
            <w:tcW w:w="5000" w:type="pct"/>
            <w:tcBorders>
              <w:top w:val="nil"/>
              <w:left w:val="nil"/>
              <w:bottom w:val="nil"/>
              <w:right w:val="nil"/>
            </w:tcBorders>
            <w:shd w:val="clear" w:color="auto" w:fill="auto"/>
            <w:vAlign w:val="center"/>
          </w:tcPr>
          <w:p>
            <w:pPr>
              <w:widowControl/>
              <w:jc w:val="center"/>
              <w:rPr>
                <w:rFonts w:ascii="方正小标宋_GBK" w:hAnsi="宋体" w:eastAsia="方正小标宋_GBK" w:cs="宋体"/>
                <w:color w:val="000000"/>
                <w:kern w:val="0"/>
                <w:sz w:val="44"/>
                <w:szCs w:val="44"/>
              </w:rPr>
            </w:pPr>
            <w:r>
              <w:rPr>
                <w:rFonts w:hint="eastAsia" w:ascii="方正小标宋_GBK" w:hAnsi="宋体" w:eastAsia="方正小标宋_GBK" w:cs="宋体"/>
                <w:color w:val="000000"/>
                <w:kern w:val="0"/>
                <w:sz w:val="44"/>
                <w:szCs w:val="44"/>
              </w:rPr>
              <w:t>岳阳日报社2022年度部门预算</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center"/>
              <w:rPr>
                <w:rFonts w:ascii="黑体" w:hAnsi="黑体" w:eastAsia="黑体" w:cs="宋体"/>
                <w:kern w:val="0"/>
                <w:sz w:val="36"/>
                <w:szCs w:val="36"/>
              </w:rPr>
            </w:pPr>
            <w:r>
              <w:rPr>
                <w:rFonts w:hint="eastAsia" w:ascii="黑体" w:hAnsi="黑体" w:eastAsia="黑体" w:cs="宋体"/>
                <w:kern w:val="0"/>
                <w:sz w:val="36"/>
                <w:szCs w:val="36"/>
              </w:rPr>
              <w:t>目录</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第一部分  2022年部门预算说明</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第二部分  2022年部门预算公开表格</w:t>
            </w:r>
          </w:p>
        </w:tc>
      </w:tr>
      <w:tr>
        <w:tblPrEx>
          <w:tblCellMar>
            <w:top w:w="0" w:type="dxa"/>
            <w:left w:w="108" w:type="dxa"/>
            <w:bottom w:w="0" w:type="dxa"/>
            <w:right w:w="108" w:type="dxa"/>
          </w:tblCellMar>
        </w:tblPrEx>
        <w:trPr>
          <w:trHeight w:val="4519" w:hRule="atLeast"/>
        </w:trPr>
        <w:tc>
          <w:tcPr>
            <w:tcW w:w="5000" w:type="pct"/>
            <w:vMerge w:val="restart"/>
            <w:tcBorders>
              <w:top w:val="nil"/>
              <w:left w:val="nil"/>
              <w:bottom w:val="nil"/>
              <w:right w:val="nil"/>
            </w:tcBorders>
            <w:shd w:val="clear" w:color="auto" w:fill="auto"/>
            <w:vAlign w:val="center"/>
          </w:tcPr>
          <w:p>
            <w:pPr>
              <w:widowControl/>
              <w:numPr>
                <w:ilvl w:val="0"/>
                <w:numId w:val="1"/>
              </w:numPr>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收支总表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2、收入总表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3、支出总表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4、支出预算分类汇总表（按政府预算经济分类）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5、支出预算分类汇总表（按部门预算经济分类）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6、财政拨款收支总表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7、一般公共预算支出表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8、一般公共预算基本支出表-人员经费（工资福利支出）（按政府预算经济分类）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9、一般公共预算基本支出表-人员经费（工资福利支出）（按部门预算经济分类）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10、一般公共预算基本支出表-人员经费（对个人和家庭的补助）（按政府预算经济分类）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11、一般公共预算基本支出表-人员经费（对个人和家庭的补助）（按部门预算经济分类）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12、一般公共预算基本支出表-</w:t>
            </w:r>
            <w:r>
              <w:rPr>
                <w:rFonts w:hint="eastAsia" w:ascii="仿宋_GB2312" w:hAnsi="宋体" w:eastAsia="仿宋_GB2312" w:cs="宋体"/>
                <w:color w:val="000000"/>
                <w:kern w:val="0"/>
                <w:sz w:val="28"/>
                <w:szCs w:val="28"/>
                <w:lang w:eastAsia="zh-CN"/>
              </w:rPr>
              <w:t>公用</w:t>
            </w:r>
            <w:r>
              <w:rPr>
                <w:rFonts w:hint="eastAsia" w:ascii="仿宋_GB2312" w:hAnsi="宋体" w:eastAsia="仿宋_GB2312" w:cs="宋体"/>
                <w:color w:val="000000"/>
                <w:kern w:val="0"/>
                <w:sz w:val="28"/>
                <w:szCs w:val="28"/>
              </w:rPr>
              <w:t>经费（商品和服务支出）（按政府预算经济分类）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13、一般公共预算基本支出表-</w:t>
            </w:r>
            <w:r>
              <w:rPr>
                <w:rFonts w:hint="eastAsia" w:ascii="仿宋_GB2312" w:hAnsi="宋体" w:eastAsia="仿宋_GB2312" w:cs="宋体"/>
                <w:color w:val="000000"/>
                <w:kern w:val="0"/>
                <w:sz w:val="28"/>
                <w:szCs w:val="28"/>
                <w:lang w:eastAsia="zh-CN"/>
              </w:rPr>
              <w:t>公用</w:t>
            </w:r>
            <w:r>
              <w:rPr>
                <w:rFonts w:hint="eastAsia" w:ascii="仿宋_GB2312" w:hAnsi="宋体" w:eastAsia="仿宋_GB2312" w:cs="宋体"/>
                <w:color w:val="000000"/>
                <w:kern w:val="0"/>
                <w:sz w:val="28"/>
                <w:szCs w:val="28"/>
              </w:rPr>
              <w:t>经费（商品和服务支出）（按部门预算经济分类）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14、一般公共预算“三公”经费支出表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15、政府性基金预算支出表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16、政府性基金预算支出分类汇总表（按政府预算经济分类）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17、政府性基金预算支出分类汇总表（按部门预算经济分类）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18、国有资本经营预算支出表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19、财政专户管理资金预算支出表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20、专项资金预算汇总表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21、项目支出绩效目标表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22、整体支出绩效目标表</w:t>
            </w:r>
          </w:p>
          <w:p>
            <w:pPr>
              <w:widowControl/>
              <w:numPr>
                <w:ilvl w:val="0"/>
                <w:numId w:val="0"/>
              </w:numPr>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lang w:val="en-US" w:eastAsia="zh-CN"/>
              </w:rPr>
              <w:t>23、一般公共预算基本支出表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注：以上单位预算公开报表中，空表表示本单位无相关收支情况。</w:t>
            </w:r>
          </w:p>
        </w:tc>
      </w:tr>
      <w:tr>
        <w:tblPrEx>
          <w:tblCellMar>
            <w:top w:w="0" w:type="dxa"/>
            <w:left w:w="108" w:type="dxa"/>
            <w:bottom w:w="0" w:type="dxa"/>
            <w:right w:w="108" w:type="dxa"/>
          </w:tblCellMar>
        </w:tblPrEx>
        <w:trPr>
          <w:trHeight w:val="4519" w:hRule="atLeast"/>
        </w:trPr>
        <w:tc>
          <w:tcPr>
            <w:tcW w:w="5000" w:type="pct"/>
            <w:vMerge w:val="continue"/>
            <w:tcBorders>
              <w:top w:val="nil"/>
              <w:left w:val="nil"/>
              <w:bottom w:val="nil"/>
              <w:right w:val="nil"/>
            </w:tcBorders>
            <w:vAlign w:val="center"/>
          </w:tcPr>
          <w:p>
            <w:pPr>
              <w:widowControl/>
              <w:jc w:val="left"/>
              <w:rPr>
                <w:rFonts w:ascii="仿宋_GB2312" w:hAnsi="宋体" w:eastAsia="仿宋_GB2312" w:cs="宋体"/>
                <w:color w:val="000000"/>
                <w:kern w:val="0"/>
                <w:sz w:val="28"/>
                <w:szCs w:val="28"/>
              </w:rPr>
            </w:pPr>
          </w:p>
        </w:tc>
      </w:tr>
      <w:tr>
        <w:tblPrEx>
          <w:tblCellMar>
            <w:top w:w="0" w:type="dxa"/>
            <w:left w:w="108" w:type="dxa"/>
            <w:bottom w:w="0" w:type="dxa"/>
            <w:right w:w="108" w:type="dxa"/>
          </w:tblCellMar>
        </w:tblPrEx>
        <w:trPr>
          <w:trHeight w:val="840" w:hRule="atLeast"/>
        </w:trPr>
        <w:tc>
          <w:tcPr>
            <w:tcW w:w="5000" w:type="pct"/>
            <w:tcBorders>
              <w:top w:val="nil"/>
              <w:left w:val="nil"/>
              <w:bottom w:val="nil"/>
              <w:right w:val="nil"/>
            </w:tcBorders>
            <w:shd w:val="clear" w:color="auto" w:fill="auto"/>
            <w:vAlign w:val="center"/>
          </w:tcPr>
          <w:p>
            <w:pPr>
              <w:widowControl/>
              <w:jc w:val="center"/>
              <w:rPr>
                <w:rFonts w:ascii="黑体" w:hAnsi="黑体" w:eastAsia="黑体" w:cs="宋体"/>
                <w:color w:val="000000"/>
                <w:kern w:val="0"/>
                <w:sz w:val="36"/>
                <w:szCs w:val="36"/>
              </w:rPr>
            </w:pPr>
            <w:r>
              <w:rPr>
                <w:rFonts w:hint="eastAsia" w:ascii="黑体" w:hAnsi="黑体" w:eastAsia="黑体" w:cs="宋体"/>
                <w:color w:val="000000"/>
                <w:kern w:val="0"/>
                <w:sz w:val="36"/>
                <w:szCs w:val="36"/>
              </w:rPr>
              <w:t>第一部分  2022年部门预算说明</w:t>
            </w:r>
          </w:p>
        </w:tc>
      </w:tr>
      <w:tr>
        <w:tblPrEx>
          <w:tblCellMar>
            <w:top w:w="0" w:type="dxa"/>
            <w:left w:w="108" w:type="dxa"/>
            <w:bottom w:w="0" w:type="dxa"/>
            <w:right w:w="108" w:type="dxa"/>
          </w:tblCellMar>
        </w:tblPrEx>
        <w:trPr>
          <w:trHeight w:val="3375"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一、单位基本概况</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（一）职能职责</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岳阳日报社是由中共岳阳市委主管、市委宣传部主办的新闻媒体单位。报社始终坚持党性原则，始终把握正确的舆论导向，秉承正确办报理念，充分发挥党报的主流媒体作用，大力宣传党的路线方针政策和重大决策部署，忠实记录社会生活，全面反映时代精神，以权威性、指导性、公信力、影响力和鲜明的风格特色，服务人民群众，服务改革发展的生动实践。按照新闻规律和市场规律相结合的特征调整完善办报的管理体制和机制，坚持改革创新，积极探索文化体制改革，突出主业、多元经营，报社事业得到了快速发展，在办报水平、报业规模、经营总额上位居全省市州报前列。（二）机构设置</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综合部、人事部、财务部、审计督查部、经营监管部、出版印刷部、发行部、技术设备部、全媒体策划指挥中心、全媒体编辑发布中心、全媒体新闻采访中心、时政评论新闻部、副刊部、特稿部、重点报道部、县域新闻部、融媒体部、岳阳晚报。事业编制93名。设社长兼总编辑（正处级）1名、党组织专职副书记（副处级）1名、副社长兼副总编辑（副处级）3名，正科级领导职数19名（含 机关党委常务副书记1名，机关纪委书记1名），副科级领导职数17名。分支机构岳阳晚报社核定全额拨款事业编制10名，设正科级领导职数1名，副科级领导职数2名。</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二、单位预算单位构成</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本单位预算仅含本级预算。</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三、部门收支总体情况</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（一）收入预算</w:t>
            </w:r>
          </w:p>
        </w:tc>
      </w:tr>
      <w:tr>
        <w:tblPrEx>
          <w:tblCellMar>
            <w:top w:w="0" w:type="dxa"/>
            <w:left w:w="108" w:type="dxa"/>
            <w:bottom w:w="0" w:type="dxa"/>
            <w:right w:w="108" w:type="dxa"/>
          </w:tblCellMar>
        </w:tblPrEx>
        <w:trPr>
          <w:trHeight w:val="2250"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包括一般公共预算、政府性基金、国有资本经营预算等财政拨款收入，以及经营收入、事业收入等单位资金。2022年本部门收入预算2619.99万元，其中，一般公共预算拨款2619.99万元，政府性基金预算拨款0万元，所以公开的附件15-17（政府性基金预算）为空,国有资本经营预算拨款0万元，所以公开的附表18（国有资本经营预算）为空,财政专户管理资金0万元，所以公开的附表19表（财政专户管理资金预算）为空，上级补助收入0万元，事业单位经营收入0万元，上年结转结余0万元。</w:t>
            </w:r>
          </w:p>
        </w:tc>
      </w:tr>
      <w:tr>
        <w:tblPrEx>
          <w:tblCellMar>
            <w:top w:w="0" w:type="dxa"/>
            <w:left w:w="108" w:type="dxa"/>
            <w:bottom w:w="0" w:type="dxa"/>
            <w:right w:w="108" w:type="dxa"/>
          </w:tblCellMar>
        </w:tblPrEx>
        <w:trPr>
          <w:trHeight w:val="61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收入较去年增加1476.49万元，主要是因为岳阳日报社在2022年之前为定额补助单位，从2022年起，单位改成全额补助单位，所有事业，经营收入上缴，财政全额拨款增加了1476.49万元。</w:t>
            </w:r>
          </w:p>
        </w:tc>
      </w:tr>
      <w:tr>
        <w:tblPrEx>
          <w:tblCellMar>
            <w:top w:w="0" w:type="dxa"/>
            <w:left w:w="108" w:type="dxa"/>
            <w:bottom w:w="0" w:type="dxa"/>
            <w:right w:w="108" w:type="dxa"/>
          </w:tblCellMar>
        </w:tblPrEx>
        <w:trPr>
          <w:trHeight w:val="402"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（二）支出预算</w:t>
            </w:r>
          </w:p>
        </w:tc>
      </w:tr>
      <w:tr>
        <w:tblPrEx>
          <w:tblCellMar>
            <w:top w:w="0" w:type="dxa"/>
            <w:left w:w="108" w:type="dxa"/>
            <w:bottom w:w="0" w:type="dxa"/>
            <w:right w:w="108" w:type="dxa"/>
          </w:tblCellMar>
        </w:tblPrEx>
        <w:trPr>
          <w:trHeight w:val="1320" w:hRule="atLeast"/>
        </w:trPr>
        <w:tc>
          <w:tcPr>
            <w:tcW w:w="5000" w:type="pct"/>
            <w:tcBorders>
              <w:top w:val="nil"/>
              <w:left w:val="nil"/>
              <w:bottom w:val="nil"/>
              <w:right w:val="nil"/>
            </w:tcBorders>
            <w:shd w:val="clear" w:color="auto" w:fill="auto"/>
            <w:vAlign w:val="center"/>
          </w:tcPr>
          <w:p>
            <w:pPr>
              <w:widowControl/>
              <w:ind w:firstLine="56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2022年本部门支出预算2619.99万元，其中，一般公共服务支出2619.99万元，占比100.00%。支出较去年增加1476.49万元，其中基本支出增加533.91万元，项目支出增加942.58万元(数据来源见表3)。其中基本支出较上年增加主要是因为报社自2022年起由定额补助单位改成全额补助单位，项目支出增加主要是因为非税上缴额度增加，其征收非税成本增加。</w:t>
            </w:r>
          </w:p>
          <w:p>
            <w:pPr>
              <w:widowControl/>
              <w:ind w:firstLine="560"/>
              <w:jc w:val="left"/>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说明：2022年预算公开文档第三大点（对应表3）、第四大点（对应表7）中的金额和百分比，由于预算编制时金额明细到了“分”，而公开表格显示和公开文档取数只到“百元”，可能导致0.01的尾数差异。</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四、一般公共预算拨款支出预算</w:t>
            </w:r>
          </w:p>
        </w:tc>
      </w:tr>
      <w:tr>
        <w:tblPrEx>
          <w:tblCellMar>
            <w:top w:w="0" w:type="dxa"/>
            <w:left w:w="108" w:type="dxa"/>
            <w:bottom w:w="0" w:type="dxa"/>
            <w:right w:w="108" w:type="dxa"/>
          </w:tblCellMar>
        </w:tblPrEx>
        <w:trPr>
          <w:trHeight w:val="1125"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2022年本部门一般公共预算拨款支出预算2619.99万元，其中，一般公共服务支出2619.99万元，占比100.00%。具体安排情况如下：</w:t>
            </w:r>
          </w:p>
        </w:tc>
      </w:tr>
      <w:tr>
        <w:tblPrEx>
          <w:tblCellMar>
            <w:top w:w="0" w:type="dxa"/>
            <w:left w:w="108" w:type="dxa"/>
            <w:bottom w:w="0" w:type="dxa"/>
            <w:right w:w="108" w:type="dxa"/>
          </w:tblCellMar>
        </w:tblPrEx>
        <w:trPr>
          <w:trHeight w:val="1125"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一）基本支出：2022年基本支出年初预算数为1059.41万元（数据来源见表7），是指为保障单位机构正常运转、完成日常工作任务而发生的各项支出，包括用于基本工资、津贴补贴等人员经费以及办公费、印刷费、水电费、差旅费等日常公用经费。</w:t>
            </w:r>
          </w:p>
        </w:tc>
      </w:tr>
      <w:tr>
        <w:tblPrEx>
          <w:tblCellMar>
            <w:top w:w="0" w:type="dxa"/>
            <w:left w:w="108" w:type="dxa"/>
            <w:bottom w:w="0" w:type="dxa"/>
            <w:right w:w="108" w:type="dxa"/>
          </w:tblCellMar>
        </w:tblPrEx>
        <w:trPr>
          <w:trHeight w:val="3750"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二）项目支出：2022年项目支出年初预算数为1560.58万元（数据来源见表20），是指单位为完成特定行政工作任务或事业发展目标而发生的支出，包括有关业务工作经费、运行维护经费等。其中：广告收入、发行收入、房租收入非税征收成本1120万元（按专项名称列出支出预算明细，数据来源见表20），主要用于创收非税任务的各项成本支出；按项目管理的工资福利支出437.58万元，主要用于发放综合绩效和平安岳阳建设奖286万元、伙食补助57.20万元、工会经费补助42.90万元、物业服务补贴51.48万元；新生活杂志的办刊经费3万元，主要用于新生活杂志的办刊及工作经费。</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五、政府性基金预算支出</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2022年度本部门无政府性基金安排的支出，所以公开的附件15-17（政府性基金预算）为空。</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六、其他重要事项的情况说明</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（一）机关运行经费</w:t>
            </w:r>
          </w:p>
        </w:tc>
      </w:tr>
      <w:tr>
        <w:tblPrEx>
          <w:tblCellMar>
            <w:top w:w="0" w:type="dxa"/>
            <w:left w:w="108" w:type="dxa"/>
            <w:bottom w:w="0" w:type="dxa"/>
            <w:right w:w="108" w:type="dxa"/>
          </w:tblCellMar>
        </w:tblPrEx>
        <w:trPr>
          <w:trHeight w:val="85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本单位2022年机关运行经费当年一般公共预算拨款85.33万元（数据来源见表12），比上一年减少1058.17万元，降低92.54%。主要原因是财政拨款方式由定额改为全额，原来预算的非税返还全部做为运行经费开支，预算口径有差异形成的。</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（二）“三公”经费预算</w:t>
            </w:r>
          </w:p>
        </w:tc>
      </w:tr>
      <w:tr>
        <w:tblPrEx>
          <w:tblCellMar>
            <w:top w:w="0" w:type="dxa"/>
            <w:left w:w="108" w:type="dxa"/>
            <w:bottom w:w="0" w:type="dxa"/>
            <w:right w:w="108" w:type="dxa"/>
          </w:tblCellMar>
        </w:tblPrEx>
        <w:trPr>
          <w:trHeight w:val="1500"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本单位2022年 “三公”经费预算数16万元（数据来源见表14），其中，公务接待费10万元，因公出国（境）费0万元，公务用车购置及运行费6万元（其中，公务用车购置费0万元，公务用车运行费6万元）。2022年三公经费预算较上年减少12万元，降低42.86%，主要原因是厉行节约，对三公经费严格控制。</w:t>
            </w:r>
          </w:p>
        </w:tc>
      </w:tr>
      <w:tr>
        <w:tblPrEx>
          <w:tblCellMar>
            <w:top w:w="0" w:type="dxa"/>
            <w:left w:w="108" w:type="dxa"/>
            <w:bottom w:w="0" w:type="dxa"/>
            <w:right w:w="108" w:type="dxa"/>
          </w:tblCellMar>
        </w:tblPrEx>
        <w:trPr>
          <w:trHeight w:val="375"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（三）一般性支出情况</w:t>
            </w:r>
          </w:p>
        </w:tc>
      </w:tr>
      <w:tr>
        <w:tblPrEx>
          <w:tblCellMar>
            <w:top w:w="0" w:type="dxa"/>
            <w:left w:w="108" w:type="dxa"/>
            <w:bottom w:w="0" w:type="dxa"/>
            <w:right w:w="108" w:type="dxa"/>
          </w:tblCellMar>
        </w:tblPrEx>
        <w:trPr>
          <w:trHeight w:val="1875"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本单位2022年会议费预算0万元（数据来源见表13会议费+培训费），拟召开0次会议，人数0人；培训费预算0万元，拟开展0次培训，人数0人；计划举办节庆、晚会、论坛、赛事活动0万元。2022年度本部门未计划安排会议、培训，未计划举办节庆、晚会、论坛、赛事活动。</w:t>
            </w:r>
          </w:p>
        </w:tc>
      </w:tr>
      <w:tr>
        <w:tblPrEx>
          <w:tblCellMar>
            <w:top w:w="0" w:type="dxa"/>
            <w:left w:w="108" w:type="dxa"/>
            <w:bottom w:w="0" w:type="dxa"/>
            <w:right w:w="108" w:type="dxa"/>
          </w:tblCellMar>
        </w:tblPrEx>
        <w:trPr>
          <w:trHeight w:val="61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（四）政府采购情况</w:t>
            </w:r>
          </w:p>
        </w:tc>
      </w:tr>
      <w:tr>
        <w:tblPrEx>
          <w:tblCellMar>
            <w:top w:w="0" w:type="dxa"/>
            <w:left w:w="108" w:type="dxa"/>
            <w:bottom w:w="0" w:type="dxa"/>
            <w:right w:w="108" w:type="dxa"/>
          </w:tblCellMar>
        </w:tblPrEx>
        <w:trPr>
          <w:trHeight w:val="750" w:hRule="atLeast"/>
        </w:trPr>
        <w:tc>
          <w:tcPr>
            <w:tcW w:w="5000" w:type="pct"/>
            <w:tcBorders>
              <w:top w:val="nil"/>
              <w:left w:val="nil"/>
              <w:bottom w:val="nil"/>
              <w:right w:val="nil"/>
            </w:tcBorders>
            <w:shd w:val="clear" w:color="auto" w:fill="auto"/>
            <w:vAlign w:val="center"/>
          </w:tcPr>
          <w:p>
            <w:pPr>
              <w:widowControl/>
              <w:ind w:firstLine="280" w:firstLineChars="1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本单位2022年政府采购预算总额0万元，其中工程类0万元，货物类0万元，服务类0万元。2022年度本单位未安排政府采购预算。</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（五）国有资产占有使用及新增资产配置情况</w:t>
            </w:r>
          </w:p>
        </w:tc>
      </w:tr>
      <w:tr>
        <w:tblPrEx>
          <w:tblCellMar>
            <w:top w:w="0" w:type="dxa"/>
            <w:left w:w="108" w:type="dxa"/>
            <w:bottom w:w="0" w:type="dxa"/>
            <w:right w:w="108" w:type="dxa"/>
          </w:tblCellMar>
        </w:tblPrEx>
        <w:trPr>
          <w:trHeight w:val="325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截至上年底，本单位共有车辆2辆，其中领导干部用车0辆，一般公务用车1辆，其他用车1辆。单位价值50万元以上通用设备0台，单位价值100万元以上专用设备0台。</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2022年拟报废处置公务用车0辆，拟新增配置车辆0辆，其中领导干部用车0辆，一般公务用车0辆，其他用车0辆。</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2022年拟新增配备领导干部用车0辆，一般公务用车0辆，其他用车0辆，新增配备单位价值50万元以上通用设备0台，单位价值100万元以上专用设备0台。2022年度本部门未计划处置或新增车辆、设备等。</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（六）预算绩效目标说明</w:t>
            </w:r>
          </w:p>
        </w:tc>
      </w:tr>
      <w:tr>
        <w:tblPrEx>
          <w:tblCellMar>
            <w:top w:w="0" w:type="dxa"/>
            <w:left w:w="108" w:type="dxa"/>
            <w:bottom w:w="0" w:type="dxa"/>
            <w:right w:w="108" w:type="dxa"/>
          </w:tblCellMar>
        </w:tblPrEx>
        <w:trPr>
          <w:trHeight w:val="1125"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本部门所有支出实行绩效目标管理。纳入2022年部门整体支出绩效目标的金额为2619.99万元，其中，基本支出1499.99万元，项目支出1120万元，详见文尾附表中部门预算公开表格的表21-22。</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七、名词解释</w:t>
            </w:r>
          </w:p>
        </w:tc>
      </w:tr>
      <w:tr>
        <w:tblPrEx>
          <w:tblCellMar>
            <w:top w:w="0" w:type="dxa"/>
            <w:left w:w="108" w:type="dxa"/>
            <w:bottom w:w="0" w:type="dxa"/>
            <w:right w:w="108" w:type="dxa"/>
          </w:tblCellMar>
        </w:tblPrEx>
        <w:trPr>
          <w:trHeight w:val="3000"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 xml:space="preserve">    2、“三公”经费：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tc>
      </w:tr>
      <w:tr>
        <w:tblPrEx>
          <w:tblCellMar>
            <w:top w:w="0" w:type="dxa"/>
            <w:left w:w="108" w:type="dxa"/>
            <w:bottom w:w="0" w:type="dxa"/>
            <w:right w:w="108" w:type="dxa"/>
          </w:tblCellMar>
        </w:tblPrEx>
        <w:trPr>
          <w:trHeight w:val="900" w:hRule="atLeast"/>
        </w:trPr>
        <w:tc>
          <w:tcPr>
            <w:tcW w:w="5000" w:type="pct"/>
            <w:tcBorders>
              <w:top w:val="nil"/>
              <w:left w:val="nil"/>
              <w:bottom w:val="nil"/>
              <w:right w:val="nil"/>
            </w:tcBorders>
            <w:shd w:val="clear" w:color="auto" w:fill="auto"/>
            <w:vAlign w:val="center"/>
          </w:tcPr>
          <w:p>
            <w:pPr>
              <w:widowControl/>
              <w:jc w:val="center"/>
              <w:rPr>
                <w:rFonts w:ascii="黑体" w:hAnsi="黑体" w:eastAsia="黑体" w:cs="宋体"/>
                <w:color w:val="000000"/>
                <w:kern w:val="0"/>
                <w:sz w:val="36"/>
                <w:szCs w:val="36"/>
              </w:rPr>
            </w:pPr>
            <w:r>
              <w:rPr>
                <w:rFonts w:hint="eastAsia" w:ascii="黑体" w:hAnsi="黑体" w:eastAsia="黑体" w:cs="宋体"/>
                <w:color w:val="000000"/>
                <w:kern w:val="0"/>
                <w:sz w:val="36"/>
                <w:szCs w:val="36"/>
              </w:rPr>
              <w:t>第二部分  2022年部门预算公开表格</w:t>
            </w:r>
          </w:p>
        </w:tc>
      </w:tr>
      <w:tr>
        <w:tblPrEx>
          <w:tblCellMar>
            <w:top w:w="0" w:type="dxa"/>
            <w:left w:w="108" w:type="dxa"/>
            <w:bottom w:w="0" w:type="dxa"/>
            <w:right w:w="108" w:type="dxa"/>
          </w:tblCellMar>
        </w:tblPrEx>
        <w:trPr>
          <w:trHeight w:val="4500" w:hRule="atLeast"/>
        </w:trPr>
        <w:tc>
          <w:tcPr>
            <w:tcW w:w="5000" w:type="pct"/>
            <w:vMerge w:val="restart"/>
            <w:tcBorders>
              <w:top w:val="nil"/>
              <w:left w:val="nil"/>
              <w:bottom w:val="nil"/>
              <w:right w:val="nil"/>
            </w:tcBorders>
            <w:shd w:val="clear" w:color="auto" w:fill="auto"/>
            <w:vAlign w:val="center"/>
          </w:tcPr>
          <w:p>
            <w:pPr>
              <w:widowControl/>
              <w:numPr>
                <w:ilvl w:val="0"/>
                <w:numId w:val="2"/>
              </w:numPr>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收支总表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2、收入总表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3、支出总表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4、支出预算分类汇总表（按政府预算经济分类）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5、支出预算分类汇总表（按部门预算经济分类）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6、财政拨款收支总表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7、一般公共预算支出表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8、一般公共预算基本支出表-人员经费（工资福利支出）（按政府预算经济分类）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9、一般公共预算基本支出表-人员经费（工资福利支出）（按部门预算经济分类）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10、一般公共预算基本支出表-人员经费（对个人和家庭的补助）（按政府预算经济分类）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11、一般公共预算基本支出表-人员经费（对个人和家庭的补助）（按部门预算经济分类）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12、一般公共预算基本支出表-</w:t>
            </w:r>
            <w:r>
              <w:rPr>
                <w:rFonts w:hint="eastAsia" w:ascii="仿宋_GB2312" w:hAnsi="宋体" w:eastAsia="仿宋_GB2312" w:cs="宋体"/>
                <w:color w:val="000000"/>
                <w:kern w:val="0"/>
                <w:sz w:val="28"/>
                <w:szCs w:val="28"/>
                <w:lang w:eastAsia="zh-CN"/>
              </w:rPr>
              <w:t>公用</w:t>
            </w:r>
            <w:r>
              <w:rPr>
                <w:rFonts w:hint="eastAsia" w:ascii="仿宋_GB2312" w:hAnsi="宋体" w:eastAsia="仿宋_GB2312" w:cs="宋体"/>
                <w:color w:val="000000"/>
                <w:kern w:val="0"/>
                <w:sz w:val="28"/>
                <w:szCs w:val="28"/>
              </w:rPr>
              <w:t>经费（商品和服务支出）（按政府预算经济分类）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13、一般公共预算基本支出表-</w:t>
            </w:r>
            <w:r>
              <w:rPr>
                <w:rFonts w:hint="eastAsia" w:ascii="仿宋_GB2312" w:hAnsi="宋体" w:eastAsia="仿宋_GB2312" w:cs="宋体"/>
                <w:color w:val="000000"/>
                <w:kern w:val="0"/>
                <w:sz w:val="28"/>
                <w:szCs w:val="28"/>
                <w:lang w:eastAsia="zh-CN"/>
              </w:rPr>
              <w:t>公用</w:t>
            </w:r>
            <w:bookmarkStart w:id="0" w:name="_GoBack"/>
            <w:bookmarkEnd w:id="0"/>
            <w:r>
              <w:rPr>
                <w:rFonts w:hint="eastAsia" w:ascii="仿宋_GB2312" w:hAnsi="宋体" w:eastAsia="仿宋_GB2312" w:cs="宋体"/>
                <w:color w:val="000000"/>
                <w:kern w:val="0"/>
                <w:sz w:val="28"/>
                <w:szCs w:val="28"/>
              </w:rPr>
              <w:t>经费（商品和服务支出）（按部门预算经济分类）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14、一般公共预算“三公”经费支出表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15、政府性基金预算支出表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16、政府性基金预算支出分类汇总表（按政府预算经济分类）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17、政府性基金预算支出分类汇总表（按部门预算经济分类）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18、国有资本经营预算支出表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19、财政专户管理资金预算支出表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20、专项资金预算汇总表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21、项目支出绩效目标表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22、整体支出绩效目标表</w:t>
            </w:r>
          </w:p>
          <w:p>
            <w:pPr>
              <w:widowControl/>
              <w:numPr>
                <w:ilvl w:val="0"/>
                <w:numId w:val="0"/>
              </w:numPr>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lang w:val="en-US" w:eastAsia="zh-CN"/>
              </w:rPr>
              <w:t>23、一般公共预算基本支出表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注：以上单位预算公开报表中，空表表示本单位无相关收支情况。</w:t>
            </w:r>
          </w:p>
        </w:tc>
      </w:tr>
      <w:tr>
        <w:tblPrEx>
          <w:tblCellMar>
            <w:top w:w="0" w:type="dxa"/>
            <w:left w:w="108" w:type="dxa"/>
            <w:bottom w:w="0" w:type="dxa"/>
            <w:right w:w="108" w:type="dxa"/>
          </w:tblCellMar>
        </w:tblPrEx>
        <w:trPr>
          <w:trHeight w:val="4500" w:hRule="atLeast"/>
        </w:trPr>
        <w:tc>
          <w:tcPr>
            <w:tcW w:w="5000" w:type="pct"/>
            <w:vMerge w:val="continue"/>
            <w:tcBorders>
              <w:top w:val="nil"/>
              <w:left w:val="nil"/>
              <w:bottom w:val="nil"/>
              <w:right w:val="nil"/>
            </w:tcBorders>
            <w:vAlign w:val="center"/>
          </w:tcPr>
          <w:p>
            <w:pPr>
              <w:widowControl/>
              <w:jc w:val="left"/>
              <w:rPr>
                <w:rFonts w:ascii="仿宋_GB2312" w:hAnsi="宋体" w:eastAsia="仿宋_GB2312" w:cs="宋体"/>
                <w:color w:val="000000"/>
                <w:kern w:val="0"/>
                <w:sz w:val="28"/>
                <w:szCs w:val="28"/>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roman"/>
    <w:pitch w:val="default"/>
    <w:sig w:usb0="00000000" w:usb1="00000000" w:usb2="00082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DBC602"/>
    <w:multiLevelType w:val="singleLevel"/>
    <w:tmpl w:val="8EDBC602"/>
    <w:lvl w:ilvl="0" w:tentative="0">
      <w:start w:val="1"/>
      <w:numFmt w:val="decimal"/>
      <w:suff w:val="nothing"/>
      <w:lvlText w:val="%1、"/>
      <w:lvlJc w:val="left"/>
    </w:lvl>
  </w:abstractNum>
  <w:abstractNum w:abstractNumId="1">
    <w:nsid w:val="5B105831"/>
    <w:multiLevelType w:val="singleLevel"/>
    <w:tmpl w:val="5B105831"/>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kM2NmZjcxYjNjMDE1MzE5MzI0MTA4NTcxMWZkNDIifQ=="/>
  </w:docVars>
  <w:rsids>
    <w:rsidRoot w:val="003B1D4C"/>
    <w:rsid w:val="000C641E"/>
    <w:rsid w:val="000E34E3"/>
    <w:rsid w:val="001F53F5"/>
    <w:rsid w:val="003B1D4C"/>
    <w:rsid w:val="004C5F85"/>
    <w:rsid w:val="00681DAB"/>
    <w:rsid w:val="007418A9"/>
    <w:rsid w:val="0094601F"/>
    <w:rsid w:val="0098654C"/>
    <w:rsid w:val="00A8361A"/>
    <w:rsid w:val="00B123A7"/>
    <w:rsid w:val="00BB6092"/>
    <w:rsid w:val="00BE5AEB"/>
    <w:rsid w:val="00EE1642"/>
    <w:rsid w:val="00F300FF"/>
    <w:rsid w:val="11EB3EAA"/>
    <w:rsid w:val="15C20001"/>
    <w:rsid w:val="1A9A7592"/>
    <w:rsid w:val="26A424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9</Pages>
  <Words>3685</Words>
  <Characters>3971</Characters>
  <Lines>28</Lines>
  <Paragraphs>8</Paragraphs>
  <TotalTime>1</TotalTime>
  <ScaleCrop>false</ScaleCrop>
  <LinksUpToDate>false</LinksUpToDate>
  <CharactersWithSpaces>4020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2023-07-11T06:31:00Z</dcterms:created>
  <dc:creator>微软用户</dc:creator>
  <cp:lastModifiedBy>Administrator</cp:lastModifiedBy>
  <dcterms:modified xsi:type="dcterms:W3CDTF">2023-09-22T08:31:15Z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E20C51868589465D84A3D019C2786A5D_13</vt:lpwstr>
  </property>
</Properties>
</file>