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ascii="仿宋" w:hAnsi="仿宋" w:eastAsia="仿宋"/>
          <w:spacing w:val="-16"/>
          <w:kern w:val="0"/>
          <w:sz w:val="32"/>
          <w:szCs w:val="32"/>
          <w:u w:val="single"/>
        </w:rPr>
        <w:t>“</w:t>
      </w:r>
      <w:r>
        <w:rPr>
          <w:rFonts w:hint="eastAsia" w:ascii="仿宋" w:hAnsi="仿宋" w:eastAsia="仿宋"/>
          <w:sz w:val="32"/>
          <w:szCs w:val="32"/>
          <w:u w:val="single"/>
        </w:rPr>
        <w:t>非遗有戏·艺汇岳阳</w:t>
      </w:r>
      <w:r>
        <w:rPr>
          <w:rFonts w:hint="eastAsia" w:ascii="仿宋" w:hAnsi="仿宋" w:eastAsia="仿宋"/>
          <w:spacing w:val="-16"/>
          <w:kern w:val="0"/>
          <w:sz w:val="32"/>
          <w:szCs w:val="32"/>
          <w:u w:val="single"/>
        </w:rPr>
        <w:t>”2021年非遗戏曲展演系列活动</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szCs w:val="32"/>
          <w:u w:val="single"/>
        </w:rPr>
        <w:t>岳阳市文化旅游广电局</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湖南省文化和旅游厅</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2022 </w:t>
      </w:r>
      <w:r>
        <w:rPr>
          <w:rFonts w:hint="eastAsia" w:eastAsia="仿宋_GB2312"/>
          <w:sz w:val="32"/>
        </w:rPr>
        <w:t>年</w:t>
      </w:r>
      <w:r>
        <w:rPr>
          <w:rFonts w:hint="eastAsia" w:eastAsia="仿宋_GB2312"/>
          <w:sz w:val="32"/>
          <w:lang w:val="en-US" w:eastAsia="zh-CN"/>
        </w:rPr>
        <w:t xml:space="preserve"> 6 </w:t>
      </w:r>
      <w:r>
        <w:rPr>
          <w:rFonts w:hint="eastAsia" w:eastAsia="仿宋_GB2312"/>
          <w:sz w:val="32"/>
        </w:rPr>
        <w:t>月</w:t>
      </w:r>
      <w:r>
        <w:rPr>
          <w:rFonts w:hint="eastAsia" w:eastAsia="仿宋_GB2312"/>
          <w:sz w:val="32"/>
          <w:lang w:val="en-US" w:eastAsia="zh-CN"/>
        </w:rPr>
        <w:t xml:space="preserve"> 15 </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919"/>
        <w:gridCol w:w="22"/>
        <w:gridCol w:w="391"/>
        <w:gridCol w:w="307"/>
        <w:gridCol w:w="677"/>
        <w:gridCol w:w="670"/>
        <w:gridCol w:w="409"/>
        <w:gridCol w:w="141"/>
        <w:gridCol w:w="46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ascii="仿宋" w:hAnsi="仿宋" w:eastAsia="仿宋"/>
                <w:spacing w:val="20"/>
                <w:sz w:val="30"/>
                <w:szCs w:val="30"/>
              </w:rPr>
              <w:t xml:space="preserve"> </w:t>
            </w:r>
            <w:r>
              <w:rPr>
                <w:rFonts w:hint="eastAsia" w:eastAsia="仿宋_GB2312"/>
                <w:sz w:val="24"/>
              </w:rPr>
              <w:t>付淑华</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eastAsia="仿宋_GB2312"/>
                <w:sz w:val="24"/>
              </w:rPr>
            </w:pPr>
            <w:r>
              <w:rPr>
                <w:rFonts w:hint="eastAsia" w:eastAsia="仿宋_GB2312"/>
                <w:sz w:val="24"/>
              </w:rPr>
              <w:t>13873008123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eastAsia="仿宋_GB2312"/>
                <w:sz w:val="24"/>
              </w:rPr>
            </w:pPr>
            <w:r>
              <w:rPr>
                <w:rFonts w:hint="eastAsia" w:eastAsia="仿宋_GB2312"/>
                <w:sz w:val="24"/>
              </w:rPr>
              <w:t>岳阳市非物质文化遗产保护中心</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eastAsia="仿宋_GB2312"/>
                <w:sz w:val="24"/>
              </w:rPr>
            </w:pPr>
            <w:r>
              <w:rPr>
                <w:rFonts w:hint="eastAsia" w:eastAsia="仿宋_GB2312"/>
                <w:sz w:val="24"/>
              </w:rPr>
              <w:t>2021年6月12-30日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80.8</w:t>
            </w:r>
          </w:p>
        </w:tc>
        <w:tc>
          <w:tcPr>
            <w:tcW w:w="1919"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25</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25</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eastAsia="仿宋_GB2312"/>
                <w:spacing w:val="-6"/>
                <w:sz w:val="24"/>
              </w:rPr>
            </w:pPr>
          </w:p>
        </w:tc>
        <w:tc>
          <w:tcPr>
            <w:tcW w:w="1919"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gridSpan w:val="2"/>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50</w:t>
            </w:r>
          </w:p>
        </w:tc>
        <w:tc>
          <w:tcPr>
            <w:tcW w:w="1919"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25</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30.8</w:t>
            </w:r>
          </w:p>
        </w:tc>
        <w:tc>
          <w:tcPr>
            <w:tcW w:w="1919"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941"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支付巴陵戏传承研究院活动经费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250000</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2021.11.189#</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p>
        </w:tc>
        <w:tc>
          <w:tcPr>
            <w:tcW w:w="1941" w:type="dxa"/>
            <w:gridSpan w:val="2"/>
            <w:tcBorders>
              <w:bottom w:val="single" w:color="auto" w:sz="4" w:space="0"/>
            </w:tcBorders>
            <w:vAlign w:val="center"/>
          </w:tcPr>
          <w:p>
            <w:pPr>
              <w:jc w:val="both"/>
              <w:rPr>
                <w:rFonts w:hint="default" w:eastAsia="仿宋_GB2312"/>
                <w:sz w:val="24"/>
                <w:lang w:val="en-US" w:eastAsia="zh-CN"/>
              </w:rPr>
            </w:pPr>
          </w:p>
        </w:tc>
        <w:tc>
          <w:tcPr>
            <w:tcW w:w="2595" w:type="dxa"/>
            <w:gridSpan w:val="6"/>
            <w:tcBorders>
              <w:bottom w:val="single" w:color="auto" w:sz="4" w:space="0"/>
            </w:tcBorders>
            <w:vAlign w:val="center"/>
          </w:tcPr>
          <w:p>
            <w:pPr>
              <w:jc w:val="center"/>
              <w:rPr>
                <w:rFonts w:hint="default" w:eastAsia="仿宋_GB2312"/>
                <w:sz w:val="24"/>
                <w:lang w:val="en-US" w:eastAsia="zh-CN"/>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941"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250000</w:t>
            </w:r>
            <w:r>
              <w:rPr>
                <w:rFonts w:hint="eastAsia" w:eastAsia="仿宋_GB2312"/>
                <w:sz w:val="24"/>
              </w:rPr>
              <w:t>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spacing w:line="240" w:lineRule="exact"/>
              <w:jc w:val="left"/>
              <w:rPr>
                <w:rFonts w:eastAsia="仿宋_GB2312"/>
                <w:b/>
                <w:sz w:val="24"/>
              </w:rPr>
            </w:pPr>
            <w:r>
              <w:rPr>
                <w:rFonts w:hint="eastAsia" w:ascii="仿宋" w:hAnsi="仿宋" w:eastAsia="仿宋"/>
                <w:color w:val="000000"/>
                <w:kern w:val="0"/>
                <w:sz w:val="24"/>
                <w:szCs w:val="24"/>
              </w:rPr>
              <w:t>本次</w:t>
            </w:r>
            <w:r>
              <w:rPr>
                <w:rFonts w:hint="eastAsia" w:ascii="仿宋" w:hAnsi="仿宋" w:eastAsia="仿宋" w:cs="宋体"/>
                <w:color w:val="000000" w:themeColor="text1"/>
                <w:kern w:val="0"/>
                <w:sz w:val="24"/>
                <w:szCs w:val="24"/>
                <w14:textFill>
                  <w14:solidFill>
                    <w14:schemeClr w14:val="tx1"/>
                  </w14:solidFill>
                </w14:textFill>
              </w:rPr>
              <w:t>“非遗有戏·艺汇岳阳”2021年湖南非遗戏曲展演系列活动,</w:t>
            </w:r>
            <w:r>
              <w:rPr>
                <w:rFonts w:hint="eastAsia" w:ascii="仿宋" w:hAnsi="仿宋" w:eastAsia="仿宋"/>
                <w:color w:val="000000"/>
                <w:kern w:val="0"/>
                <w:sz w:val="24"/>
                <w:szCs w:val="24"/>
              </w:rPr>
              <w:t>以湖南花鼓戏为重点，</w:t>
            </w:r>
            <w:r>
              <w:rPr>
                <w:rFonts w:hint="eastAsia" w:ascii="仿宋" w:hAnsi="仿宋" w:eastAsia="仿宋"/>
                <w:color w:val="000000"/>
                <w:sz w:val="24"/>
                <w:szCs w:val="24"/>
              </w:rPr>
              <w:t>采取“线上”“线下”两个维度，通过3大板块主题活动，全方位展现我省花鼓戏保护成果，打造一次相互交流、相互借鉴、相互促进的非遗文化盛会。</w:t>
            </w:r>
          </w:p>
        </w:tc>
        <w:tc>
          <w:tcPr>
            <w:tcW w:w="2783" w:type="dxa"/>
            <w:gridSpan w:val="3"/>
            <w:tcBorders>
              <w:bottom w:val="single" w:color="auto" w:sz="4" w:space="0"/>
            </w:tcBorders>
            <w:vAlign w:val="center"/>
          </w:tcPr>
          <w:p>
            <w:pPr>
              <w:jc w:val="left"/>
              <w:rPr>
                <w:rFonts w:hint="default" w:eastAsia="仿宋_GB2312"/>
                <w:b/>
                <w:sz w:val="24"/>
                <w:lang w:val="en-US" w:eastAsia="zh-CN"/>
              </w:rPr>
            </w:pPr>
            <w:r>
              <w:rPr>
                <w:rFonts w:hint="eastAsia" w:ascii="仿宋" w:hAnsi="仿宋" w:eastAsia="仿宋"/>
                <w:color w:val="000000"/>
                <w:kern w:val="0"/>
                <w:sz w:val="24"/>
                <w:szCs w:val="24"/>
              </w:rPr>
              <w:t>本次</w:t>
            </w:r>
            <w:r>
              <w:rPr>
                <w:rFonts w:hint="eastAsia" w:ascii="仿宋" w:hAnsi="仿宋" w:eastAsia="仿宋" w:cs="宋体"/>
                <w:color w:val="000000" w:themeColor="text1"/>
                <w:kern w:val="0"/>
                <w:sz w:val="24"/>
                <w:szCs w:val="24"/>
                <w14:textFill>
                  <w14:solidFill>
                    <w14:schemeClr w14:val="tx1"/>
                  </w14:solidFill>
                </w14:textFill>
              </w:rPr>
              <w:t>“非遗有戏·艺汇岳阳”2021年湖南非遗戏曲展演系列活动,</w:t>
            </w:r>
            <w:r>
              <w:rPr>
                <w:rFonts w:hint="eastAsia" w:ascii="仿宋" w:hAnsi="仿宋" w:eastAsia="仿宋"/>
                <w:color w:val="000000"/>
                <w:kern w:val="0"/>
                <w:sz w:val="24"/>
                <w:szCs w:val="24"/>
              </w:rPr>
              <w:t>以湖南花鼓戏为重点，</w:t>
            </w:r>
            <w:r>
              <w:rPr>
                <w:rFonts w:hint="eastAsia" w:ascii="仿宋" w:hAnsi="仿宋" w:eastAsia="仿宋"/>
                <w:color w:val="000000"/>
                <w:sz w:val="24"/>
                <w:szCs w:val="24"/>
              </w:rPr>
              <w:t>采取“线上”“线下”两个维度，通过3大板块主题活动，全方位展现我省花鼓戏保护成果，打造一次相互交流、相互借鉴、相互促进的非遗文化盛会。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94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ascii="仿宋" w:hAnsi="仿宋" w:eastAsia="仿宋"/>
                <w:color w:val="000000"/>
                <w:kern w:val="0"/>
                <w:sz w:val="24"/>
                <w:szCs w:val="24"/>
              </w:rPr>
              <w:t>指标1：活动时间</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ascii="仿宋" w:hAnsi="仿宋" w:eastAsia="仿宋" w:cs="宋体"/>
                <w:bCs/>
                <w:kern w:val="0"/>
                <w:sz w:val="24"/>
              </w:rPr>
              <w:t>≥30天</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ascii="仿宋" w:hAnsi="仿宋" w:eastAsia="仿宋"/>
                <w:color w:val="000000"/>
                <w:kern w:val="0"/>
                <w:sz w:val="24"/>
                <w:szCs w:val="24"/>
              </w:rPr>
              <w:t>指标2：主体活动</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≥3大活动</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指标3：参与非遗项目数量</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≥10项</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指标4：线下参与活动人数</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≥10000人</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指标5：线上线下活动受益人数</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≥10万</w:t>
            </w:r>
            <w:r>
              <w:rPr>
                <w:rFonts w:hint="eastAsia" w:ascii="仿宋" w:hAnsi="仿宋" w:eastAsia="仿宋" w:cs="MS Mincho"/>
                <w:bCs/>
                <w:kern w:val="0"/>
                <w:sz w:val="24"/>
              </w:rPr>
              <w:t>人</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ascii="仿宋" w:hAnsi="仿宋" w:eastAsia="仿宋"/>
                <w:color w:val="000000"/>
                <w:kern w:val="0"/>
                <w:sz w:val="24"/>
                <w:szCs w:val="24"/>
              </w:rPr>
              <w:t>指标1：活动开展质量</w:t>
            </w:r>
          </w:p>
        </w:tc>
        <w:tc>
          <w:tcPr>
            <w:tcW w:w="1220"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好</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ascii="仿宋" w:hAnsi="仿宋" w:eastAsia="仿宋"/>
                <w:color w:val="000000"/>
                <w:kern w:val="0"/>
                <w:sz w:val="24"/>
                <w:szCs w:val="24"/>
              </w:rPr>
              <w:t>指标1：活动按时完成率</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ascii="仿宋" w:hAnsi="仿宋" w:eastAsia="仿宋"/>
                <w:color w:val="000000"/>
                <w:sz w:val="24"/>
                <w:szCs w:val="24"/>
              </w:rPr>
              <w:t>≥100%</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ascii="仿宋" w:hAnsi="仿宋" w:eastAsia="仿宋"/>
                <w:sz w:val="24"/>
                <w:szCs w:val="24"/>
              </w:rPr>
              <w:t>2台大型传统大戏展演</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≤24.2</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ascii="仿宋" w:hAnsi="仿宋" w:eastAsia="仿宋" w:cs="宋体"/>
                <w:bCs/>
                <w:kern w:val="0"/>
                <w:sz w:val="24"/>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00" w:lineRule="exact"/>
              <w:rPr>
                <w:rFonts w:hint="default" w:ascii="仿宋" w:hAnsi="仿宋" w:eastAsia="仿宋" w:cs="Times New Roman"/>
                <w:color w:val="000000"/>
                <w:kern w:val="0"/>
                <w:sz w:val="21"/>
                <w:szCs w:val="24"/>
                <w:lang w:val="en-US" w:eastAsia="zh-CN" w:bidi="ar-SA"/>
              </w:rPr>
            </w:pPr>
            <w:r>
              <w:rPr>
                <w:rFonts w:hint="eastAsia" w:ascii="仿宋" w:hAnsi="仿宋" w:eastAsia="仿宋"/>
                <w:sz w:val="24"/>
                <w:szCs w:val="24"/>
              </w:rPr>
              <w:t>2台传统折子戏</w:t>
            </w:r>
          </w:p>
        </w:tc>
        <w:tc>
          <w:tcPr>
            <w:tcW w:w="1220" w:type="dxa"/>
            <w:gridSpan w:val="3"/>
            <w:tcBorders>
              <w:bottom w:val="single" w:color="auto" w:sz="4" w:space="0"/>
            </w:tcBorders>
            <w:vAlign w:val="center"/>
          </w:tcPr>
          <w:p>
            <w:pPr>
              <w:spacing w:line="440" w:lineRule="exact"/>
              <w:rPr>
                <w:rFonts w:hint="default" w:ascii="仿宋" w:hAnsi="仿宋" w:eastAsia="仿宋" w:cs="Times New Roman"/>
                <w:color w:val="000000"/>
                <w:kern w:val="2"/>
                <w:sz w:val="21"/>
                <w:szCs w:val="24"/>
                <w:lang w:val="en-US" w:eastAsia="zh-CN" w:bidi="ar-SA"/>
              </w:rPr>
            </w:pPr>
            <w:r>
              <w:rPr>
                <w:rFonts w:hint="eastAsia" w:ascii="仿宋" w:hAnsi="仿宋" w:eastAsia="仿宋" w:cs="宋体"/>
                <w:bCs/>
                <w:kern w:val="0"/>
                <w:sz w:val="24"/>
              </w:rPr>
              <w:t>≤25</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00" w:lineRule="exact"/>
              <w:rPr>
                <w:rFonts w:hint="default"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非遗戏曲进社区、乡镇展演</w:t>
            </w:r>
          </w:p>
        </w:tc>
        <w:tc>
          <w:tcPr>
            <w:tcW w:w="1220" w:type="dxa"/>
            <w:gridSpan w:val="3"/>
            <w:tcBorders>
              <w:bottom w:val="single" w:color="auto" w:sz="4" w:space="0"/>
            </w:tcBorders>
            <w:vAlign w:val="center"/>
          </w:tcPr>
          <w:p>
            <w:pPr>
              <w:spacing w:line="440" w:lineRule="exact"/>
              <w:rPr>
                <w:rFonts w:hint="default" w:ascii="仿宋" w:hAnsi="仿宋" w:eastAsia="仿宋" w:cs="宋体"/>
                <w:bCs/>
                <w:kern w:val="0"/>
                <w:sz w:val="21"/>
                <w:szCs w:val="24"/>
                <w:lang w:val="en-US" w:eastAsia="zh-CN" w:bidi="ar-SA"/>
              </w:rPr>
            </w:pPr>
            <w:r>
              <w:rPr>
                <w:rFonts w:hint="eastAsia" w:ascii="仿宋" w:hAnsi="仿宋" w:eastAsia="仿宋" w:cs="宋体"/>
                <w:bCs/>
                <w:kern w:val="0"/>
                <w:sz w:val="24"/>
              </w:rPr>
              <w:t>≤21</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0"/>
                <w:sz w:val="21"/>
                <w:szCs w:val="24"/>
                <w:lang w:val="en-US" w:eastAsia="zh-CN" w:bidi="ar-SA"/>
              </w:rPr>
            </w:pPr>
            <w:r>
              <w:rPr>
                <w:rFonts w:hint="eastAsia" w:ascii="仿宋" w:hAnsi="仿宋" w:eastAsia="仿宋" w:cs="宋体"/>
                <w:color w:val="000000" w:themeColor="text1"/>
                <w:kern w:val="0"/>
                <w:sz w:val="24"/>
                <w14:textFill>
                  <w14:solidFill>
                    <w14:schemeClr w14:val="tx1"/>
                  </w14:solidFill>
                </w14:textFill>
              </w:rPr>
              <w:t>整体活动策划、组织、宣传、推广</w:t>
            </w:r>
          </w:p>
        </w:tc>
        <w:tc>
          <w:tcPr>
            <w:tcW w:w="1220" w:type="dxa"/>
            <w:gridSpan w:val="3"/>
            <w:tcBorders>
              <w:bottom w:val="single" w:color="auto" w:sz="4" w:space="0"/>
            </w:tcBorders>
            <w:vAlign w:val="center"/>
          </w:tcPr>
          <w:p>
            <w:pPr>
              <w:spacing w:line="440" w:lineRule="exact"/>
              <w:rPr>
                <w:rFonts w:hint="default" w:ascii="仿宋" w:hAnsi="仿宋" w:eastAsia="仿宋" w:cs="宋体"/>
                <w:bCs/>
                <w:kern w:val="0"/>
                <w:sz w:val="21"/>
                <w:szCs w:val="24"/>
                <w:lang w:val="en-US" w:eastAsia="zh-CN" w:bidi="ar-SA"/>
              </w:rPr>
            </w:pPr>
            <w:r>
              <w:rPr>
                <w:rFonts w:hint="eastAsia" w:ascii="仿宋" w:hAnsi="仿宋" w:eastAsia="仿宋" w:cs="宋体"/>
                <w:bCs/>
                <w:kern w:val="0"/>
                <w:sz w:val="24"/>
              </w:rPr>
              <w:t>≤3　</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0"/>
                <w:sz w:val="21"/>
                <w:szCs w:val="24"/>
                <w:lang w:val="en-US" w:eastAsia="zh-CN" w:bidi="ar-SA"/>
              </w:rPr>
            </w:pPr>
            <w:r>
              <w:rPr>
                <w:rFonts w:hint="eastAsia" w:ascii="仿宋" w:hAnsi="仿宋" w:eastAsia="仿宋"/>
                <w:sz w:val="24"/>
                <w:szCs w:val="24"/>
              </w:rPr>
              <w:t>4场演出摄像及后期视频制作</w:t>
            </w:r>
            <w:r>
              <w:rPr>
                <w:rFonts w:hint="eastAsia" w:ascii="仿宋" w:hAnsi="仿宋" w:eastAsia="仿宋" w:cs="宋体"/>
                <w:bCs/>
                <w:kern w:val="0"/>
                <w:sz w:val="24"/>
              </w:rPr>
              <w:t>　</w:t>
            </w:r>
          </w:p>
        </w:tc>
        <w:tc>
          <w:tcPr>
            <w:tcW w:w="1220" w:type="dxa"/>
            <w:gridSpan w:val="3"/>
            <w:tcBorders>
              <w:bottom w:val="single" w:color="auto" w:sz="4" w:space="0"/>
            </w:tcBorders>
            <w:vAlign w:val="center"/>
          </w:tcPr>
          <w:p>
            <w:pPr>
              <w:spacing w:line="440" w:lineRule="exact"/>
              <w:rPr>
                <w:rFonts w:hint="default" w:ascii="仿宋" w:hAnsi="仿宋" w:eastAsia="仿宋" w:cs="宋体"/>
                <w:bCs/>
                <w:kern w:val="0"/>
                <w:sz w:val="21"/>
                <w:szCs w:val="24"/>
                <w:lang w:val="en-US" w:eastAsia="zh-CN" w:bidi="ar-SA"/>
              </w:rPr>
            </w:pPr>
            <w:r>
              <w:rPr>
                <w:rFonts w:hint="eastAsia" w:ascii="仿宋" w:hAnsi="仿宋" w:eastAsia="仿宋" w:cs="宋体"/>
                <w:bCs/>
                <w:kern w:val="0"/>
                <w:sz w:val="24"/>
              </w:rPr>
              <w:t>≤4</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exact"/>
          <w:jc w:val="center"/>
        </w:trPr>
        <w:tc>
          <w:tcPr>
            <w:tcW w:w="1472" w:type="dxa"/>
            <w:vMerge w:val="continue"/>
            <w:vAlign w:val="center"/>
          </w:tcPr>
          <w:p>
            <w:pPr>
              <w:jc w:val="center"/>
              <w:rPr>
                <w:rFonts w:eastAsia="仿宋_GB2312"/>
                <w:sz w:val="24"/>
              </w:rPr>
            </w:pPr>
          </w:p>
        </w:tc>
        <w:tc>
          <w:tcPr>
            <w:tcW w:w="791" w:type="dxa"/>
            <w:gridSpan w:val="2"/>
            <w:vMerge w:val="continue"/>
            <w:tcBorders/>
            <w:vAlign w:val="center"/>
          </w:tcPr>
          <w:p>
            <w:pPr>
              <w:jc w:val="center"/>
              <w:rPr>
                <w:rFonts w:eastAsia="仿宋_GB2312"/>
                <w:sz w:val="24"/>
              </w:rPr>
            </w:pPr>
          </w:p>
        </w:tc>
        <w:tc>
          <w:tcPr>
            <w:tcW w:w="1941" w:type="dxa"/>
            <w:gridSpan w:val="2"/>
            <w:vMerge w:val="continue"/>
            <w:tcBorders/>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0"/>
                <w:sz w:val="21"/>
                <w:szCs w:val="24"/>
                <w:lang w:val="en-US" w:eastAsia="zh-CN" w:bidi="ar-SA"/>
              </w:rPr>
            </w:pPr>
            <w:r>
              <w:rPr>
                <w:rFonts w:hint="eastAsia" w:ascii="仿宋" w:hAnsi="仿宋" w:eastAsia="仿宋"/>
                <w:color w:val="000000"/>
                <w:kern w:val="0"/>
                <w:szCs w:val="24"/>
              </w:rPr>
              <w:t>工作人员用餐及演职员、观众用水</w:t>
            </w:r>
          </w:p>
        </w:tc>
        <w:tc>
          <w:tcPr>
            <w:tcW w:w="1220" w:type="dxa"/>
            <w:gridSpan w:val="3"/>
            <w:tcBorders>
              <w:bottom w:val="single" w:color="auto" w:sz="4" w:space="0"/>
            </w:tcBorders>
            <w:vAlign w:val="center"/>
          </w:tcPr>
          <w:p>
            <w:pPr>
              <w:spacing w:line="440" w:lineRule="exact"/>
              <w:rPr>
                <w:rFonts w:hint="default" w:ascii="仿宋" w:hAnsi="仿宋" w:eastAsia="仿宋" w:cs="宋体"/>
                <w:bCs/>
                <w:kern w:val="0"/>
                <w:sz w:val="21"/>
                <w:szCs w:val="24"/>
                <w:lang w:val="en-US" w:eastAsia="zh-CN" w:bidi="ar-SA"/>
              </w:rPr>
            </w:pPr>
            <w:r>
              <w:rPr>
                <w:rFonts w:hint="eastAsia" w:ascii="仿宋" w:hAnsi="仿宋" w:eastAsia="仿宋" w:cs="宋体"/>
                <w:bCs/>
                <w:kern w:val="0"/>
                <w:sz w:val="24"/>
              </w:rPr>
              <w:t>≤3.5</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widowControl/>
              <w:spacing w:line="440" w:lineRule="exact"/>
              <w:jc w:val="left"/>
              <w:textAlignment w:val="center"/>
              <w:rPr>
                <w:rFonts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指标1：线下活动开展直接经济效益</w:t>
            </w:r>
          </w:p>
        </w:tc>
        <w:tc>
          <w:tcPr>
            <w:tcW w:w="1220" w:type="dxa"/>
            <w:gridSpan w:val="3"/>
            <w:tcBorders>
              <w:bottom w:val="single" w:color="auto" w:sz="4" w:space="0"/>
            </w:tcBorders>
            <w:vAlign w:val="center"/>
          </w:tcPr>
          <w:p>
            <w:pPr>
              <w:spacing w:line="440" w:lineRule="exact"/>
              <w:rPr>
                <w:rFonts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≥20万元</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ascii="仿宋" w:hAnsi="仿宋" w:eastAsia="仿宋" w:cs="Times New Roman"/>
                <w:color w:val="000000"/>
                <w:kern w:val="0"/>
                <w:sz w:val="21"/>
                <w:szCs w:val="24"/>
                <w:lang w:val="en-US" w:eastAsia="zh-CN" w:bidi="ar-SA"/>
              </w:rPr>
            </w:pPr>
            <w:r>
              <w:rPr>
                <w:rFonts w:hint="eastAsia" w:ascii="仿宋" w:hAnsi="仿宋" w:eastAsia="仿宋"/>
                <w:color w:val="000000"/>
                <w:kern w:val="0"/>
                <w:sz w:val="24"/>
                <w:szCs w:val="24"/>
              </w:rPr>
              <w:t>指标2：</w:t>
            </w:r>
            <w:r>
              <w:rPr>
                <w:rFonts w:hint="eastAsia" w:ascii="仿宋" w:hAnsi="仿宋" w:eastAsia="仿宋" w:cs="宋体"/>
                <w:color w:val="000000" w:themeColor="text1"/>
                <w:kern w:val="0"/>
                <w:sz w:val="24"/>
                <w14:textFill>
                  <w14:solidFill>
                    <w14:schemeClr w14:val="tx1"/>
                  </w14:solidFill>
                </w14:textFill>
              </w:rPr>
              <w:t>释放旅游消费潜力</w:t>
            </w:r>
          </w:p>
        </w:tc>
        <w:tc>
          <w:tcPr>
            <w:tcW w:w="1220" w:type="dxa"/>
            <w:gridSpan w:val="3"/>
            <w:tcBorders>
              <w:bottom w:val="single" w:color="auto" w:sz="4" w:space="0"/>
            </w:tcBorders>
            <w:vAlign w:val="center"/>
          </w:tcPr>
          <w:p>
            <w:pPr>
              <w:spacing w:line="440" w:lineRule="exact"/>
              <w:rPr>
                <w:rFonts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≥80万元</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指标1：促进非遗传承保护</w:t>
            </w:r>
          </w:p>
        </w:tc>
        <w:tc>
          <w:tcPr>
            <w:tcW w:w="1220" w:type="dxa"/>
            <w:gridSpan w:val="3"/>
            <w:tcBorders>
              <w:bottom w:val="single" w:color="auto" w:sz="4" w:space="0"/>
            </w:tcBorders>
            <w:vAlign w:val="center"/>
          </w:tcPr>
          <w:p>
            <w:pPr>
              <w:spacing w:line="440" w:lineRule="exact"/>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达到</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hint="eastAsia"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指标2：促进全域旅游、乡村振兴</w:t>
            </w:r>
          </w:p>
        </w:tc>
        <w:tc>
          <w:tcPr>
            <w:tcW w:w="1220" w:type="dxa"/>
            <w:gridSpan w:val="3"/>
            <w:tcBorders>
              <w:bottom w:val="single" w:color="auto" w:sz="4" w:space="0"/>
            </w:tcBorders>
            <w:vAlign w:val="center"/>
          </w:tcPr>
          <w:p>
            <w:pPr>
              <w:spacing w:line="440" w:lineRule="exact"/>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达到</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ascii="仿宋" w:hAnsi="仿宋" w:eastAsia="仿宋" w:cs="Times New Roman"/>
                <w:color w:val="000000"/>
                <w:kern w:val="0"/>
                <w:sz w:val="21"/>
                <w:szCs w:val="24"/>
                <w:lang w:val="en-US" w:eastAsia="zh-CN" w:bidi="ar-SA"/>
              </w:rPr>
            </w:pPr>
            <w:r>
              <w:rPr>
                <w:rFonts w:hint="eastAsia" w:ascii="仿宋" w:hAnsi="仿宋" w:eastAsia="仿宋"/>
                <w:color w:val="000000"/>
                <w:kern w:val="0"/>
                <w:sz w:val="24"/>
                <w:szCs w:val="24"/>
              </w:rPr>
              <w:t>指标3：</w:t>
            </w:r>
            <w:r>
              <w:rPr>
                <w:rFonts w:hint="eastAsia" w:ascii="仿宋" w:hAnsi="仿宋" w:eastAsia="仿宋"/>
                <w:color w:val="000000"/>
                <w:spacing w:val="-20"/>
                <w:kern w:val="0"/>
                <w:sz w:val="24"/>
                <w:szCs w:val="24"/>
              </w:rPr>
              <w:t>普及非遗知识和健康生活理念</w:t>
            </w:r>
          </w:p>
        </w:tc>
        <w:tc>
          <w:tcPr>
            <w:tcW w:w="1220" w:type="dxa"/>
            <w:gridSpan w:val="3"/>
            <w:tcBorders>
              <w:bottom w:val="single" w:color="auto" w:sz="4" w:space="0"/>
            </w:tcBorders>
            <w:vAlign w:val="center"/>
          </w:tcPr>
          <w:p>
            <w:pPr>
              <w:spacing w:line="440" w:lineRule="exact"/>
              <w:rPr>
                <w:rFonts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达到</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widowControl/>
              <w:spacing w:line="440" w:lineRule="exact"/>
              <w:jc w:val="left"/>
              <w:textAlignment w:val="center"/>
              <w:rPr>
                <w:rFonts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指标1：提高本地人文生态环境</w:t>
            </w:r>
          </w:p>
        </w:tc>
        <w:tc>
          <w:tcPr>
            <w:tcW w:w="1220" w:type="dxa"/>
            <w:gridSpan w:val="3"/>
            <w:tcBorders>
              <w:bottom w:val="single" w:color="auto" w:sz="4" w:space="0"/>
            </w:tcBorders>
            <w:vAlign w:val="center"/>
          </w:tcPr>
          <w:p>
            <w:pPr>
              <w:spacing w:line="440" w:lineRule="exact"/>
              <w:rPr>
                <w:rFonts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达到</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指标1：服务对象满意度指标</w:t>
            </w:r>
          </w:p>
        </w:tc>
        <w:tc>
          <w:tcPr>
            <w:tcW w:w="1220" w:type="dxa"/>
            <w:gridSpan w:val="3"/>
            <w:tcBorders>
              <w:bottom w:val="single" w:color="auto" w:sz="4" w:space="0"/>
            </w:tcBorders>
            <w:vAlign w:val="center"/>
          </w:tcPr>
          <w:p>
            <w:pPr>
              <w:spacing w:line="440" w:lineRule="exact"/>
              <w:rPr>
                <w:rFonts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大于等于95%</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ind w:firstLine="2640" w:firstLineChars="1100"/>
              <w:rPr>
                <w:rFonts w:hint="default" w:eastAsia="仿宋_GB2312"/>
                <w:sz w:val="24"/>
                <w:lang w:val="en-US" w:eastAsia="zh-CN"/>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 xml:space="preserve">                      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余国荣</w:t>
            </w:r>
          </w:p>
        </w:tc>
        <w:tc>
          <w:tcPr>
            <w:tcW w:w="2332"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副局长、总工程师</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263"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田军</w:t>
            </w:r>
          </w:p>
        </w:tc>
        <w:tc>
          <w:tcPr>
            <w:tcW w:w="2332"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财务科长</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孟日清</w:t>
            </w:r>
          </w:p>
        </w:tc>
        <w:tc>
          <w:tcPr>
            <w:tcW w:w="2332"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办公室主任</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蒋亚潼</w:t>
            </w:r>
          </w:p>
        </w:tc>
        <w:tc>
          <w:tcPr>
            <w:tcW w:w="2332"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会计</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湖南是戏曲大</w:t>
            </w:r>
            <w:r>
              <w:rPr>
                <w:rFonts w:hint="eastAsia" w:ascii="仿宋" w:hAnsi="仿宋" w:eastAsia="仿宋"/>
                <w:sz w:val="32"/>
                <w:szCs w:val="32"/>
                <w:lang w:eastAsia="zh-CN"/>
              </w:rPr>
              <w:t>省</w:t>
            </w:r>
            <w:r>
              <w:rPr>
                <w:rFonts w:hint="eastAsia" w:ascii="仿宋" w:hAnsi="仿宋" w:eastAsia="仿宋"/>
                <w:sz w:val="32"/>
                <w:szCs w:val="32"/>
              </w:rPr>
              <w:t>，在2118万平方公里的土地上，仅传统戏曲剧种就有11个地方小戏与8个地方大戏剧种在这方方古老的大地争奇斗艳、各竞所长，深受湖湘大地及周边地区的人民喜爱。为了全面展示我省非遗戏曲状态，检阅十余年来我省非遗戏曲的发展情况，更好地保护传承民间文艺瑰宝，让古老的戏曲在新时期发挥更好的作用，拟举办</w:t>
            </w:r>
            <w:r>
              <w:rPr>
                <w:rFonts w:hint="eastAsia" w:ascii="仿宋" w:hAnsi="仿宋" w:eastAsia="仿宋"/>
                <w:spacing w:val="-16"/>
                <w:kern w:val="0"/>
                <w:sz w:val="32"/>
                <w:szCs w:val="32"/>
              </w:rPr>
              <w:t>“</w:t>
            </w:r>
            <w:r>
              <w:rPr>
                <w:rFonts w:hint="eastAsia" w:ascii="仿宋" w:hAnsi="仿宋" w:eastAsia="仿宋"/>
                <w:sz w:val="32"/>
                <w:szCs w:val="32"/>
              </w:rPr>
              <w:t>非遗有戏·艺汇岳阳</w:t>
            </w:r>
            <w:r>
              <w:rPr>
                <w:rFonts w:hint="eastAsia" w:ascii="仿宋" w:hAnsi="仿宋" w:eastAsia="仿宋"/>
                <w:spacing w:val="-16"/>
                <w:kern w:val="0"/>
                <w:sz w:val="32"/>
                <w:szCs w:val="32"/>
              </w:rPr>
              <w:t>”2021年非遗戏曲展演系列活动。</w:t>
            </w:r>
          </w:p>
          <w:p>
            <w:pPr>
              <w:ind w:firstLine="645"/>
              <w:jc w:val="left"/>
              <w:rPr>
                <w:rFonts w:ascii="仿宋" w:hAnsi="仿宋" w:eastAsia="仿宋"/>
                <w:sz w:val="32"/>
                <w:szCs w:val="32"/>
              </w:rPr>
            </w:pPr>
            <w:r>
              <w:rPr>
                <w:rFonts w:hint="eastAsia" w:ascii="仿宋" w:hAnsi="仿宋" w:eastAsia="仿宋"/>
                <w:b/>
                <w:sz w:val="32"/>
                <w:szCs w:val="32"/>
              </w:rPr>
              <w:t>1.指导思想。</w:t>
            </w:r>
            <w:r>
              <w:rPr>
                <w:rFonts w:hint="eastAsia" w:ascii="仿宋" w:hAnsi="仿宋" w:eastAsia="仿宋"/>
                <w:sz w:val="32"/>
                <w:szCs w:val="32"/>
              </w:rPr>
              <w:t>以习近平总书记的十九大报告和中央办公厅、国务院办公厅印发的《关于实施中华优秀传统文化传承发展工程的意见》为指导思想，坚持“保护为主、合理利用、传承发展”的工作方针，通过举办岳阳市非遗戏曲展演活动进而推进我市非物质文化遗产项目的保护，增强我市非物质文化遗产的传承活力。</w:t>
            </w:r>
          </w:p>
          <w:p>
            <w:pPr>
              <w:ind w:firstLine="645"/>
              <w:jc w:val="left"/>
              <w:rPr>
                <w:rFonts w:ascii="仿宋" w:hAnsi="仿宋" w:eastAsia="仿宋"/>
                <w:b/>
                <w:sz w:val="32"/>
                <w:szCs w:val="32"/>
              </w:rPr>
            </w:pPr>
            <w:r>
              <w:rPr>
                <w:rFonts w:hint="eastAsia" w:ascii="仿宋" w:hAnsi="仿宋" w:eastAsia="仿宋"/>
                <w:b/>
                <w:sz w:val="32"/>
                <w:szCs w:val="32"/>
              </w:rPr>
              <w:t>2.活动内容</w:t>
            </w:r>
          </w:p>
          <w:p>
            <w:pPr>
              <w:ind w:firstLine="645"/>
              <w:jc w:val="left"/>
              <w:rPr>
                <w:rFonts w:ascii="仿宋" w:hAnsi="仿宋" w:eastAsia="仿宋"/>
                <w:sz w:val="32"/>
                <w:szCs w:val="32"/>
              </w:rPr>
            </w:pPr>
            <w:r>
              <w:rPr>
                <w:rFonts w:hint="eastAsia" w:ascii="仿宋" w:hAnsi="仿宋" w:eastAsia="仿宋"/>
                <w:sz w:val="32"/>
                <w:szCs w:val="32"/>
              </w:rPr>
              <w:t>活动以湖南省花鼓戏剧种为重点，集中展示我省戏剧保护成果，邀请湖南省花鼓戏（益阳）、岳阳花鼓戏、永州花鼓戏、常德花鼓戏、衡州花鼓戏、邵阳花鼓戏六大流派，相互交流与借鉴在花鼓戏传承与保护过程中的经验，让广大人民群众共享非物质文化遗产保护的成果。</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二、项目的政府采购工作</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按要求完成。</w:t>
            </w:r>
          </w:p>
          <w:p>
            <w:pPr>
              <w:ind w:firstLine="600" w:firstLineChars="200"/>
              <w:rPr>
                <w:rFonts w:hint="eastAsia" w:ascii="仿宋_GB2312" w:eastAsia="仿宋_GB2312"/>
                <w:sz w:val="30"/>
                <w:szCs w:val="30"/>
              </w:rPr>
            </w:pPr>
            <w:r>
              <w:rPr>
                <w:rFonts w:hint="eastAsia" w:ascii="仿宋_GB2312" w:eastAsia="仿宋_GB2312"/>
                <w:sz w:val="30"/>
                <w:szCs w:val="30"/>
              </w:rPr>
              <w:t>三、项目建设工作</w:t>
            </w:r>
          </w:p>
          <w:p>
            <w:pPr>
              <w:ind w:firstLine="600" w:firstLineChars="200"/>
              <w:rPr>
                <w:rFonts w:hint="eastAsia" w:ascii="仿宋_GB2312" w:eastAsia="仿宋_GB2312"/>
                <w:sz w:val="30"/>
                <w:szCs w:val="30"/>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（二）项目资金使用及管理情况</w:t>
            </w:r>
          </w:p>
          <w:p>
            <w:pPr>
              <w:ind w:firstLine="640" w:firstLineChars="200"/>
              <w:rPr>
                <w:rFonts w:hint="eastAsia" w:ascii="仿宋_GB2312" w:eastAsia="仿宋_GB2312"/>
                <w:sz w:val="30"/>
                <w:szCs w:val="30"/>
              </w:rPr>
            </w:pPr>
            <w:r>
              <w:rPr>
                <w:rFonts w:hint="eastAsia" w:ascii="仿宋_GB2312" w:eastAsia="仿宋_GB2312"/>
                <w:sz w:val="32"/>
                <w:szCs w:val="32"/>
              </w:rPr>
              <w:t>实行专项管理，严格按照财政等行政管理部门的要求实行专项管理。一直以来，管理规范，全部用于高雅艺术惠民演出，从未挪做他用。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ind w:firstLine="640" w:firstLineChars="200"/>
              <w:rPr>
                <w:rFonts w:hint="eastAsia" w:ascii="仿宋_GB2312" w:hAnsi="黑体" w:eastAsia="仿宋_GB2312"/>
                <w:sz w:val="30"/>
                <w:szCs w:val="30"/>
              </w:rPr>
            </w:pPr>
            <w:r>
              <w:rPr>
                <w:rFonts w:hint="eastAsia" w:ascii="仿宋" w:hAnsi="仿宋" w:eastAsia="仿宋"/>
                <w:sz w:val="32"/>
                <w:szCs w:val="32"/>
              </w:rPr>
              <w:t>本次活动共分大型传统剧目展演、传统经典折子戏展演、</w:t>
            </w:r>
            <w:r>
              <w:rPr>
                <w:rFonts w:hint="eastAsia" w:ascii="仿宋" w:hAnsi="仿宋" w:eastAsia="仿宋"/>
                <w:bCs/>
                <w:sz w:val="32"/>
                <w:szCs w:val="32"/>
              </w:rPr>
              <w:t>非遗戏曲</w:t>
            </w:r>
            <w:r>
              <w:rPr>
                <w:rFonts w:hint="eastAsia" w:ascii="仿宋" w:hAnsi="仿宋" w:eastAsia="仿宋"/>
                <w:sz w:val="32"/>
                <w:szCs w:val="32"/>
              </w:rPr>
              <w:t>进社区、乡镇展演等四大板块。</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ind w:firstLine="645"/>
              <w:jc w:val="left"/>
              <w:rPr>
                <w:rFonts w:ascii="仿宋" w:hAnsi="仿宋" w:eastAsia="仿宋"/>
                <w:spacing w:val="-16"/>
                <w:kern w:val="0"/>
                <w:sz w:val="32"/>
                <w:szCs w:val="32"/>
              </w:rPr>
            </w:pPr>
            <w:r>
              <w:rPr>
                <w:rFonts w:hint="eastAsia" w:ascii="仿宋" w:hAnsi="仿宋" w:eastAsia="仿宋"/>
                <w:sz w:val="32"/>
                <w:szCs w:val="32"/>
              </w:rPr>
              <w:t>此次活动内容包括：大型传统剧目展演、传统经典折子戏展演、</w:t>
            </w:r>
            <w:r>
              <w:rPr>
                <w:rFonts w:hint="eastAsia" w:ascii="仿宋" w:hAnsi="仿宋" w:eastAsia="仿宋"/>
                <w:bCs/>
                <w:sz w:val="32"/>
                <w:szCs w:val="32"/>
              </w:rPr>
              <w:t>非遗戏曲</w:t>
            </w:r>
            <w:r>
              <w:rPr>
                <w:rFonts w:hint="eastAsia" w:ascii="仿宋" w:hAnsi="仿宋" w:eastAsia="仿宋"/>
                <w:sz w:val="32"/>
                <w:szCs w:val="32"/>
              </w:rPr>
              <w:t>进社区、乡镇展演等三大板块。</w:t>
            </w:r>
          </w:p>
          <w:p>
            <w:pPr>
              <w:jc w:val="left"/>
              <w:rPr>
                <w:rFonts w:ascii="仿宋" w:hAnsi="仿宋" w:eastAsia="仿宋"/>
                <w:spacing w:val="-16"/>
                <w:kern w:val="0"/>
                <w:sz w:val="32"/>
                <w:szCs w:val="32"/>
              </w:rPr>
            </w:pPr>
            <w:r>
              <w:rPr>
                <w:rFonts w:hint="eastAsia" w:ascii="仿宋" w:hAnsi="仿宋" w:eastAsia="仿宋"/>
                <w:sz w:val="32"/>
                <w:szCs w:val="32"/>
              </w:rPr>
              <w:t>参与非遗项目约10余项，预计线下参与人数20000人，线上线下受益人数将达10万人。通过为期一个月的非遗戏曲展演活动开展，预计将释放旅游消费潜力60万元，不仅有助于弘扬优秀传统文化，促进非遗传承保护，更有助于把文化优势转化为发展优势，形成文化产业新业态，培育新的经济增长点，实现社会效益和经济效益双丰收。</w:t>
            </w:r>
          </w:p>
          <w:p>
            <w:pPr>
              <w:spacing w:line="620" w:lineRule="exact"/>
              <w:ind w:firstLine="643" w:firstLineChars="200"/>
              <w:rPr>
                <w:rFonts w:ascii="仿宋" w:hAnsi="仿宋" w:eastAsia="仿宋"/>
                <w:b/>
                <w:sz w:val="32"/>
                <w:szCs w:val="32"/>
              </w:rPr>
            </w:pPr>
            <w:r>
              <w:rPr>
                <w:rFonts w:hint="eastAsia" w:ascii="仿宋" w:hAnsi="仿宋" w:eastAsia="仿宋"/>
                <w:b/>
                <w:sz w:val="32"/>
                <w:szCs w:val="32"/>
              </w:rPr>
              <w:t>1.社会效益</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此次非遗戏曲展演周及成果展为依托，旨在深度挖掘岳阳非遗戏曲内涵，为非遗传承提供了更多流量支持和展示平台，既能全面展示我市非遗戏曲状态，也能让非遗融入到百姓的生活中，有利于营造全社会参与和支持非遗保护工作的良好社会氛围。</w:t>
            </w:r>
          </w:p>
          <w:p>
            <w:pPr>
              <w:spacing w:line="620" w:lineRule="exact"/>
              <w:ind w:firstLine="643" w:firstLineChars="200"/>
              <w:rPr>
                <w:rFonts w:ascii="仿宋" w:hAnsi="仿宋" w:eastAsia="仿宋"/>
                <w:b/>
                <w:sz w:val="32"/>
                <w:szCs w:val="32"/>
              </w:rPr>
            </w:pPr>
            <w:r>
              <w:rPr>
                <w:rFonts w:hint="eastAsia" w:ascii="仿宋" w:hAnsi="仿宋" w:eastAsia="仿宋"/>
                <w:b/>
                <w:sz w:val="32"/>
                <w:szCs w:val="32"/>
              </w:rPr>
              <w:t>2.经济效益</w:t>
            </w:r>
          </w:p>
          <w:p>
            <w:pPr>
              <w:spacing w:line="620" w:lineRule="exact"/>
              <w:ind w:firstLine="640" w:firstLineChars="200"/>
              <w:rPr>
                <w:rFonts w:hint="eastAsia" w:ascii="仿宋_GB2312" w:eastAsia="仿宋_GB2312"/>
                <w:sz w:val="30"/>
                <w:szCs w:val="30"/>
              </w:rPr>
            </w:pPr>
            <w:r>
              <w:rPr>
                <w:rFonts w:hint="eastAsia" w:ascii="仿宋" w:hAnsi="仿宋" w:eastAsia="仿宋"/>
                <w:sz w:val="32"/>
                <w:szCs w:val="32"/>
              </w:rPr>
              <w:t>受新冠病毒疫情影响，我市餐饮、酒店、景区等旅游行业受到很大冲击。此次活动时间长，线上线下参与人数多，这有利于促进旅游消费回补、潜力释放，对于提振旅游消费信心、推动旅游经济发展起到很大的作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spacing w:line="620" w:lineRule="exact"/>
              <w:ind w:firstLine="576" w:firstLineChars="200"/>
              <w:rPr>
                <w:rFonts w:ascii="仿宋" w:hAnsi="仿宋" w:eastAsia="仿宋"/>
                <w:sz w:val="32"/>
                <w:szCs w:val="32"/>
              </w:rPr>
            </w:pPr>
            <w:r>
              <w:rPr>
                <w:rFonts w:hint="eastAsia" w:ascii="仿宋" w:hAnsi="仿宋" w:eastAsia="仿宋"/>
                <w:spacing w:val="-16"/>
                <w:kern w:val="0"/>
                <w:sz w:val="32"/>
                <w:szCs w:val="32"/>
              </w:rPr>
              <w:t>“</w:t>
            </w:r>
            <w:r>
              <w:rPr>
                <w:rFonts w:hint="eastAsia" w:ascii="仿宋" w:hAnsi="仿宋" w:eastAsia="仿宋"/>
                <w:sz w:val="32"/>
                <w:szCs w:val="32"/>
              </w:rPr>
              <w:t>非遗有戏·艺汇岳阳</w:t>
            </w:r>
            <w:r>
              <w:rPr>
                <w:rFonts w:hint="eastAsia" w:ascii="仿宋" w:hAnsi="仿宋" w:eastAsia="仿宋"/>
                <w:spacing w:val="-16"/>
                <w:kern w:val="0"/>
                <w:sz w:val="32"/>
                <w:szCs w:val="32"/>
              </w:rPr>
              <w:t>”2021年非遗戏曲展演系列活动</w:t>
            </w:r>
            <w:r>
              <w:rPr>
                <w:rFonts w:hint="eastAsia" w:ascii="仿宋" w:hAnsi="仿宋" w:eastAsia="仿宋"/>
                <w:sz w:val="32"/>
                <w:szCs w:val="32"/>
              </w:rPr>
              <w:t>自2020年11月开始筹划，将于2021年6月份正式启动，现正在进行前期准备。活动主办方在省市主管部门的指导下，按照活动目标、内容和计划有序推进。目前，活动主办方围绕活动的实施，已制定了详实的活动实施方案，同时上报至岳阳市委宣传部等相关部门，并获得批准。</w:t>
            </w:r>
          </w:p>
          <w:p>
            <w:pPr>
              <w:spacing w:line="620" w:lineRule="exact"/>
              <w:ind w:firstLine="640" w:firstLineChars="200"/>
              <w:rPr>
                <w:rFonts w:ascii="仿宋" w:hAnsi="仿宋" w:eastAsia="仿宋"/>
                <w:bCs/>
                <w:sz w:val="32"/>
                <w:szCs w:val="32"/>
              </w:rPr>
            </w:pPr>
            <w:r>
              <w:rPr>
                <w:rFonts w:hint="eastAsia" w:ascii="仿宋" w:hAnsi="仿宋" w:eastAsia="仿宋"/>
                <w:sz w:val="32"/>
                <w:szCs w:val="32"/>
              </w:rPr>
              <w:t>此次申请岳阳非遗戏曲展演周暨成果展省文化综合发展专项资金，主要用于活动的策划、组织、实施等，活动整体组织实施经费由主办方自筹解决。</w:t>
            </w:r>
          </w:p>
          <w:p>
            <w:pPr>
              <w:ind w:firstLine="600" w:firstLineChars="200"/>
              <w:rPr>
                <w:rFonts w:hint="eastAsia" w:ascii="仿宋_GB2312" w:hAnsi="黑体" w:eastAsia="仿宋_GB2312"/>
                <w:sz w:val="30"/>
                <w:szCs w:val="30"/>
              </w:rPr>
            </w:pPr>
          </w:p>
          <w:p>
            <w:pPr>
              <w:numPr>
                <w:ilvl w:val="0"/>
                <w:numId w:val="2"/>
              </w:numPr>
              <w:ind w:firstLine="600" w:firstLineChars="200"/>
              <w:rPr>
                <w:rFonts w:hint="eastAsia" w:ascii="仿宋_GB2312" w:hAnsi="黑体" w:eastAsia="仿宋_GB2312"/>
                <w:sz w:val="30"/>
                <w:szCs w:val="30"/>
              </w:rPr>
            </w:pPr>
            <w:r>
              <w:rPr>
                <w:rFonts w:hint="eastAsia" w:ascii="仿宋_GB2312" w:hAnsi="黑体" w:eastAsia="仿宋_GB2312"/>
                <w:sz w:val="30"/>
                <w:szCs w:val="30"/>
              </w:rPr>
              <w:t>主要经验及做法、存在问题和建议</w:t>
            </w:r>
          </w:p>
          <w:p>
            <w:pPr>
              <w:ind w:firstLine="640" w:firstLineChars="200"/>
              <w:rPr>
                <w:rFonts w:hint="eastAsia" w:ascii="仿宋_GB2312" w:eastAsia="仿宋_GB2312"/>
                <w:sz w:val="32"/>
                <w:szCs w:val="32"/>
              </w:rPr>
            </w:pPr>
            <w:r>
              <w:rPr>
                <w:rFonts w:hint="eastAsia" w:ascii="仿宋" w:hAnsi="仿宋" w:eastAsia="仿宋"/>
                <w:sz w:val="32"/>
                <w:szCs w:val="32"/>
              </w:rPr>
              <w:t>进一步加大保障投入，形成国家、集体和个体共办文化的新格局，</w:t>
            </w:r>
            <w:r>
              <w:rPr>
                <w:rFonts w:hint="eastAsia" w:ascii="仿宋_GB2312" w:eastAsia="仿宋_GB2312"/>
                <w:sz w:val="32"/>
                <w:szCs w:val="32"/>
              </w:rPr>
              <w:t>专项资金专项管理，规范管理。健全营销渠道，拓宽营销思路，培育岳阳演出消费市场</w:t>
            </w:r>
            <w:r>
              <w:rPr>
                <w:rFonts w:hint="eastAsia" w:ascii="仿宋_GB2312" w:eastAsia="仿宋_GB2312"/>
                <w:sz w:val="32"/>
                <w:szCs w:val="32"/>
                <w:lang w:eastAsia="zh-CN"/>
              </w:rPr>
              <w:t>，</w:t>
            </w:r>
            <w:r>
              <w:rPr>
                <w:rFonts w:hint="eastAsia" w:ascii="仿宋_GB2312" w:eastAsia="仿宋_GB2312"/>
                <w:sz w:val="32"/>
                <w:szCs w:val="32"/>
              </w:rPr>
              <w:t>全方位展现我省花鼓戏保护成果，资金压力较大，要多创收，压缩演出成本。</w:t>
            </w:r>
          </w:p>
          <w:p>
            <w:pPr>
              <w:ind w:firstLine="640" w:firstLineChars="200"/>
              <w:rPr>
                <w:rFonts w:hint="eastAsia" w:ascii="仿宋_GB2312" w:eastAsia="仿宋_GB2312"/>
                <w:sz w:val="32"/>
                <w:szCs w:val="32"/>
              </w:rPr>
            </w:pPr>
            <w:bookmarkStart w:id="0" w:name="_GoBack"/>
            <w:bookmarkEnd w:id="0"/>
          </w:p>
          <w:p>
            <w:pPr>
              <w:rPr>
                <w:rFonts w:eastAsia="楷体_GB2312"/>
                <w:bCs/>
                <w:sz w:val="28"/>
                <w:szCs w:val="28"/>
              </w:rPr>
            </w:pP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835E3"/>
    <w:multiLevelType w:val="singleLevel"/>
    <w:tmpl w:val="E55835E3"/>
    <w:lvl w:ilvl="0" w:tentative="0">
      <w:start w:val="6"/>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5"/>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GQxZjRjNWQ2YzBlZDQxNTc2NWYwZTRlMzBlYWU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7532D57"/>
    <w:rsid w:val="08321B5D"/>
    <w:rsid w:val="086957D3"/>
    <w:rsid w:val="08806C9E"/>
    <w:rsid w:val="092C1F5D"/>
    <w:rsid w:val="099F6F75"/>
    <w:rsid w:val="09BB340E"/>
    <w:rsid w:val="09D46F84"/>
    <w:rsid w:val="0A0B2BA1"/>
    <w:rsid w:val="0AE97DD7"/>
    <w:rsid w:val="0B1F3FDB"/>
    <w:rsid w:val="0BA6031D"/>
    <w:rsid w:val="0BCC4C65"/>
    <w:rsid w:val="0BEF049C"/>
    <w:rsid w:val="0CD27968"/>
    <w:rsid w:val="0D005B4E"/>
    <w:rsid w:val="0E875A86"/>
    <w:rsid w:val="10371B3F"/>
    <w:rsid w:val="10ED4807"/>
    <w:rsid w:val="111C4602"/>
    <w:rsid w:val="11751C07"/>
    <w:rsid w:val="11E64743"/>
    <w:rsid w:val="13013117"/>
    <w:rsid w:val="130C5B6F"/>
    <w:rsid w:val="139A36C9"/>
    <w:rsid w:val="13FD6BA3"/>
    <w:rsid w:val="16C26394"/>
    <w:rsid w:val="17A43566"/>
    <w:rsid w:val="17D62449"/>
    <w:rsid w:val="18166C57"/>
    <w:rsid w:val="19995198"/>
    <w:rsid w:val="1A061399"/>
    <w:rsid w:val="1A816D32"/>
    <w:rsid w:val="1B451F82"/>
    <w:rsid w:val="1BC17DD9"/>
    <w:rsid w:val="1D5875E2"/>
    <w:rsid w:val="20C05FEB"/>
    <w:rsid w:val="2150117A"/>
    <w:rsid w:val="230663AE"/>
    <w:rsid w:val="234356F6"/>
    <w:rsid w:val="234D11AE"/>
    <w:rsid w:val="248B0D70"/>
    <w:rsid w:val="24F47A9F"/>
    <w:rsid w:val="25362417"/>
    <w:rsid w:val="26910987"/>
    <w:rsid w:val="27831DEA"/>
    <w:rsid w:val="27F33C7F"/>
    <w:rsid w:val="282F1E8B"/>
    <w:rsid w:val="28B453D5"/>
    <w:rsid w:val="28B501B6"/>
    <w:rsid w:val="29920A20"/>
    <w:rsid w:val="29FF3454"/>
    <w:rsid w:val="2A024927"/>
    <w:rsid w:val="2AE422B4"/>
    <w:rsid w:val="2B571D3D"/>
    <w:rsid w:val="2E124D4B"/>
    <w:rsid w:val="2FAB3B39"/>
    <w:rsid w:val="30096031"/>
    <w:rsid w:val="31B47AAC"/>
    <w:rsid w:val="32F61BFE"/>
    <w:rsid w:val="33D81965"/>
    <w:rsid w:val="33FB79C4"/>
    <w:rsid w:val="35327B23"/>
    <w:rsid w:val="3547731A"/>
    <w:rsid w:val="3662489D"/>
    <w:rsid w:val="366375D2"/>
    <w:rsid w:val="379B40A4"/>
    <w:rsid w:val="3B681D67"/>
    <w:rsid w:val="3CC6041E"/>
    <w:rsid w:val="3DB14044"/>
    <w:rsid w:val="3E446A1F"/>
    <w:rsid w:val="41DB497A"/>
    <w:rsid w:val="432C3BF6"/>
    <w:rsid w:val="456A3C81"/>
    <w:rsid w:val="456F6819"/>
    <w:rsid w:val="47AC402E"/>
    <w:rsid w:val="488C1A5A"/>
    <w:rsid w:val="497A5C9E"/>
    <w:rsid w:val="4A921CA8"/>
    <w:rsid w:val="4B0D129B"/>
    <w:rsid w:val="4CAD6623"/>
    <w:rsid w:val="4CC47888"/>
    <w:rsid w:val="4D78026E"/>
    <w:rsid w:val="4F0A0126"/>
    <w:rsid w:val="4FC86BB2"/>
    <w:rsid w:val="4FDF32BD"/>
    <w:rsid w:val="50770BDE"/>
    <w:rsid w:val="51574B32"/>
    <w:rsid w:val="518665EC"/>
    <w:rsid w:val="52CB6318"/>
    <w:rsid w:val="531A0AE1"/>
    <w:rsid w:val="53810CBC"/>
    <w:rsid w:val="54DA5AFE"/>
    <w:rsid w:val="54E96D2E"/>
    <w:rsid w:val="55737069"/>
    <w:rsid w:val="55742F2F"/>
    <w:rsid w:val="55C331B7"/>
    <w:rsid w:val="55CC7CA4"/>
    <w:rsid w:val="57D24C11"/>
    <w:rsid w:val="59876B61"/>
    <w:rsid w:val="5A8E583E"/>
    <w:rsid w:val="5C771920"/>
    <w:rsid w:val="5DD123FC"/>
    <w:rsid w:val="5DE321A9"/>
    <w:rsid w:val="5DE825D6"/>
    <w:rsid w:val="5E153581"/>
    <w:rsid w:val="6022537E"/>
    <w:rsid w:val="604844AC"/>
    <w:rsid w:val="60617302"/>
    <w:rsid w:val="60FF1D56"/>
    <w:rsid w:val="615F2210"/>
    <w:rsid w:val="62616160"/>
    <w:rsid w:val="639F5900"/>
    <w:rsid w:val="64452A14"/>
    <w:rsid w:val="656715B4"/>
    <w:rsid w:val="658658CD"/>
    <w:rsid w:val="6596001E"/>
    <w:rsid w:val="65D43BF4"/>
    <w:rsid w:val="67A24393"/>
    <w:rsid w:val="689D49C6"/>
    <w:rsid w:val="6A535F74"/>
    <w:rsid w:val="6B7E1985"/>
    <w:rsid w:val="6E394A98"/>
    <w:rsid w:val="6E81656F"/>
    <w:rsid w:val="6ED872FF"/>
    <w:rsid w:val="6F642AF4"/>
    <w:rsid w:val="70796201"/>
    <w:rsid w:val="7261193B"/>
    <w:rsid w:val="74AF008E"/>
    <w:rsid w:val="759A216F"/>
    <w:rsid w:val="77253503"/>
    <w:rsid w:val="779E30CB"/>
    <w:rsid w:val="7801100A"/>
    <w:rsid w:val="78592FD3"/>
    <w:rsid w:val="78875A40"/>
    <w:rsid w:val="7ACE4250"/>
    <w:rsid w:val="7BC307D9"/>
    <w:rsid w:val="7C4A40EA"/>
    <w:rsid w:val="7EA06D55"/>
    <w:rsid w:val="7F0A3C90"/>
    <w:rsid w:val="7F85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字符"/>
    <w:basedOn w:val="7"/>
    <w:link w:val="5"/>
    <w:semiHidden/>
    <w:qFormat/>
    <w:uiPriority w:val="99"/>
    <w:rPr>
      <w:sz w:val="18"/>
      <w:szCs w:val="18"/>
    </w:rPr>
  </w:style>
  <w:style w:type="character" w:customStyle="1" w:styleId="10">
    <w:name w:val="页脚 字符"/>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1</TotalTime>
  <ScaleCrop>false</ScaleCrop>
  <LinksUpToDate>false</LinksUpToDate>
  <CharactersWithSpaces>6078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2021-06-24T12:17:00Z</dcterms:created>
  <dc:creator>蒋恒意</dc:creator>
  <cp:lastModifiedBy>Administrator</cp:lastModifiedBy>
  <cp:lastPrinted>2021-06-25T03:03:00Z</cp:lastPrinted>
  <dcterms:modified xsi:type="dcterms:W3CDTF">2023-09-21T09:47:12Z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E9AB61422BA345C6B3FEB1316985C953</vt:lpwstr>
  </property>
</Properties>
</file>