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w:t>
      </w:r>
      <w:r>
        <w:rPr>
          <w:rFonts w:ascii="黑体" w:hAnsi="黑体" w:eastAsia="黑体" w:cs="黑体"/>
          <w:bCs/>
          <w:sz w:val="32"/>
          <w:szCs w:val="32"/>
        </w:rPr>
        <w:t>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岳阳市</w:t>
      </w:r>
      <w:r>
        <w:rPr>
          <w:rFonts w:eastAsia="方正小标宋简体"/>
          <w:bCs/>
          <w:sz w:val="46"/>
          <w:szCs w:val="46"/>
        </w:rPr>
        <w:t>202</w:t>
      </w:r>
      <w:r>
        <w:rPr>
          <w:rFonts w:hint="eastAsia" w:eastAsia="方正小标宋简体"/>
          <w:bCs/>
          <w:sz w:val="46"/>
          <w:szCs w:val="46"/>
          <w:lang w:val="en-US" w:eastAsia="zh-CN"/>
        </w:rPr>
        <w:t>1</w:t>
      </w:r>
      <w:r>
        <w:rPr>
          <w:rFonts w:hint="eastAsia" w:eastAsia="方正小标宋简体"/>
          <w:bCs/>
          <w:sz w:val="46"/>
          <w:szCs w:val="46"/>
        </w:rPr>
        <w:t>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w:t>
      </w:r>
      <w:r>
        <w:rPr>
          <w:rFonts w:eastAsia="仿宋_GB2312"/>
          <w:sz w:val="32"/>
          <w:szCs w:val="32"/>
        </w:rPr>
        <w:t>(</w:t>
      </w:r>
      <w:r>
        <w:rPr>
          <w:rFonts w:hint="eastAsia" w:eastAsia="仿宋_GB2312"/>
          <w:sz w:val="32"/>
          <w:szCs w:val="32"/>
        </w:rPr>
        <w:t>单位</w:t>
      </w:r>
      <w:r>
        <w:rPr>
          <w:rFonts w:eastAsia="仿宋_GB2312"/>
          <w:sz w:val="32"/>
          <w:szCs w:val="32"/>
        </w:rPr>
        <w:t>)</w:t>
      </w:r>
      <w:r>
        <w:rPr>
          <w:rFonts w:hint="eastAsia" w:eastAsia="仿宋_GB2312"/>
          <w:sz w:val="32"/>
          <w:szCs w:val="32"/>
        </w:rPr>
        <w:t>名称：</w:t>
      </w:r>
      <w:r>
        <w:rPr>
          <w:rFonts w:eastAsia="仿宋_GB2312"/>
          <w:sz w:val="32"/>
          <w:szCs w:val="32"/>
          <w:u w:val="single"/>
        </w:rPr>
        <w:t xml:space="preserve">      </w:t>
      </w:r>
      <w:r>
        <w:rPr>
          <w:rFonts w:hint="eastAsia" w:eastAsia="仿宋_GB2312"/>
          <w:sz w:val="32"/>
          <w:szCs w:val="32"/>
          <w:u w:val="single"/>
        </w:rPr>
        <w:t>岳阳市巴陵戏传承研究院</w:t>
      </w:r>
      <w:r>
        <w:rPr>
          <w:rFonts w:eastAsia="仿宋_GB2312"/>
          <w:sz w:val="32"/>
          <w:szCs w:val="32"/>
          <w:u w:val="single"/>
        </w:rPr>
        <w:t xml:space="preserve">                            </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eastAsia="仿宋_GB2312"/>
          <w:spacing w:val="30"/>
          <w:sz w:val="32"/>
          <w:szCs w:val="32"/>
        </w:rPr>
        <w:t xml:space="preserve"> </w:t>
      </w:r>
      <w:r>
        <w:rPr>
          <w:rFonts w:hint="eastAsia" w:eastAsia="仿宋_GB2312"/>
          <w:spacing w:val="30"/>
          <w:sz w:val="32"/>
          <w:szCs w:val="32"/>
        </w:rPr>
        <w:t>算</w:t>
      </w:r>
      <w:r>
        <w:rPr>
          <w:rFonts w:eastAsia="仿宋_GB2312"/>
          <w:spacing w:val="30"/>
          <w:sz w:val="32"/>
          <w:szCs w:val="32"/>
        </w:rPr>
        <w:t xml:space="preserve"> </w:t>
      </w:r>
      <w:r>
        <w:rPr>
          <w:rFonts w:hint="eastAsia" w:eastAsia="仿宋_GB2312"/>
          <w:spacing w:val="30"/>
          <w:sz w:val="32"/>
          <w:szCs w:val="32"/>
        </w:rPr>
        <w:t>编</w:t>
      </w:r>
      <w:r>
        <w:rPr>
          <w:rFonts w:eastAsia="仿宋_GB2312"/>
          <w:spacing w:val="30"/>
          <w:sz w:val="32"/>
          <w:szCs w:val="32"/>
        </w:rPr>
        <w:t xml:space="preserve"> </w:t>
      </w:r>
      <w:r>
        <w:rPr>
          <w:rFonts w:hint="eastAsia" w:eastAsia="仿宋_GB2312"/>
          <w:spacing w:val="30"/>
          <w:sz w:val="32"/>
          <w:szCs w:val="32"/>
        </w:rPr>
        <w:t>码：</w:t>
      </w:r>
      <w:r>
        <w:rPr>
          <w:rFonts w:eastAsia="仿宋_GB2312"/>
          <w:spacing w:val="20"/>
          <w:sz w:val="32"/>
          <w:szCs w:val="32"/>
          <w:u w:val="single"/>
        </w:rPr>
        <w:t xml:space="preserve">     </w:t>
      </w:r>
      <w:r>
        <w:rPr>
          <w:rFonts w:hint="eastAsia" w:eastAsia="仿宋_GB2312"/>
          <w:spacing w:val="20"/>
          <w:sz w:val="32"/>
          <w:szCs w:val="32"/>
          <w:u w:val="single"/>
        </w:rPr>
        <w:t>501004</w:t>
      </w:r>
      <w:r>
        <w:rPr>
          <w:rFonts w:eastAsia="仿宋_GB2312"/>
          <w:spacing w:val="20"/>
          <w:sz w:val="32"/>
          <w:szCs w:val="32"/>
          <w:u w:val="single"/>
        </w:rPr>
        <w:t xml:space="preserve">                      </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评价机构：部门（单位）评价组</w:t>
      </w:r>
      <w:r>
        <w:rPr>
          <w:rFonts w:eastAsia="仿宋_GB2312"/>
          <w:sz w:val="32"/>
          <w:szCs w:val="32"/>
        </w:rPr>
        <w:t xml:space="preserve">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w:t>
      </w:r>
      <w:r>
        <w:rPr>
          <w:rFonts w:hint="eastAsia" w:eastAsia="仿宋_GB2312"/>
          <w:sz w:val="32"/>
          <w:lang w:val="en-US" w:eastAsia="zh-CN"/>
        </w:rPr>
        <w:t>2022年</w:t>
      </w:r>
      <w:r>
        <w:rPr>
          <w:rFonts w:eastAsia="仿宋_GB2312"/>
          <w:sz w:val="32"/>
        </w:rPr>
        <w:t xml:space="preserve"> </w:t>
      </w:r>
      <w:r>
        <w:rPr>
          <w:rFonts w:hint="eastAsia" w:eastAsia="仿宋_GB2312"/>
          <w:sz w:val="32"/>
          <w:lang w:val="en-US" w:eastAsia="zh-CN"/>
        </w:rPr>
        <w:t>6</w:t>
      </w:r>
      <w:r>
        <w:rPr>
          <w:rFonts w:hint="eastAsia" w:eastAsia="仿宋_GB2312"/>
          <w:sz w:val="32"/>
        </w:rPr>
        <w:t>月</w:t>
      </w:r>
      <w:r>
        <w:rPr>
          <w:rFonts w:hint="eastAsia" w:eastAsia="仿宋_GB2312"/>
          <w:sz w:val="32"/>
          <w:lang w:val="en-US" w:eastAsia="zh-CN"/>
        </w:rPr>
        <w:t>15</w:t>
      </w:r>
      <w:r>
        <w:rPr>
          <w:rFonts w:hint="eastAsia" w:eastAsia="仿宋_GB2312"/>
          <w:sz w:val="32"/>
        </w:rPr>
        <w:t>日</w:t>
      </w:r>
    </w:p>
    <w:p>
      <w:pPr>
        <w:autoSpaceDN w:val="0"/>
        <w:jc w:val="center"/>
        <w:textAlignment w:val="center"/>
        <w:rPr>
          <w:rFonts w:eastAsia="仿宋_GB2312"/>
          <w:sz w:val="32"/>
          <w:szCs w:val="32"/>
        </w:rPr>
        <w:sectPr>
          <w:headerReference r:id="rId3" w:type="default"/>
          <w:footerReference r:id="rId4" w:type="default"/>
          <w:footerReference r:id="rId5" w:type="even"/>
          <w:pgSz w:w="11906" w:h="16838"/>
          <w:pgMar w:top="1247" w:right="1588" w:bottom="1247" w:left="1588" w:header="851" w:footer="992" w:gutter="0"/>
          <w:pgNumType w:start="1"/>
          <w:cols w:space="720" w:num="1"/>
          <w:docGrid w:type="linesAndChars" w:linePitch="602" w:charSpace="-782"/>
        </w:sectPr>
      </w:pPr>
      <w:r>
        <w:rPr>
          <w:rFonts w:hint="eastAsia" w:eastAsia="仿宋_GB2312"/>
          <w:sz w:val="32"/>
        </w:rPr>
        <w:t>岳阳市财政</w:t>
      </w:r>
      <w:r>
        <w:rPr>
          <w:rFonts w:hint="eastAsia" w:eastAsia="仿宋_GB2312"/>
          <w:sz w:val="32"/>
          <w:szCs w:val="32"/>
        </w:rPr>
        <w:t>局（制）</w:t>
      </w:r>
    </w:p>
    <w:tbl>
      <w:tblPr>
        <w:tblStyle w:val="6"/>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1248"/>
        <w:gridCol w:w="1039"/>
        <w:gridCol w:w="226"/>
        <w:gridCol w:w="196"/>
        <w:gridCol w:w="54"/>
        <w:gridCol w:w="1170"/>
        <w:gridCol w:w="380"/>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4001" w:type="dxa"/>
            <w:gridSpan w:val="6"/>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何翠微</w:t>
            </w:r>
          </w:p>
        </w:tc>
        <w:tc>
          <w:tcPr>
            <w:tcW w:w="103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13975008668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4001" w:type="dxa"/>
            <w:gridSpan w:val="6"/>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110</w:t>
            </w:r>
          </w:p>
        </w:tc>
        <w:tc>
          <w:tcPr>
            <w:tcW w:w="103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相关文艺政策宣传、公共服务工作；承担对外文化艺术交流何艺术普及工作；巴陵戏保护、研究及传承；各类艺术创作生产演出、公益性惠民演出；全市重点剧（节）目创作咨询辅导；艺术课题与理论的研究编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236"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vAlign w:val="center"/>
          </w:tcPr>
          <w:p>
            <w:pPr>
              <w:numPr>
                <w:ilvl w:val="0"/>
                <w:numId w:val="0"/>
              </w:num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落实主题责任，加强全面从严治党；迎难而上、多点开花，展示我院创作实力和艺术风采；人才培养、薪火相传；拓展思路、融合发展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vAlign w:val="center"/>
          </w:tcPr>
          <w:p>
            <w:pPr>
              <w:numPr>
                <w:ilvl w:val="0"/>
                <w:numId w:val="1"/>
              </w:num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对党建任务进行职责分工，实行目标分解、责任到人，明确完成的时间节点，细化任务分工；</w:t>
            </w:r>
          </w:p>
          <w:p>
            <w:pPr>
              <w:numPr>
                <w:ilvl w:val="0"/>
                <w:numId w:val="1"/>
              </w:num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新冠疫情反复，但顺利完成送戏下乡演出任务，得到了广大市民群众及师生的赞不绝口；</w:t>
            </w:r>
          </w:p>
          <w:p>
            <w:pPr>
              <w:numPr>
                <w:ilvl w:val="0"/>
                <w:numId w:val="1"/>
              </w:num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积极开展“名师传艺”工程，选送年轻演员参加“百团百角唱百年”市级决赛活动；</w:t>
            </w:r>
          </w:p>
          <w:p>
            <w:pPr>
              <w:numPr>
                <w:ilvl w:val="0"/>
                <w:numId w:val="1"/>
              </w:num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文化艺术融入到旅游景区之内，从节目形式和内容上创新，上演短小精简而富有地方代表性的戏曲、歌舞、相声等节目50余次，惠及游客近50多万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52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26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市巴陵戏传承研究院</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3245.18</w:t>
            </w: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52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2057.86</w:t>
            </w:r>
          </w:p>
        </w:tc>
        <w:tc>
          <w:tcPr>
            <w:tcW w:w="126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1187.32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52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26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560"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460" w:type="dxa"/>
            <w:gridSpan w:val="4"/>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035" w:type="dxa"/>
            <w:gridSpan w:val="6"/>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170" w:type="dxa"/>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835"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52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1515"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17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835"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color w:val="000000"/>
                <w:sz w:val="24"/>
                <w:lang w:val="en-US" w:eastAsia="zh-CN"/>
              </w:rPr>
              <w:t>市巴陵戏传承研究院</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3245.18</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1385.71</w:t>
            </w:r>
          </w:p>
        </w:tc>
        <w:tc>
          <w:tcPr>
            <w:tcW w:w="152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1251.07</w:t>
            </w:r>
          </w:p>
        </w:tc>
        <w:tc>
          <w:tcPr>
            <w:tcW w:w="1515" w:type="dxa"/>
            <w:gridSpan w:val="4"/>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134.64</w:t>
            </w:r>
          </w:p>
        </w:tc>
        <w:tc>
          <w:tcPr>
            <w:tcW w:w="1170" w:type="dxa"/>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1859.47</w:t>
            </w:r>
          </w:p>
        </w:tc>
        <w:tc>
          <w:tcPr>
            <w:tcW w:w="835"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52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515"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17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835"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三公经费</w:t>
            </w:r>
          </w:p>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公务接待费</w:t>
            </w:r>
          </w:p>
        </w:tc>
        <w:tc>
          <w:tcPr>
            <w:tcW w:w="1520" w:type="dxa"/>
            <w:gridSpan w:val="2"/>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公务用车运维费</w:t>
            </w:r>
          </w:p>
        </w:tc>
        <w:tc>
          <w:tcPr>
            <w:tcW w:w="1515" w:type="dxa"/>
            <w:gridSpan w:val="4"/>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公务用车购置费</w:t>
            </w:r>
          </w:p>
        </w:tc>
        <w:tc>
          <w:tcPr>
            <w:tcW w:w="263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lang w:val="en-US" w:eastAsia="zh-CN"/>
              </w:rPr>
              <w:t>市巴陵戏传承研究院</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0.24</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0.24</w:t>
            </w:r>
          </w:p>
        </w:tc>
        <w:tc>
          <w:tcPr>
            <w:tcW w:w="1520" w:type="dxa"/>
            <w:gridSpan w:val="2"/>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p>
        </w:tc>
        <w:tc>
          <w:tcPr>
            <w:tcW w:w="1515" w:type="dxa"/>
            <w:gridSpan w:val="4"/>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p>
        </w:tc>
        <w:tc>
          <w:tcPr>
            <w:tcW w:w="263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52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515"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63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highlight w:val="none"/>
              </w:rPr>
              <w:t>合计</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87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204" w:type="dxa"/>
            <w:gridSpan w:val="7"/>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30"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lang w:val="en-US" w:eastAsia="zh-CN"/>
              </w:rPr>
              <w:t>市巴陵戏传承研究院</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178.78</w:t>
            </w:r>
          </w:p>
        </w:tc>
        <w:tc>
          <w:tcPr>
            <w:tcW w:w="287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178.78</w:t>
            </w:r>
          </w:p>
        </w:tc>
        <w:tc>
          <w:tcPr>
            <w:tcW w:w="320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87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20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421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145"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850"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4214" w:type="dxa"/>
            <w:gridSpan w:val="7"/>
            <w:vAlign w:val="center"/>
          </w:tcPr>
          <w:p>
            <w:pPr>
              <w:numPr>
                <w:ilvl w:val="0"/>
                <w:numId w:val="0"/>
              </w:num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1、</w:t>
            </w:r>
            <w:r>
              <w:rPr>
                <w:rFonts w:hint="eastAsia" w:ascii="仿宋_GB2312" w:hAnsi="仿宋_GB2312" w:eastAsia="仿宋_GB2312" w:cs="仿宋_GB2312"/>
                <w:color w:val="000000"/>
                <w:sz w:val="24"/>
                <w:lang w:eastAsia="zh-CN"/>
              </w:rPr>
              <w:t>大型传统巴陵戏《审刺客》的复排；</w:t>
            </w:r>
          </w:p>
          <w:p>
            <w:pPr>
              <w:numPr>
                <w:ilvl w:val="0"/>
                <w:numId w:val="0"/>
              </w:num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2、为湖南省三年一度的艺术盛会做汇演；</w:t>
            </w:r>
          </w:p>
          <w:p>
            <w:pPr>
              <w:numPr>
                <w:ilvl w:val="0"/>
                <w:numId w:val="0"/>
              </w:num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3、增加恵及游客人数；</w:t>
            </w:r>
          </w:p>
          <w:p>
            <w:pPr>
              <w:numPr>
                <w:ilvl w:val="0"/>
                <w:numId w:val="0"/>
              </w:num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4、文旅融合，创作有地方代表性的戏曲、歌舞、相声等；</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5、完成巴陵戏传承展演中心晓朝宾馆改扩建项目；</w:t>
            </w:r>
          </w:p>
        </w:tc>
        <w:tc>
          <w:tcPr>
            <w:tcW w:w="4145" w:type="dxa"/>
            <w:gridSpan w:val="9"/>
            <w:vAlign w:val="center"/>
          </w:tcPr>
          <w:p>
            <w:pPr>
              <w:numPr>
                <w:ilvl w:val="0"/>
                <w:numId w:val="0"/>
              </w:num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1、</w:t>
            </w:r>
            <w:r>
              <w:rPr>
                <w:rFonts w:hint="eastAsia" w:ascii="仿宋_GB2312" w:hAnsi="仿宋_GB2312" w:eastAsia="仿宋_GB2312" w:cs="仿宋_GB2312"/>
                <w:color w:val="000000"/>
                <w:sz w:val="24"/>
                <w:lang w:eastAsia="zh-CN"/>
              </w:rPr>
              <w:t>顺利完成了大型传统巴陵戏《审刺客》的复排；</w:t>
            </w:r>
          </w:p>
          <w:p>
            <w:pPr>
              <w:numPr>
                <w:ilvl w:val="0"/>
                <w:numId w:val="0"/>
              </w:num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2、已完成参赛任务，于2022年元月6日赴长沙参加湖南省第七届艺术节新创大型舞台剧目展演；</w:t>
            </w:r>
          </w:p>
          <w:p>
            <w:pPr>
              <w:numPr>
                <w:ilvl w:val="0"/>
                <w:numId w:val="0"/>
              </w:num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3、增加恵及游客人数50多万；</w:t>
            </w:r>
          </w:p>
          <w:p>
            <w:pPr>
              <w:numPr>
                <w:ilvl w:val="0"/>
                <w:numId w:val="0"/>
              </w:num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4、对于文旅融合，我们拓展思路积极探索，将文化艺术融入到旅游景区之内，从节目形式和内容上创新，上演短小精简而富有地方代表性的戏曲、歌舞、相声等节目50余次，惠及游客近50多万；</w:t>
            </w:r>
          </w:p>
          <w:p>
            <w:pPr>
              <w:numPr>
                <w:ilvl w:val="0"/>
                <w:numId w:val="0"/>
              </w:num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5、年前可以招投标完毕正式开工。</w:t>
            </w:r>
          </w:p>
          <w:p>
            <w:pPr>
              <w:autoSpaceDN w:val="0"/>
              <w:spacing w:line="320" w:lineRule="exac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参加湖南省第七届艺术节新创大型舞台剧目展演</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已完成参赛任务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709" w:type="dxa"/>
            <w:gridSpan w:val="4"/>
            <w:vAlign w:val="center"/>
          </w:tcPr>
          <w:p>
            <w:pPr>
              <w:autoSpaceDN w:val="0"/>
              <w:spacing w:line="320" w:lineRule="exac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大型传统巴陵戏《审刺客》的复排。</w:t>
            </w:r>
          </w:p>
        </w:tc>
        <w:tc>
          <w:tcPr>
            <w:tcW w:w="2684" w:type="dxa"/>
            <w:gridSpan w:val="6"/>
            <w:vAlign w:val="center"/>
          </w:tcPr>
          <w:p>
            <w:pPr>
              <w:autoSpaceDN w:val="0"/>
              <w:spacing w:line="320" w:lineRule="exac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公演完成，得到了老一辈艺人和同行专家的认同和肯定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增加恵及游客人数</w:t>
            </w:r>
          </w:p>
        </w:tc>
        <w:tc>
          <w:tcPr>
            <w:tcW w:w="2684" w:type="dxa"/>
            <w:gridSpan w:val="6"/>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color w:val="000000"/>
                <w:sz w:val="24"/>
                <w:lang w:val="en-US" w:eastAsia="zh-CN"/>
              </w:rPr>
              <w:t>50万人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6"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tcBorders>
              <w:bottom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有地方代表性的戏曲、歌舞、相声等</w:t>
            </w:r>
            <w:r>
              <w:rPr>
                <w:rFonts w:hint="eastAsia" w:ascii="仿宋_GB2312" w:hAnsi="仿宋_GB2312" w:eastAsia="仿宋_GB2312" w:cs="仿宋_GB2312"/>
                <w:color w:val="000000"/>
                <w:sz w:val="24"/>
                <w:lang w:val="en-US" w:eastAsia="zh-CN"/>
              </w:rPr>
              <w:t>表演</w:t>
            </w:r>
          </w:p>
        </w:tc>
        <w:tc>
          <w:tcPr>
            <w:tcW w:w="2684" w:type="dxa"/>
            <w:gridSpan w:val="6"/>
            <w:tcBorders>
              <w:bottom w:val="single" w:color="auto" w:sz="4" w:space="0"/>
            </w:tcBorders>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50余次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43"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17" w:type="dxa"/>
            <w:gridSpan w:val="2"/>
            <w:vAlign w:val="center"/>
          </w:tcPr>
          <w:p>
            <w:pPr>
              <w:widowControl/>
              <w:jc w:val="center"/>
              <w:rPr>
                <w:rFonts w:hint="eastAsia" w:ascii="Times New Roman" w:hAnsi="Times New Roman" w:eastAsia="仿宋_GB2312" w:cs="Times New Roman"/>
                <w:kern w:val="0"/>
                <w:sz w:val="21"/>
                <w:szCs w:val="21"/>
                <w:lang w:val="en-US" w:eastAsia="zh-CN" w:bidi="ar-SA"/>
              </w:rPr>
            </w:pPr>
            <w:r>
              <w:rPr>
                <w:rFonts w:hint="eastAsia" w:ascii="仿宋_GB2312" w:hAnsi="仿宋_GB2312" w:eastAsia="仿宋_GB2312" w:cs="仿宋_GB2312"/>
                <w:color w:val="000000"/>
                <w:sz w:val="24"/>
              </w:rPr>
              <w:t>时效指标</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目标任务完成及时率100%</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0"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17"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成本指标</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预算成本控制≤</w:t>
            </w:r>
            <w:r>
              <w:rPr>
                <w:rFonts w:hint="eastAsia" w:ascii="仿宋_GB2312" w:hAnsi="仿宋_GB2312" w:eastAsia="仿宋_GB2312" w:cs="仿宋_GB2312"/>
                <w:color w:val="000000"/>
                <w:sz w:val="24"/>
                <w:lang w:val="en-US" w:eastAsia="zh-CN"/>
              </w:rPr>
              <w:t>3245.18</w:t>
            </w:r>
            <w:r>
              <w:rPr>
                <w:rFonts w:hint="eastAsia" w:ascii="仿宋_GB2312" w:hAnsi="仿宋_GB2312" w:eastAsia="仿宋_GB2312" w:cs="仿宋_GB2312"/>
                <w:color w:val="000000"/>
                <w:sz w:val="24"/>
              </w:rPr>
              <w:t>万</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3245.18</w:t>
            </w:r>
            <w:r>
              <w:rPr>
                <w:rFonts w:hint="eastAsia" w:ascii="仿宋_GB2312" w:hAnsi="仿宋_GB2312" w:eastAsia="仿宋_GB2312" w:cs="仿宋_GB2312"/>
                <w:color w:val="000000"/>
                <w:sz w:val="24"/>
              </w:rPr>
              <w:t>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0"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可持续性</w:t>
            </w:r>
            <w:r>
              <w:rPr>
                <w:rFonts w:hint="eastAsia" w:ascii="仿宋_GB2312" w:hAnsi="仿宋_GB2312" w:eastAsia="仿宋_GB2312" w:cs="仿宋_GB2312"/>
                <w:color w:val="000000"/>
                <w:sz w:val="24"/>
              </w:rPr>
              <w:t>效益</w:t>
            </w:r>
          </w:p>
        </w:tc>
        <w:tc>
          <w:tcPr>
            <w:tcW w:w="2709" w:type="dxa"/>
            <w:gridSpan w:val="4"/>
            <w:vAlign w:val="center"/>
          </w:tcPr>
          <w:p>
            <w:pPr>
              <w:autoSpaceDN w:val="0"/>
              <w:spacing w:line="36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推动文化与旅游的融合发展</w:t>
            </w:r>
          </w:p>
        </w:tc>
        <w:tc>
          <w:tcPr>
            <w:tcW w:w="2684" w:type="dxa"/>
            <w:gridSpan w:val="6"/>
            <w:vAlign w:val="center"/>
          </w:tcPr>
          <w:p>
            <w:pPr>
              <w:autoSpaceDN w:val="0"/>
              <w:spacing w:line="360" w:lineRule="exact"/>
              <w:ind w:firstLine="720" w:firstLineChars="300"/>
              <w:jc w:val="both"/>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color w:val="000000"/>
                <w:sz w:val="24"/>
                <w:lang w:val="en-US" w:eastAsia="zh-CN"/>
              </w:rPr>
              <w:t>推动明显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vAlign w:val="center"/>
          </w:tcPr>
          <w:p>
            <w:pPr>
              <w:autoSpaceDN w:val="0"/>
              <w:spacing w:line="36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组织活动满意度≥90%</w:t>
            </w:r>
          </w:p>
        </w:tc>
        <w:tc>
          <w:tcPr>
            <w:tcW w:w="2684" w:type="dxa"/>
            <w:gridSpan w:val="6"/>
            <w:vAlign w:val="center"/>
          </w:tcPr>
          <w:p>
            <w:pPr>
              <w:autoSpaceDN w:val="0"/>
              <w:spacing w:line="36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名</w:t>
            </w:r>
          </w:p>
        </w:tc>
        <w:tc>
          <w:tcPr>
            <w:tcW w:w="400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w:t>
            </w:r>
            <w:bookmarkStart w:id="0" w:name="_GoBack"/>
            <w:bookmarkEnd w:id="0"/>
            <w:r>
              <w:rPr>
                <w:rFonts w:hint="eastAsia" w:ascii="仿宋_GB2312" w:hAnsi="仿宋_GB2312" w:eastAsia="仿宋_GB2312" w:cs="仿宋_GB2312"/>
                <w:color w:val="000000"/>
                <w:sz w:val="24"/>
              </w:rPr>
              <w:t>务</w:t>
            </w:r>
            <w:r>
              <w:rPr>
                <w:rFonts w:ascii="仿宋_GB2312" w:hAnsi="仿宋_GB2312" w:eastAsia="仿宋_GB2312" w:cs="仿宋_GB2312"/>
                <w:color w:val="000000"/>
                <w:sz w:val="24"/>
              </w:rPr>
              <w:t>/</w:t>
            </w:r>
            <w:r>
              <w:rPr>
                <w:rFonts w:hint="eastAsia" w:ascii="仿宋_GB2312" w:hAnsi="仿宋_GB2312" w:eastAsia="仿宋_GB2312" w:cs="仿宋_GB2312"/>
                <w:color w:val="000000"/>
                <w:sz w:val="24"/>
              </w:rPr>
              <w:t>职称</w:t>
            </w:r>
          </w:p>
        </w:tc>
        <w:tc>
          <w:tcPr>
            <w:tcW w:w="103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位</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危  巍</w:t>
            </w:r>
          </w:p>
        </w:tc>
        <w:tc>
          <w:tcPr>
            <w:tcW w:w="4001" w:type="dxa"/>
            <w:gridSpan w:val="6"/>
            <w:vAlign w:val="center"/>
          </w:tcPr>
          <w:p>
            <w:pPr>
              <w:autoSpaceDN w:val="0"/>
              <w:spacing w:line="320" w:lineRule="exact"/>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highlight w:val="none"/>
                <w:lang w:val="en-US" w:eastAsia="zh-CN"/>
              </w:rPr>
              <w:t>分管领导</w:t>
            </w:r>
          </w:p>
        </w:tc>
        <w:tc>
          <w:tcPr>
            <w:tcW w:w="1039"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何翠微</w:t>
            </w:r>
          </w:p>
        </w:tc>
        <w:tc>
          <w:tcPr>
            <w:tcW w:w="4001" w:type="dxa"/>
            <w:gridSpan w:val="6"/>
            <w:vAlign w:val="center"/>
          </w:tcPr>
          <w:p>
            <w:pPr>
              <w:autoSpaceDN w:val="0"/>
              <w:spacing w:line="320" w:lineRule="exact"/>
              <w:jc w:val="center"/>
              <w:textAlignment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会计</w:t>
            </w:r>
          </w:p>
        </w:tc>
        <w:tc>
          <w:tcPr>
            <w:tcW w:w="1039"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400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39"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400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39"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年</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月</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年</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月</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eastAsia="仿宋_GB2312"/>
                <w:sz w:val="24"/>
              </w:rPr>
              <w:t xml:space="preserve">                                  </w:t>
            </w:r>
            <w:r>
              <w:rPr>
                <w:rFonts w:hint="eastAsia" w:eastAsia="仿宋_GB2312"/>
                <w:sz w:val="24"/>
              </w:rPr>
              <w:t>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eastAsia="仿宋_GB2312"/>
                <w:sz w:val="24"/>
              </w:rPr>
              <w:t xml:space="preserve">                                                                 </w:t>
            </w:r>
            <w:r>
              <w:rPr>
                <w:rFonts w:hint="eastAsia" w:eastAsia="仿宋_GB2312"/>
                <w:sz w:val="24"/>
              </w:rPr>
              <w:t>年</w:t>
            </w:r>
            <w:r>
              <w:rPr>
                <w:rFonts w:eastAsia="仿宋_GB2312"/>
                <w:sz w:val="24"/>
              </w:rPr>
              <w:t xml:space="preserve">    </w:t>
            </w:r>
            <w:r>
              <w:rPr>
                <w:rFonts w:hint="eastAsia" w:eastAsia="仿宋_GB2312"/>
                <w:sz w:val="24"/>
              </w:rPr>
              <w:t>月</w:t>
            </w:r>
            <w:r>
              <w:rPr>
                <w:rFonts w:eastAsia="仿宋_GB2312"/>
                <w:sz w:val="24"/>
              </w:rPr>
              <w:t xml:space="preserve">   </w:t>
            </w:r>
            <w:r>
              <w:rPr>
                <w:rFonts w:hint="eastAsia" w:eastAsia="仿宋_GB2312"/>
                <w:sz w:val="24"/>
              </w:rPr>
              <w:t>日</w:t>
            </w:r>
          </w:p>
        </w:tc>
      </w:tr>
    </w:tbl>
    <w:p>
      <w:pPr>
        <w:rPr>
          <w:rFonts w:eastAsia="仿宋_GB2312" w:cs="仿宋_GB2312"/>
          <w:bCs/>
          <w:sz w:val="28"/>
          <w:szCs w:val="28"/>
        </w:rPr>
      </w:pPr>
      <w:r>
        <w:rPr>
          <w:rFonts w:hint="eastAsia" w:eastAsia="仿宋_GB2312" w:cs="仿宋_GB2312"/>
          <w:bCs/>
          <w:sz w:val="28"/>
          <w:szCs w:val="28"/>
        </w:rPr>
        <w:t>填报人（签名）：</w:t>
      </w:r>
      <w:r>
        <w:rPr>
          <w:rFonts w:eastAsia="仿宋_GB2312" w:cs="仿宋_GB2312"/>
          <w:bCs/>
          <w:sz w:val="28"/>
          <w:szCs w:val="28"/>
        </w:rPr>
        <w:t xml:space="preserve">                      </w:t>
      </w:r>
      <w:r>
        <w:rPr>
          <w:rFonts w:hint="eastAsia" w:eastAsia="仿宋_GB2312" w:cs="仿宋_GB2312"/>
          <w:bCs/>
          <w:sz w:val="28"/>
          <w:szCs w:val="28"/>
        </w:rPr>
        <w:t>联系电话：</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eastAsia="仿宋_GB2312"/>
                <w:sz w:val="32"/>
                <w:szCs w:val="32"/>
              </w:rPr>
            </w:pP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1、</w:t>
            </w:r>
            <w:r>
              <w:rPr>
                <w:rFonts w:hint="eastAsia" w:ascii="仿宋_GB2312" w:hAnsi="仿宋_GB2312" w:eastAsia="仿宋_GB2312" w:cs="仿宋_GB2312"/>
                <w:bCs/>
                <w:sz w:val="28"/>
                <w:szCs w:val="28"/>
              </w:rPr>
              <w:t>岳阳市巴陵戏传承研究院截止2020年12月31日，实际在编在岗干部职工共有</w:t>
            </w:r>
            <w:r>
              <w:rPr>
                <w:rFonts w:hint="eastAsia" w:ascii="仿宋_GB2312" w:hAnsi="仿宋_GB2312" w:eastAsia="仿宋_GB2312" w:cs="仿宋_GB2312"/>
                <w:bCs/>
                <w:sz w:val="28"/>
                <w:szCs w:val="28"/>
                <w:lang w:val="en-US" w:eastAsia="zh-CN"/>
              </w:rPr>
              <w:t>98</w:t>
            </w:r>
            <w:r>
              <w:rPr>
                <w:rFonts w:hint="eastAsia" w:ascii="仿宋_GB2312" w:hAnsi="仿宋_GB2312" w:eastAsia="仿宋_GB2312" w:cs="仿宋_GB2312"/>
                <w:bCs/>
                <w:sz w:val="28"/>
                <w:szCs w:val="28"/>
              </w:rPr>
              <w:t>人，</w:t>
            </w:r>
            <w:r>
              <w:rPr>
                <w:rFonts w:hint="eastAsia" w:ascii="仿宋_GB2312" w:hAnsi="仿宋_GB2312" w:eastAsia="仿宋_GB2312" w:cs="仿宋_GB2312"/>
                <w:bCs/>
                <w:sz w:val="28"/>
                <w:szCs w:val="28"/>
                <w:lang w:val="en-US" w:eastAsia="zh-CN"/>
              </w:rPr>
              <w:t>实有编制110人，空编12个，退休59人。</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highlight w:val="none"/>
              </w:rPr>
              <w:t>（二）部门（单位）整体支出规模、使用方向和主要内容、涉及范围等</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1、根据</w:t>
            </w:r>
            <w:r>
              <w:rPr>
                <w:rFonts w:ascii="仿宋_GB2312" w:hAnsi="仿宋_GB2312" w:eastAsia="仿宋_GB2312" w:cs="仿宋_GB2312"/>
                <w:bCs/>
                <w:sz w:val="28"/>
                <w:szCs w:val="28"/>
              </w:rPr>
              <w:t>202</w:t>
            </w:r>
            <w:r>
              <w:rPr>
                <w:rFonts w:hint="eastAsia" w:ascii="仿宋_GB2312" w:hAnsi="仿宋_GB2312" w:eastAsia="仿宋_GB2312" w:cs="仿宋_GB2312"/>
                <w:bCs/>
                <w:sz w:val="28"/>
                <w:szCs w:val="28"/>
              </w:rPr>
              <w:t>1年市本级部门预算批复</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本单位预算收入</w:t>
            </w:r>
            <w:r>
              <w:rPr>
                <w:rFonts w:hint="eastAsia" w:ascii="仿宋_GB2312" w:hAnsi="仿宋_GB2312" w:eastAsia="仿宋_GB2312" w:cs="仿宋_GB2312"/>
                <w:bCs/>
                <w:sz w:val="28"/>
                <w:szCs w:val="28"/>
                <w:lang w:val="en-US" w:eastAsia="zh-CN"/>
              </w:rPr>
              <w:t>3245.18</w:t>
            </w:r>
            <w:r>
              <w:rPr>
                <w:rFonts w:ascii="仿宋_GB2312" w:hAnsi="仿宋_GB2312" w:eastAsia="仿宋_GB2312" w:cs="仿宋_GB2312"/>
                <w:bCs/>
                <w:sz w:val="28"/>
                <w:szCs w:val="28"/>
              </w:rPr>
              <w:t>万元，其中</w:t>
            </w:r>
            <w:r>
              <w:rPr>
                <w:rFonts w:hint="eastAsia" w:ascii="仿宋_GB2312" w:hAnsi="仿宋_GB2312" w:eastAsia="仿宋_GB2312" w:cs="仿宋_GB2312"/>
                <w:bCs/>
                <w:sz w:val="28"/>
                <w:szCs w:val="28"/>
              </w:rPr>
              <w:t>公共财政拨款</w:t>
            </w:r>
            <w:r>
              <w:rPr>
                <w:rFonts w:hint="eastAsia" w:ascii="仿宋_GB2312" w:hAnsi="仿宋_GB2312" w:eastAsia="仿宋_GB2312" w:cs="仿宋_GB2312"/>
                <w:bCs/>
                <w:sz w:val="28"/>
                <w:szCs w:val="28"/>
                <w:lang w:val="en-US" w:eastAsia="zh-CN"/>
              </w:rPr>
              <w:t>2057.86</w:t>
            </w:r>
            <w:r>
              <w:rPr>
                <w:rFonts w:ascii="仿宋_GB2312" w:hAnsi="仿宋_GB2312" w:eastAsia="仿宋_GB2312" w:cs="仿宋_GB2312"/>
                <w:bCs/>
                <w:sz w:val="28"/>
                <w:szCs w:val="28"/>
              </w:rPr>
              <w:t>万元</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其他收入1187.32万元</w:t>
            </w:r>
            <w:r>
              <w:rPr>
                <w:rFonts w:hint="eastAsia" w:ascii="仿宋_GB2312" w:hAnsi="仿宋_GB2312" w:eastAsia="仿宋_GB2312" w:cs="仿宋_GB2312"/>
                <w:bCs/>
                <w:sz w:val="28"/>
                <w:szCs w:val="28"/>
              </w:rPr>
              <w:t>，上年结转</w:t>
            </w:r>
            <w:r>
              <w:rPr>
                <w:rFonts w:hint="eastAsia" w:ascii="仿宋_GB2312" w:hAnsi="仿宋_GB2312" w:eastAsia="仿宋_GB2312" w:cs="仿宋_GB2312"/>
                <w:bCs/>
                <w:sz w:val="28"/>
                <w:szCs w:val="28"/>
                <w:lang w:val="en-US" w:eastAsia="zh-CN"/>
              </w:rPr>
              <w:t>0</w:t>
            </w:r>
            <w:r>
              <w:rPr>
                <w:rFonts w:hint="eastAsia" w:ascii="仿宋_GB2312" w:hAnsi="仿宋_GB2312" w:eastAsia="仿宋_GB2312" w:cs="仿宋_GB2312"/>
                <w:bCs/>
                <w:sz w:val="28"/>
                <w:szCs w:val="28"/>
              </w:rPr>
              <w:t>万元</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政府性基金预算拨款0万元，国有资本经营预算拨款0万元，纳入专户管理的非税收入0万元，上级补助收入0万元，事业单位经营收入0万元。</w:t>
            </w:r>
          </w:p>
          <w:p>
            <w:pPr>
              <w:spacing w:line="560" w:lineRule="exact"/>
              <w:ind w:firstLine="560" w:firstLineChars="200"/>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rPr>
              <w:t>2、</w:t>
            </w:r>
            <w:r>
              <w:rPr>
                <w:rFonts w:ascii="仿宋_GB2312" w:hAnsi="仿宋_GB2312" w:eastAsia="仿宋_GB2312" w:cs="仿宋_GB2312"/>
                <w:bCs/>
                <w:sz w:val="28"/>
                <w:szCs w:val="28"/>
              </w:rPr>
              <w:t>202</w:t>
            </w:r>
            <w:r>
              <w:rPr>
                <w:rFonts w:hint="eastAsia" w:ascii="仿宋_GB2312" w:hAnsi="仿宋_GB2312" w:eastAsia="仿宋_GB2312" w:cs="仿宋_GB2312"/>
                <w:bCs/>
                <w:sz w:val="28"/>
                <w:szCs w:val="28"/>
              </w:rPr>
              <w:t>1年支出</w:t>
            </w:r>
            <w:r>
              <w:rPr>
                <w:rFonts w:hint="eastAsia" w:ascii="仿宋_GB2312" w:hAnsi="仿宋_GB2312" w:eastAsia="仿宋_GB2312" w:cs="仿宋_GB2312"/>
                <w:bCs/>
                <w:sz w:val="28"/>
                <w:szCs w:val="28"/>
                <w:lang w:val="en-US" w:eastAsia="zh-CN"/>
              </w:rPr>
              <w:t>3245.18</w:t>
            </w:r>
            <w:r>
              <w:rPr>
                <w:rFonts w:hint="eastAsia" w:ascii="仿宋_GB2312" w:hAnsi="仿宋_GB2312" w:eastAsia="仿宋_GB2312" w:cs="仿宋_GB2312"/>
                <w:bCs/>
                <w:sz w:val="28"/>
                <w:szCs w:val="28"/>
              </w:rPr>
              <w:t>万元，其中文化旅游体育与传媒支出</w:t>
            </w:r>
            <w:r>
              <w:rPr>
                <w:rFonts w:hint="eastAsia" w:ascii="仿宋_GB2312" w:hAnsi="仿宋_GB2312" w:eastAsia="仿宋_GB2312" w:cs="仿宋_GB2312"/>
                <w:bCs/>
                <w:sz w:val="28"/>
                <w:szCs w:val="28"/>
                <w:lang w:val="en-US" w:eastAsia="zh-CN"/>
              </w:rPr>
              <w:t>3054.65万元，社会保障和就业支出136.92万元，卫生健康支出54.24万元，结余0万元。</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根据</w:t>
            </w:r>
            <w:r>
              <w:rPr>
                <w:rFonts w:ascii="仿宋_GB2312" w:hAnsi="仿宋_GB2312" w:eastAsia="仿宋_GB2312" w:cs="仿宋_GB2312"/>
                <w:bCs/>
                <w:sz w:val="28"/>
                <w:szCs w:val="28"/>
              </w:rPr>
              <w:t>202</w:t>
            </w:r>
            <w:r>
              <w:rPr>
                <w:rFonts w:hint="eastAsia" w:ascii="仿宋_GB2312" w:hAnsi="仿宋_GB2312" w:eastAsia="仿宋_GB2312" w:cs="仿宋_GB2312"/>
                <w:bCs/>
                <w:sz w:val="28"/>
                <w:szCs w:val="28"/>
              </w:rPr>
              <w:t>1年市本级部门预算批复</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基本支出</w:t>
            </w:r>
            <w:r>
              <w:rPr>
                <w:rFonts w:hint="eastAsia" w:ascii="仿宋_GB2312" w:hAnsi="仿宋_GB2312" w:eastAsia="仿宋_GB2312" w:cs="仿宋_GB2312"/>
                <w:bCs/>
                <w:sz w:val="28"/>
                <w:szCs w:val="28"/>
                <w:lang w:val="en-US" w:eastAsia="zh-CN"/>
              </w:rPr>
              <w:t>1385.71</w:t>
            </w:r>
            <w:r>
              <w:rPr>
                <w:rFonts w:hint="eastAsia" w:ascii="仿宋_GB2312" w:hAnsi="仿宋_GB2312" w:eastAsia="仿宋_GB2312" w:cs="仿宋_GB2312"/>
                <w:bCs/>
                <w:sz w:val="28"/>
                <w:szCs w:val="28"/>
              </w:rPr>
              <w:t>万元，使用内容为人员经费和日常公用经费。其中人员经费支出</w:t>
            </w:r>
            <w:r>
              <w:rPr>
                <w:rFonts w:hint="eastAsia" w:ascii="仿宋_GB2312" w:hAnsi="仿宋_GB2312" w:eastAsia="仿宋_GB2312" w:cs="仿宋_GB2312"/>
                <w:bCs/>
                <w:sz w:val="28"/>
                <w:szCs w:val="28"/>
                <w:lang w:val="en-US" w:eastAsia="zh-CN"/>
              </w:rPr>
              <w:t>1251.07</w:t>
            </w:r>
            <w:r>
              <w:rPr>
                <w:rFonts w:hint="eastAsia" w:ascii="仿宋_GB2312" w:hAnsi="仿宋_GB2312" w:eastAsia="仿宋_GB2312" w:cs="仿宋_GB2312"/>
                <w:bCs/>
                <w:sz w:val="28"/>
                <w:szCs w:val="28"/>
              </w:rPr>
              <w:t>万元，主要用于发放行政人员、事业人员、工勤人员以及临时工工资及津补贴；支付机关离退休员工的工资及津补贴、抚恤金、丧葬费、生活补助等；</w:t>
            </w:r>
            <w:r>
              <w:rPr>
                <w:rFonts w:hint="eastAsia" w:ascii="仿宋_GB2312" w:hAnsi="仿宋_GB2312" w:eastAsia="仿宋_GB2312" w:cs="仿宋_GB2312"/>
                <w:bCs/>
                <w:sz w:val="28"/>
                <w:szCs w:val="28"/>
                <w:lang w:val="en-US" w:eastAsia="zh-CN"/>
              </w:rPr>
              <w:t>其中</w:t>
            </w:r>
            <w:r>
              <w:rPr>
                <w:rFonts w:hint="eastAsia" w:ascii="仿宋_GB2312" w:hAnsi="仿宋_GB2312" w:eastAsia="仿宋_GB2312" w:cs="仿宋_GB2312"/>
                <w:bCs/>
                <w:sz w:val="28"/>
                <w:szCs w:val="28"/>
              </w:rPr>
              <w:t>公用经费</w:t>
            </w:r>
            <w:r>
              <w:rPr>
                <w:rFonts w:hint="eastAsia" w:ascii="仿宋_GB2312" w:hAnsi="仿宋_GB2312" w:eastAsia="仿宋_GB2312" w:cs="仿宋_GB2312"/>
                <w:bCs/>
                <w:sz w:val="28"/>
                <w:szCs w:val="28"/>
                <w:lang w:val="en-US" w:eastAsia="zh-CN"/>
              </w:rPr>
              <w:t>支出</w:t>
            </w:r>
            <w:r>
              <w:rPr>
                <w:rFonts w:hint="eastAsia" w:ascii="仿宋_GB2312" w:hAnsi="仿宋_GB2312" w:eastAsia="仿宋_GB2312" w:cs="仿宋_GB2312"/>
                <w:bCs/>
                <w:sz w:val="28"/>
                <w:szCs w:val="28"/>
              </w:rPr>
              <w:t>一</w:t>
            </w:r>
            <w:r>
              <w:rPr>
                <w:rFonts w:hint="eastAsia" w:ascii="仿宋_GB2312" w:hAnsi="仿宋_GB2312" w:eastAsia="仿宋_GB2312" w:cs="仿宋_GB2312"/>
                <w:bCs/>
                <w:sz w:val="28"/>
                <w:szCs w:val="28"/>
                <w:lang w:val="en-US" w:eastAsia="zh-CN"/>
              </w:rPr>
              <w:t>134.64</w:t>
            </w:r>
            <w:r>
              <w:rPr>
                <w:rFonts w:hint="eastAsia" w:ascii="仿宋_GB2312" w:hAnsi="仿宋_GB2312" w:eastAsia="仿宋_GB2312" w:cs="仿宋_GB2312"/>
                <w:bCs/>
                <w:sz w:val="28"/>
                <w:szCs w:val="28"/>
              </w:rPr>
              <w:t>万元，主要用于保障机关正常运转所需开支的办公费、差旅费、招待费、会议费、公务用车运行维护费、物业管理费等。</w:t>
            </w:r>
          </w:p>
          <w:p>
            <w:pPr>
              <w:spacing w:line="560" w:lineRule="exact"/>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（二）项目支出情况</w:t>
            </w:r>
          </w:p>
          <w:p>
            <w:pPr>
              <w:spacing w:line="560" w:lineRule="exact"/>
              <w:ind w:firstLine="560" w:firstLineChars="200"/>
              <w:rPr>
                <w:rFonts w:hint="default"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rPr>
              <w:t>2021年项目支出数为</w:t>
            </w:r>
            <w:r>
              <w:rPr>
                <w:rFonts w:hint="eastAsia" w:ascii="仿宋_GB2312" w:hAnsi="仿宋_GB2312" w:eastAsia="仿宋_GB2312" w:cs="仿宋_GB2312"/>
                <w:bCs/>
                <w:sz w:val="28"/>
                <w:szCs w:val="28"/>
                <w:highlight w:val="none"/>
                <w:lang w:val="en-US" w:eastAsia="zh-CN"/>
              </w:rPr>
              <w:t>1859.46</w:t>
            </w:r>
            <w:r>
              <w:rPr>
                <w:rFonts w:hint="eastAsia" w:ascii="仿宋_GB2312" w:hAnsi="仿宋_GB2312" w:eastAsia="仿宋_GB2312" w:cs="仿宋_GB2312"/>
                <w:bCs/>
                <w:sz w:val="28"/>
                <w:szCs w:val="28"/>
                <w:highlight w:val="none"/>
              </w:rPr>
              <w:t>万元，</w:t>
            </w:r>
            <w:r>
              <w:rPr>
                <w:rFonts w:hint="eastAsia" w:ascii="仿宋_GB2312" w:hAnsi="仿宋_GB2312" w:eastAsia="仿宋_GB2312" w:cs="仿宋_GB2312"/>
                <w:bCs/>
                <w:sz w:val="28"/>
                <w:szCs w:val="28"/>
                <w:highlight w:val="none"/>
                <w:lang w:val="en-US" w:eastAsia="zh-CN"/>
              </w:rPr>
              <w:t>主要用于（晓朝宾馆）维修改造项目、2021年国家级非物质文化遗产保护资金--艺术剧院巴陵戏、濒危剧种免费或低票价演出补助等。</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（三）三公经费的使用和管理情况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本单位2021年“三公”经费预算数</w:t>
            </w:r>
            <w:r>
              <w:rPr>
                <w:rFonts w:hint="eastAsia" w:ascii="仿宋_GB2312" w:hAnsi="仿宋_GB2312" w:eastAsia="仿宋_GB2312" w:cs="仿宋_GB2312"/>
                <w:bCs/>
                <w:sz w:val="28"/>
                <w:szCs w:val="28"/>
                <w:highlight w:val="none"/>
                <w:lang w:val="en-US" w:eastAsia="zh-CN"/>
              </w:rPr>
              <w:t>0.24</w:t>
            </w:r>
            <w:r>
              <w:rPr>
                <w:rFonts w:hint="eastAsia" w:ascii="仿宋_GB2312" w:hAnsi="仿宋_GB2312" w:eastAsia="仿宋_GB2312" w:cs="仿宋_GB2312"/>
                <w:bCs/>
                <w:sz w:val="28"/>
                <w:szCs w:val="28"/>
              </w:rPr>
              <w:t>万元</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实际拨</w:t>
            </w:r>
            <w:r>
              <w:rPr>
                <w:rFonts w:hint="eastAsia" w:ascii="仿宋_GB2312" w:hAnsi="仿宋_GB2312" w:eastAsia="仿宋_GB2312" w:cs="仿宋_GB2312"/>
                <w:bCs/>
                <w:sz w:val="28"/>
                <w:szCs w:val="28"/>
                <w:highlight w:val="none"/>
                <w:lang w:val="en-US" w:eastAsia="zh-CN"/>
              </w:rPr>
              <w:t>付0.24</w:t>
            </w:r>
            <w:r>
              <w:rPr>
                <w:rFonts w:hint="eastAsia" w:ascii="仿宋_GB2312" w:hAnsi="仿宋_GB2312" w:eastAsia="仿宋_GB2312" w:cs="仿宋_GB2312"/>
                <w:bCs/>
                <w:sz w:val="28"/>
                <w:szCs w:val="28"/>
                <w:lang w:val="en-US" w:eastAsia="zh-CN"/>
              </w:rPr>
              <w:t>万元，主要用</w:t>
            </w:r>
            <w:r>
              <w:rPr>
                <w:rFonts w:hint="eastAsia" w:ascii="仿宋_GB2312" w:hAnsi="仿宋_GB2312" w:eastAsia="仿宋_GB2312" w:cs="仿宋_GB2312"/>
                <w:bCs/>
                <w:sz w:val="28"/>
                <w:szCs w:val="28"/>
                <w:highlight w:val="none"/>
                <w:lang w:val="en-US" w:eastAsia="zh-CN"/>
              </w:rPr>
              <w:t xml:space="preserve">于公务接待 </w:t>
            </w:r>
            <w:r>
              <w:rPr>
                <w:rFonts w:hint="eastAsia" w:ascii="仿宋_GB2312" w:hAnsi="仿宋_GB2312" w:eastAsia="仿宋_GB2312" w:cs="仿宋_GB2312"/>
                <w:bCs/>
                <w:sz w:val="28"/>
                <w:szCs w:val="28"/>
                <w:highlight w:val="none"/>
              </w:rPr>
              <w:t>。</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（四）固定资产使用情况</w:t>
            </w:r>
          </w:p>
          <w:p>
            <w:pPr>
              <w:spacing w:line="560" w:lineRule="exact"/>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rPr>
              <w:t>截至2021年12月底，本单位固定资产合计</w:t>
            </w:r>
            <w:r>
              <w:rPr>
                <w:rFonts w:hint="eastAsia" w:ascii="仿宋_GB2312" w:hAnsi="仿宋_GB2312" w:eastAsia="仿宋_GB2312" w:cs="仿宋_GB2312"/>
                <w:bCs/>
                <w:sz w:val="28"/>
                <w:szCs w:val="28"/>
                <w:lang w:val="en-US" w:eastAsia="zh-CN"/>
              </w:rPr>
              <w:t>1</w:t>
            </w:r>
            <w:r>
              <w:rPr>
                <w:rFonts w:hint="eastAsia" w:ascii="仿宋_GB2312" w:hAnsi="仿宋_GB2312" w:eastAsia="仿宋_GB2312" w:cs="仿宋_GB2312"/>
                <w:bCs/>
                <w:sz w:val="28"/>
                <w:szCs w:val="28"/>
                <w:highlight w:val="none"/>
                <w:lang w:val="en-US" w:eastAsia="zh-CN"/>
              </w:rPr>
              <w:t>78.78</w:t>
            </w:r>
            <w:r>
              <w:rPr>
                <w:rFonts w:ascii="仿宋_GB2312" w:hAnsi="仿宋_GB2312" w:eastAsia="仿宋_GB2312" w:cs="仿宋_GB2312"/>
                <w:bCs/>
                <w:sz w:val="28"/>
                <w:szCs w:val="28"/>
                <w:highlight w:val="none"/>
              </w:rPr>
              <w:t>万元，其中在用固定资产</w:t>
            </w:r>
            <w:r>
              <w:rPr>
                <w:rFonts w:hint="eastAsia" w:ascii="仿宋_GB2312" w:hAnsi="仿宋_GB2312" w:eastAsia="仿宋_GB2312" w:cs="仿宋_GB2312"/>
                <w:bCs/>
                <w:sz w:val="28"/>
                <w:szCs w:val="28"/>
                <w:lang w:val="en-US" w:eastAsia="zh-CN"/>
              </w:rPr>
              <w:t>1</w:t>
            </w:r>
            <w:r>
              <w:rPr>
                <w:rFonts w:hint="eastAsia" w:ascii="仿宋_GB2312" w:hAnsi="仿宋_GB2312" w:eastAsia="仿宋_GB2312" w:cs="仿宋_GB2312"/>
                <w:bCs/>
                <w:sz w:val="28"/>
                <w:szCs w:val="28"/>
                <w:highlight w:val="none"/>
                <w:lang w:val="en-US" w:eastAsia="zh-CN"/>
              </w:rPr>
              <w:t>78.78</w:t>
            </w:r>
            <w:r>
              <w:rPr>
                <w:rFonts w:ascii="仿宋_GB2312" w:hAnsi="仿宋_GB2312" w:eastAsia="仿宋_GB2312" w:cs="仿宋_GB2312"/>
                <w:bCs/>
                <w:sz w:val="28"/>
                <w:szCs w:val="28"/>
                <w:highlight w:val="none"/>
              </w:rPr>
              <w:t>万元</w:t>
            </w:r>
            <w:r>
              <w:rPr>
                <w:rFonts w:hint="eastAsia" w:ascii="仿宋_GB2312" w:hAnsi="仿宋_GB2312" w:eastAsia="仿宋_GB2312" w:cs="仿宋_GB2312"/>
                <w:bCs/>
                <w:sz w:val="28"/>
                <w:szCs w:val="28"/>
                <w:highlight w:val="none"/>
              </w:rPr>
              <w:t>。</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市巴陵戏传承研究院（晓朝宾馆）维修改造项目是一项重要公共文化基础设施建设项目，是非物质文化遗产保护和文化传承的需要，对满足市民精神文化需求、推动文化产业发展、塑造城市文明形象具有重要意义。市政府对项目改造高度重视，其中副市长陈阁辉先后召开4次调度会；5月20日市委副书记、市长李爱武亲临晓朝宾馆现场调度并召开专题会议，并形成相关会议纪要。8月2日省政府发布的《支持岳阳市加快建设省域副中心城市的意见》中要求“促进文化和旅游融合发展，加强城市文化建设，发展文创产业，支持岳阳巴陵戏传承展演中心建设”。目前巴陵戏传承展演中心项目前期工作全部完成，预计年前可以招投标完毕正式开工。</w:t>
            </w:r>
          </w:p>
          <w:p>
            <w:pPr>
              <w:numPr>
                <w:ilvl w:val="0"/>
                <w:numId w:val="2"/>
              </w:num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部门（单位）整体支出绩效情况</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1、迎难而上、多点开花。因新冠疫情反复，我院大型演出活动受到了诸多制约。在困难面前，我们没有消极懈怠、知难而退，而是积极面对、迎难而上。疫情防控稍有起色，我们立即组织多个文艺演出小分队，在严格按照疫情防控指挥部的要求范围内，将优秀文艺作品送进社区、学校、厂矿、基层，在顺利完成送戏下乡演出任务的同时，得到了广大市民群众及师生的赞不绝口。不仅如此，我们在日常创作、演出等繁重的业务工作中，牺牲了许多休息时间，顺利完成了大型传统巴陵戏《审刺客》的复排。该剧由优秀青年演员担纲主演，经过反复打磨，使青年演员的业务实践能力，得到明显提升。公演后，得到了老一辈艺人和同行专家的认同和肯定。</w:t>
            </w:r>
          </w:p>
          <w:p>
            <w:pPr>
              <w:spacing w:line="560" w:lineRule="exact"/>
              <w:ind w:firstLine="560" w:firstLineChars="200"/>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今年恰逢湖南省三年一度的艺术盛会——第七届湖南艺术节。为了在本次艺术盛会上，汇报我院艺术创作成果，充分展示我院创作实力和艺术风采。自2021年底，院班子成员便开始了积极筹划和准备。从剧本的筛选、创作班子的组建到参加剧（节）目的确立，反复征求业内领导专家们的意见、建议，最终决定新创一台大戏（现代花鼓戏《十步桥》），提质打磨一台小戏（花鼓戏《告别》），创作一部声乐作品（歌伴舞《你是天边一轮月》）来参加本次艺术节新创大型舞台剧目展演、新创小戏展演和新创音乐作品展演等多个竞赛单元。截止到2021年12月20日，小戏《告别》、歌伴舞《你是天边一轮月》已完成参赛任务，受到参赛现场评委和观众的好评和喜爱。而新创大型现代花鼓戏《十步桥》由我市著名剧作家、曹禺文学奖（戏剧类）获得者吴傲君先生编剧，著名中青年导演何艺光指导，并集中了省内作曲、舞美、灯光、人物造型、服装设计、等多位知名专家参与该剧的创作。并邀请了一大批退休前取得过骄人业绩退休老艺人，其中多数为获得了高级职称的老艺术家倾情加盟，使该剧增色不少。在全剧组演职员的共同努力下，该局已完成初排、连排、合成、彩排、听取意见建议、修改、打磨、再三彩排等创作流程，将于2022年元月6日赴长沙参加湖南省第七届艺术节新创大型舞台剧目展演，为全省人民奉上一台思想精深、艺术精湛、制作精良的优秀艺术作品。</w:t>
            </w:r>
          </w:p>
          <w:p>
            <w:pPr>
              <w:spacing w:line="560" w:lineRule="exact"/>
              <w:ind w:firstLine="560" w:firstLineChars="200"/>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2、大型活动、精彩纷呈。我院一年来参加多场市级大型演出活动。参加岳阳市“三下乡”集中示范活动暨第二届金色麻塘乡村旅游文化节开幕式文艺演出；赴武汉受邀参加“守正创新·汉韵芬芳”——汉剧流播地区优秀剧目展演；参加为文化部非遗司来岳调研非遗进景区演出；参加市旅游推介会武汉、广州两地演出；组织策划完成了市委市政府组织的《岳阳楼记诞辰975周年》等重大演出活动；参加全市禁毒、消防等大型专题宣传活动，并且深入基层进行巡演。</w:t>
            </w:r>
          </w:p>
          <w:p>
            <w:pPr>
              <w:spacing w:line="560" w:lineRule="exact"/>
              <w:ind w:firstLine="560" w:firstLineChars="200"/>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3、人才培养、薪火相传。我院继续贯彻落实《湖南省文化厅关于实施“名师传艺”工程的通知》和市委组织部、文广新局组织实施的《岳阳市“名师传艺”工程 实施办法》等文件精神，积极开展“名师传艺”工程，委派李政红、李源、刘茂林、彭明、吴三元、方利等高级职称演职员，以“一对一”的传艺方式，促进青年一代演员传承接班本领，选送年轻演员参加“百团百角唱百年”市级决赛活动，罗辑、周末、杨慧、吴青瑶、丁露、方帆入围决赛；今年，我院委托省艺术职业学院培训的30名巴陵戏表演专业学员的业务技能培训进入最为关键的一年，为了让学员们全面掌握巴陵戏的表演技能，提升舞台实践能力，院班子在年初便作出决定，克服一切困难，自2021年暑期开始，将全部学员集中到院进行基本功和剧目的强化训练，并为此制定了详细的教学计划和课程安排，在自有资金本就捉襟见肘的情形下，一方面大力压缩行政开支，一方面积极争取政府及社会各界的支持。先后采取了利用晓朝闲置场地加以维修改造，用于学员集训和剧目教学；根据学员实际情况，优选传统经典折子戏，委派名师进入各剧组教学；专门腾出2设备库房，投资数万元改造成学院食堂，聘请原晓朝宾馆名厨掌勺；配备专门的学习、生活老师加强对学员各方面的管理；利用学员有效参与日常演出，以增加舞台实践能力等诸多有效举措，使学员全面有序地投入到紧张的学习中，成效明显。并在秋季业务考核和汇报演出中得到了上级观摩领导和同行专家们的一致肯定和好评，同时也让我们看到了巴陵戏美好未来。</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4、拓展思路、融合发展。文化是旅游的灵魂，旅游是文化的载体，推动文化与旅游的融合发展，对旅游转型升级和实现文化传承具有非常重要的意义。对于文旅融合，我们拓展思路积极探索，将文化艺术融入到旅游景区之内，从节目形式和内容上创新，上演短小精简而富有地方代表性的戏曲、歌舞、相声等节目50余次，惠及游客近50多万。在为游客提供丰富的文化供给和旅游体验同时，助力拉动景区旅游业的复苏回暖，进一步推动文化和旅游的深度融合，我院将继续推进进旅游景区景点演出常态化。</w:t>
            </w:r>
          </w:p>
          <w:p>
            <w:pPr>
              <w:spacing w:line="560" w:lineRule="exact"/>
              <w:ind w:firstLine="560" w:firstLineChars="200"/>
              <w:rPr>
                <w:rFonts w:hint="eastAsia" w:ascii="黑体" w:hAnsi="黑体" w:eastAsia="黑体" w:cs="黑体"/>
                <w:bCs/>
                <w:sz w:val="28"/>
                <w:szCs w:val="28"/>
                <w:highlight w:val="none"/>
              </w:rPr>
            </w:pPr>
            <w:r>
              <w:rPr>
                <w:rFonts w:hint="eastAsia" w:ascii="黑体" w:hAnsi="黑体" w:eastAsia="黑体" w:cs="黑体"/>
                <w:bCs/>
                <w:sz w:val="28"/>
                <w:szCs w:val="28"/>
                <w:highlight w:val="none"/>
              </w:rPr>
              <w:t>五、存在的主要问题</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预算编制有待更严格的执行。经费支出严格按预算规定项目的财务支出内容进行财务预算，在预算金额内严控费用支出。</w:t>
            </w:r>
          </w:p>
          <w:p>
            <w:pPr>
              <w:spacing w:line="560" w:lineRule="exact"/>
              <w:ind w:firstLine="560" w:firstLineChars="200"/>
              <w:rPr>
                <w:rFonts w:ascii="黑体" w:hAnsi="黑体" w:eastAsia="黑体" w:cs="黑体"/>
                <w:bCs/>
                <w:sz w:val="28"/>
                <w:szCs w:val="28"/>
                <w:highlight w:val="none"/>
              </w:rPr>
            </w:pPr>
            <w:r>
              <w:rPr>
                <w:rFonts w:hint="eastAsia" w:ascii="黑体" w:hAnsi="黑体" w:eastAsia="黑体" w:cs="黑体"/>
                <w:bCs/>
                <w:sz w:val="28"/>
                <w:szCs w:val="28"/>
                <w:highlight w:val="none"/>
              </w:rPr>
              <w:t>六、改进措施和有关建议</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黑体"/>
                <w:bCs/>
                <w:color w:val="000000" w:themeColor="text1"/>
                <w:sz w:val="28"/>
                <w:szCs w:val="28"/>
                <w:lang w:val="en-US"/>
                <w14:textFill>
                  <w14:solidFill>
                    <w14:schemeClr w14:val="tx1"/>
                  </w14:solidFill>
                </w14:textFill>
              </w:rPr>
            </w:pPr>
            <w:r>
              <w:rPr>
                <w:rFonts w:hint="eastAsia" w:ascii="仿宋_GB2312" w:hAnsi="仿宋_GB2312" w:eastAsia="仿宋_GB2312" w:cs="仿宋_GB2312"/>
                <w:bCs/>
                <w:sz w:val="28"/>
                <w:szCs w:val="28"/>
                <w:lang w:val="en-US" w:eastAsia="zh-CN"/>
              </w:rPr>
              <w:t>加强绩效目标管理和审核，将绩效目标设置作为预算安排的前置条件。今后工作中，按照预算规定的项目和用途严格财务工作。</w:t>
            </w:r>
          </w:p>
          <w:p>
            <w:pPr>
              <w:spacing w:line="380" w:lineRule="exact"/>
              <w:ind w:firstLine="560" w:firstLineChars="200"/>
              <w:rPr>
                <w:rFonts w:eastAsia="楷体_GB2312"/>
                <w:bCs/>
                <w:sz w:val="28"/>
                <w:szCs w:val="28"/>
              </w:rPr>
            </w:pPr>
          </w:p>
        </w:tc>
      </w:tr>
    </w:tbl>
    <w:p/>
    <w:p/>
    <w:p>
      <w:pPr>
        <w:spacing w:line="500" w:lineRule="exact"/>
        <w:jc w:val="center"/>
        <w:rPr>
          <w:rFonts w:hint="eastAsia" w:ascii="方正小标宋简体" w:hAnsi="宋体" w:eastAsia="方正小标宋简体" w:cs="宋体"/>
          <w:color w:val="000000" w:themeColor="text1"/>
          <w:kern w:val="0"/>
          <w:sz w:val="44"/>
          <w:szCs w:val="44"/>
          <w:lang w:val="en-US" w:eastAsia="zh-CN"/>
          <w14:textFill>
            <w14:solidFill>
              <w14:schemeClr w14:val="tx1"/>
            </w14:solidFill>
          </w14:textFill>
        </w:rPr>
      </w:pPr>
      <w:r>
        <w:rPr>
          <w:rFonts w:hint="eastAsia" w:ascii="方正小标宋简体" w:hAnsi="宋体" w:eastAsia="方正小标宋简体" w:cs="宋体"/>
          <w:color w:val="000000" w:themeColor="text1"/>
          <w:kern w:val="0"/>
          <w:sz w:val="44"/>
          <w:szCs w:val="44"/>
          <w:lang w:val="en-US" w:eastAsia="zh-CN"/>
          <w14:textFill>
            <w14:solidFill>
              <w14:schemeClr w14:val="tx1"/>
            </w14:solidFill>
          </w14:textFill>
        </w:rPr>
        <w:t>岳阳市市博物馆</w:t>
      </w:r>
    </w:p>
    <w:p>
      <w:pPr>
        <w:spacing w:line="500" w:lineRule="exact"/>
        <w:jc w:val="center"/>
        <w:rPr>
          <w:rFonts w:ascii="仿宋" w:hAnsi="仿宋" w:eastAsia="仿宋" w:cs="仿宋"/>
          <w:color w:val="000000" w:themeColor="text1"/>
          <w:kern w:val="0"/>
          <w:sz w:val="32"/>
          <w:szCs w:val="32"/>
          <w14:textFill>
            <w14:solidFill>
              <w14:schemeClr w14:val="tx1"/>
            </w14:solidFill>
          </w14:textFill>
        </w:rPr>
      </w:pPr>
      <w:r>
        <w:rPr>
          <w:rFonts w:hint="eastAsia" w:ascii="方正小标宋简体" w:hAnsi="宋体" w:eastAsia="方正小标宋简体" w:cs="宋体"/>
          <w:color w:val="000000" w:themeColor="text1"/>
          <w:kern w:val="0"/>
          <w:sz w:val="44"/>
          <w:szCs w:val="44"/>
          <w14:textFill>
            <w14:solidFill>
              <w14:schemeClr w14:val="tx1"/>
            </w14:solidFill>
          </w14:textFill>
        </w:rPr>
        <w:t>部门整体支出绩效评价自评表</w:t>
      </w:r>
    </w:p>
    <w:tbl>
      <w:tblPr>
        <w:tblStyle w:val="6"/>
        <w:tblpPr w:leftFromText="180" w:rightFromText="180" w:vertAnchor="text" w:horzAnchor="page" w:tblpXSpec="center" w:tblpY="591"/>
        <w:tblOverlap w:val="never"/>
        <w:tblW w:w="10200" w:type="dxa"/>
        <w:jc w:val="center"/>
        <w:tblLayout w:type="fixed"/>
        <w:tblCellMar>
          <w:top w:w="0" w:type="dxa"/>
          <w:left w:w="108" w:type="dxa"/>
          <w:bottom w:w="0" w:type="dxa"/>
          <w:right w:w="108" w:type="dxa"/>
        </w:tblCellMar>
      </w:tblPr>
      <w:tblGrid>
        <w:gridCol w:w="1200"/>
        <w:gridCol w:w="1160"/>
        <w:gridCol w:w="1520"/>
        <w:gridCol w:w="3740"/>
        <w:gridCol w:w="580"/>
        <w:gridCol w:w="700"/>
        <w:gridCol w:w="1300"/>
      </w:tblGrid>
      <w:tr>
        <w:tblPrEx>
          <w:tblCellMar>
            <w:top w:w="0" w:type="dxa"/>
            <w:left w:w="108" w:type="dxa"/>
            <w:bottom w:w="0" w:type="dxa"/>
            <w:right w:w="108" w:type="dxa"/>
          </w:tblCellMar>
        </w:tblPrEx>
        <w:trPr>
          <w:trHeight w:val="498" w:hRule="atLeast"/>
          <w:tblHeader/>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黑体" w:hAnsi="黑体" w:eastAsia="黑体" w:cs="宋体"/>
                <w:color w:val="000000" w:themeColor="text1"/>
                <w:kern w:val="0"/>
                <w:sz w:val="20"/>
                <w14:textFill>
                  <w14:solidFill>
                    <w14:schemeClr w14:val="tx1"/>
                  </w14:solidFill>
                </w14:textFill>
              </w:rPr>
            </w:pPr>
            <w:r>
              <w:rPr>
                <w:rFonts w:hint="eastAsia" w:ascii="黑体" w:hAnsi="黑体" w:eastAsia="黑体" w:cs="宋体"/>
                <w:color w:val="000000" w:themeColor="text1"/>
                <w:kern w:val="0"/>
                <w:sz w:val="20"/>
                <w14:textFill>
                  <w14:solidFill>
                    <w14:schemeClr w14:val="tx1"/>
                  </w14:solidFill>
                </w14:textFill>
              </w:rPr>
              <w:t>一级指标</w:t>
            </w:r>
          </w:p>
        </w:tc>
        <w:tc>
          <w:tcPr>
            <w:tcW w:w="11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黑体" w:hAnsi="黑体" w:eastAsia="黑体" w:cs="宋体"/>
                <w:color w:val="000000" w:themeColor="text1"/>
                <w:kern w:val="0"/>
                <w:sz w:val="20"/>
                <w14:textFill>
                  <w14:solidFill>
                    <w14:schemeClr w14:val="tx1"/>
                  </w14:solidFill>
                </w14:textFill>
              </w:rPr>
            </w:pPr>
            <w:r>
              <w:rPr>
                <w:rFonts w:hint="eastAsia" w:ascii="黑体" w:hAnsi="黑体" w:eastAsia="黑体" w:cs="宋体"/>
                <w:color w:val="000000" w:themeColor="text1"/>
                <w:kern w:val="0"/>
                <w:sz w:val="20"/>
                <w14:textFill>
                  <w14:solidFill>
                    <w14:schemeClr w14:val="tx1"/>
                  </w14:solidFill>
                </w14:textFill>
              </w:rPr>
              <w:t>二级指标</w:t>
            </w:r>
          </w:p>
        </w:tc>
        <w:tc>
          <w:tcPr>
            <w:tcW w:w="152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黑体" w:hAnsi="黑体" w:eastAsia="黑体" w:cs="宋体"/>
                <w:color w:val="000000" w:themeColor="text1"/>
                <w:kern w:val="0"/>
                <w:sz w:val="20"/>
                <w14:textFill>
                  <w14:solidFill>
                    <w14:schemeClr w14:val="tx1"/>
                  </w14:solidFill>
                </w14:textFill>
              </w:rPr>
            </w:pPr>
            <w:r>
              <w:rPr>
                <w:rFonts w:hint="eastAsia" w:ascii="黑体" w:hAnsi="黑体" w:eastAsia="黑体" w:cs="宋体"/>
                <w:color w:val="000000" w:themeColor="text1"/>
                <w:kern w:val="0"/>
                <w:sz w:val="20"/>
                <w14:textFill>
                  <w14:solidFill>
                    <w14:schemeClr w14:val="tx1"/>
                  </w14:solidFill>
                </w14:textFill>
              </w:rPr>
              <w:t>三级指标</w:t>
            </w:r>
          </w:p>
        </w:tc>
        <w:tc>
          <w:tcPr>
            <w:tcW w:w="374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黑体" w:hAnsi="黑体" w:eastAsia="黑体" w:cs="宋体"/>
                <w:color w:val="000000" w:themeColor="text1"/>
                <w:kern w:val="0"/>
                <w:sz w:val="20"/>
                <w14:textFill>
                  <w14:solidFill>
                    <w14:schemeClr w14:val="tx1"/>
                  </w14:solidFill>
                </w14:textFill>
              </w:rPr>
            </w:pPr>
            <w:r>
              <w:rPr>
                <w:rFonts w:hint="eastAsia" w:ascii="黑体" w:hAnsi="黑体" w:eastAsia="黑体" w:cs="宋体"/>
                <w:color w:val="000000" w:themeColor="text1"/>
                <w:kern w:val="0"/>
                <w:sz w:val="20"/>
                <w14:textFill>
                  <w14:solidFill>
                    <w14:schemeClr w14:val="tx1"/>
                  </w14:solidFill>
                </w14:textFill>
              </w:rPr>
              <w:t>评分标准</w:t>
            </w:r>
          </w:p>
        </w:tc>
        <w:tc>
          <w:tcPr>
            <w:tcW w:w="58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黑体" w:hAnsi="黑体" w:eastAsia="黑体" w:cs="宋体"/>
                <w:color w:val="000000" w:themeColor="text1"/>
                <w:kern w:val="0"/>
                <w:sz w:val="20"/>
                <w14:textFill>
                  <w14:solidFill>
                    <w14:schemeClr w14:val="tx1"/>
                  </w14:solidFill>
                </w14:textFill>
              </w:rPr>
            </w:pPr>
            <w:r>
              <w:rPr>
                <w:rFonts w:hint="eastAsia" w:ascii="黑体" w:hAnsi="黑体" w:eastAsia="黑体" w:cs="宋体"/>
                <w:color w:val="000000" w:themeColor="text1"/>
                <w:kern w:val="0"/>
                <w:sz w:val="20"/>
                <w14:textFill>
                  <w14:solidFill>
                    <w14:schemeClr w14:val="tx1"/>
                  </w14:solidFill>
                </w14:textFill>
              </w:rPr>
              <w:t>分值</w:t>
            </w:r>
          </w:p>
        </w:tc>
        <w:tc>
          <w:tcPr>
            <w:tcW w:w="70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黑体" w:hAnsi="黑体" w:eastAsia="黑体" w:cs="宋体"/>
                <w:color w:val="000000" w:themeColor="text1"/>
                <w:kern w:val="0"/>
                <w:sz w:val="20"/>
                <w14:textFill>
                  <w14:solidFill>
                    <w14:schemeClr w14:val="tx1"/>
                  </w14:solidFill>
                </w14:textFill>
              </w:rPr>
            </w:pPr>
            <w:r>
              <w:rPr>
                <w:rFonts w:hint="eastAsia" w:ascii="黑体" w:hAnsi="黑体" w:eastAsia="黑体" w:cs="宋体"/>
                <w:color w:val="000000" w:themeColor="text1"/>
                <w:kern w:val="0"/>
                <w:sz w:val="20"/>
                <w14:textFill>
                  <w14:solidFill>
                    <w14:schemeClr w14:val="tx1"/>
                  </w14:solidFill>
                </w14:textFill>
              </w:rPr>
              <w:t>自评得分</w:t>
            </w:r>
          </w:p>
        </w:tc>
        <w:tc>
          <w:tcPr>
            <w:tcW w:w="130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黑体" w:hAnsi="黑体" w:eastAsia="黑体" w:cs="宋体"/>
                <w:color w:val="000000" w:themeColor="text1"/>
                <w:kern w:val="0"/>
                <w:sz w:val="20"/>
                <w14:textFill>
                  <w14:solidFill>
                    <w14:schemeClr w14:val="tx1"/>
                  </w14:solidFill>
                </w14:textFill>
              </w:rPr>
            </w:pPr>
            <w:r>
              <w:rPr>
                <w:rFonts w:hint="eastAsia" w:ascii="黑体" w:hAnsi="黑体" w:eastAsia="黑体" w:cs="宋体"/>
                <w:color w:val="000000" w:themeColor="text1"/>
                <w:kern w:val="0"/>
                <w:sz w:val="20"/>
                <w14:textFill>
                  <w14:solidFill>
                    <w14:schemeClr w14:val="tx1"/>
                  </w14:solidFill>
                </w14:textFill>
              </w:rPr>
              <w:t>扣分原因和其他说明</w:t>
            </w:r>
          </w:p>
        </w:tc>
      </w:tr>
      <w:tr>
        <w:tblPrEx>
          <w:tblCellMar>
            <w:top w:w="0" w:type="dxa"/>
            <w:left w:w="108" w:type="dxa"/>
            <w:bottom w:w="0" w:type="dxa"/>
            <w:right w:w="108" w:type="dxa"/>
          </w:tblCellMar>
        </w:tblPrEx>
        <w:trPr>
          <w:trHeight w:val="855" w:hRule="atLeast"/>
          <w:jc w:val="center"/>
        </w:trPr>
        <w:tc>
          <w:tcPr>
            <w:tcW w:w="120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投  入</w:t>
            </w:r>
          </w:p>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（15分）</w:t>
            </w:r>
          </w:p>
        </w:tc>
        <w:tc>
          <w:tcPr>
            <w:tcW w:w="116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预算配置</w:t>
            </w:r>
          </w:p>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（15分）</w:t>
            </w:r>
          </w:p>
        </w:tc>
        <w:tc>
          <w:tcPr>
            <w:tcW w:w="15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财政供养人员</w:t>
            </w:r>
          </w:p>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控制率</w:t>
            </w:r>
          </w:p>
        </w:tc>
        <w:tc>
          <w:tcPr>
            <w:tcW w:w="3740" w:type="dxa"/>
            <w:tcBorders>
              <w:top w:val="nil"/>
              <w:left w:val="nil"/>
              <w:bottom w:val="single" w:color="auto" w:sz="4" w:space="0"/>
              <w:right w:val="single" w:color="auto" w:sz="4" w:space="0"/>
            </w:tcBorders>
            <w:vAlign w:val="center"/>
          </w:tcPr>
          <w:p>
            <w:pPr>
              <w:widowControl/>
              <w:spacing w:line="200" w:lineRule="exact"/>
              <w:jc w:val="left"/>
              <w:rPr>
                <w:rFonts w:ascii="仿宋_GB2312" w:hAnsi="宋体" w:cs="宋体"/>
                <w:color w:val="000000" w:themeColor="text1"/>
                <w:kern w:val="0"/>
                <w:sz w:val="20"/>
                <w:szCs w:val="20"/>
                <w14:textFill>
                  <w14:solidFill>
                    <w14:schemeClr w14:val="tx1"/>
                  </w14:solidFill>
                </w14:textFill>
              </w:rPr>
            </w:pPr>
            <w:r>
              <w:rPr>
                <w:rFonts w:hint="eastAsia" w:ascii="仿宋_GB2312" w:hAnsi="宋体" w:cs="宋体"/>
                <w:color w:val="000000" w:themeColor="text1"/>
                <w:kern w:val="0"/>
                <w:sz w:val="20"/>
                <w:szCs w:val="20"/>
                <w14:textFill>
                  <w14:solidFill>
                    <w14:schemeClr w14:val="tx1"/>
                  </w14:solidFill>
                </w14:textFill>
              </w:rPr>
              <w:t>以100%为标准。在职人员控制率</w:t>
            </w:r>
            <w:r>
              <w:rPr>
                <w:rFonts w:hint="eastAsia" w:ascii="宋体" w:hAnsi="宋体" w:cs="宋体"/>
                <w:color w:val="000000" w:themeColor="text1"/>
                <w:kern w:val="0"/>
                <w:sz w:val="20"/>
                <w:szCs w:val="20"/>
                <w14:textFill>
                  <w14:solidFill>
                    <w14:schemeClr w14:val="tx1"/>
                  </w14:solidFill>
                </w14:textFill>
              </w:rPr>
              <w:t>≦</w:t>
            </w:r>
            <w:r>
              <w:rPr>
                <w:rFonts w:hint="eastAsia" w:ascii="仿宋_GB2312" w:hAnsi="宋体" w:cs="宋体"/>
                <w:color w:val="000000" w:themeColor="text1"/>
                <w:kern w:val="0"/>
                <w:sz w:val="20"/>
                <w:szCs w:val="20"/>
                <w14:textFill>
                  <w14:solidFill>
                    <w14:schemeClr w14:val="tx1"/>
                  </w14:solidFill>
                </w14:textFill>
              </w:rPr>
              <w:t>100%，计5分；每超过一个百分点扣0.5分，扣完为止。</w:t>
            </w:r>
          </w:p>
        </w:tc>
        <w:tc>
          <w:tcPr>
            <w:tcW w:w="5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5</w:t>
            </w:r>
          </w:p>
        </w:tc>
        <w:tc>
          <w:tcPr>
            <w:tcW w:w="70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　5</w:t>
            </w:r>
          </w:p>
        </w:tc>
        <w:tc>
          <w:tcPr>
            <w:tcW w:w="130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　</w:t>
            </w:r>
          </w:p>
        </w:tc>
      </w:tr>
      <w:tr>
        <w:tblPrEx>
          <w:tblCellMar>
            <w:top w:w="0" w:type="dxa"/>
            <w:left w:w="108" w:type="dxa"/>
            <w:bottom w:w="0" w:type="dxa"/>
            <w:right w:w="108" w:type="dxa"/>
          </w:tblCellMar>
        </w:tblPrEx>
        <w:trPr>
          <w:trHeight w:val="720" w:hRule="atLeast"/>
          <w:jc w:val="center"/>
        </w:trPr>
        <w:tc>
          <w:tcPr>
            <w:tcW w:w="120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cs="宋体"/>
                <w:color w:val="000000" w:themeColor="text1"/>
                <w:kern w:val="0"/>
                <w:sz w:val="20"/>
                <w14:textFill>
                  <w14:solidFill>
                    <w14:schemeClr w14:val="tx1"/>
                  </w14:solidFill>
                </w14:textFill>
              </w:rPr>
            </w:pPr>
          </w:p>
        </w:tc>
        <w:tc>
          <w:tcPr>
            <w:tcW w:w="116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cs="宋体"/>
                <w:color w:val="000000" w:themeColor="text1"/>
                <w:kern w:val="0"/>
                <w:sz w:val="20"/>
                <w14:textFill>
                  <w14:solidFill>
                    <w14:schemeClr w14:val="tx1"/>
                  </w14:solidFill>
                </w14:textFill>
              </w:rPr>
            </w:pPr>
          </w:p>
        </w:tc>
        <w:tc>
          <w:tcPr>
            <w:tcW w:w="15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“三公经费”</w:t>
            </w:r>
          </w:p>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变动率</w:t>
            </w:r>
          </w:p>
        </w:tc>
        <w:tc>
          <w:tcPr>
            <w:tcW w:w="3740" w:type="dxa"/>
            <w:tcBorders>
              <w:top w:val="nil"/>
              <w:left w:val="nil"/>
              <w:bottom w:val="single" w:color="auto" w:sz="4" w:space="0"/>
              <w:right w:val="single" w:color="auto" w:sz="4" w:space="0"/>
            </w:tcBorders>
            <w:vAlign w:val="center"/>
          </w:tcPr>
          <w:p>
            <w:pPr>
              <w:widowControl/>
              <w:spacing w:line="200" w:lineRule="exact"/>
              <w:jc w:val="left"/>
              <w:rPr>
                <w:rFonts w:ascii="仿宋_GB2312" w:hAnsi="宋体" w:cs="宋体"/>
                <w:color w:val="000000" w:themeColor="text1"/>
                <w:kern w:val="0"/>
                <w:sz w:val="20"/>
                <w:szCs w:val="20"/>
                <w14:textFill>
                  <w14:solidFill>
                    <w14:schemeClr w14:val="tx1"/>
                  </w14:solidFill>
                </w14:textFill>
              </w:rPr>
            </w:pPr>
            <w:r>
              <w:rPr>
                <w:rFonts w:hint="eastAsia" w:ascii="仿宋_GB2312" w:hAnsi="宋体" w:cs="宋体"/>
                <w:color w:val="000000" w:themeColor="text1"/>
                <w:kern w:val="0"/>
                <w:sz w:val="20"/>
                <w:szCs w:val="20"/>
                <w14:textFill>
                  <w14:solidFill>
                    <w14:schemeClr w14:val="tx1"/>
                  </w14:solidFill>
                </w14:textFill>
              </w:rPr>
              <w:t>“三公经费”变动率</w:t>
            </w:r>
            <w:r>
              <w:rPr>
                <w:rFonts w:hint="eastAsia" w:ascii="宋体" w:hAnsi="宋体" w:cs="宋体"/>
                <w:color w:val="000000" w:themeColor="text1"/>
                <w:kern w:val="0"/>
                <w:sz w:val="20"/>
                <w:szCs w:val="20"/>
                <w14:textFill>
                  <w14:solidFill>
                    <w14:schemeClr w14:val="tx1"/>
                  </w14:solidFill>
                </w14:textFill>
              </w:rPr>
              <w:t>≦</w:t>
            </w:r>
            <w:r>
              <w:rPr>
                <w:rFonts w:hint="eastAsia" w:ascii="仿宋_GB2312" w:hAnsi="宋体" w:cs="宋体"/>
                <w:color w:val="000000" w:themeColor="text1"/>
                <w:kern w:val="0"/>
                <w:sz w:val="20"/>
                <w:szCs w:val="20"/>
                <w14:textFill>
                  <w14:solidFill>
                    <w14:schemeClr w14:val="tx1"/>
                  </w14:solidFill>
                </w14:textFill>
              </w:rPr>
              <w:t>0,计5分；</w:t>
            </w:r>
          </w:p>
          <w:p>
            <w:pPr>
              <w:widowControl/>
              <w:spacing w:line="200" w:lineRule="exact"/>
              <w:jc w:val="left"/>
              <w:rPr>
                <w:rFonts w:ascii="仿宋_GB2312" w:hAnsi="宋体" w:cs="宋体"/>
                <w:color w:val="000000" w:themeColor="text1"/>
                <w:kern w:val="0"/>
                <w:sz w:val="20"/>
                <w:szCs w:val="20"/>
                <w14:textFill>
                  <w14:solidFill>
                    <w14:schemeClr w14:val="tx1"/>
                  </w14:solidFill>
                </w14:textFill>
              </w:rPr>
            </w:pPr>
            <w:r>
              <w:rPr>
                <w:rFonts w:hint="eastAsia" w:ascii="仿宋_GB2312" w:hAnsi="宋体" w:cs="宋体"/>
                <w:color w:val="000000" w:themeColor="text1"/>
                <w:kern w:val="0"/>
                <w:sz w:val="20"/>
                <w:szCs w:val="20"/>
                <w14:textFill>
                  <w14:solidFill>
                    <w14:schemeClr w14:val="tx1"/>
                  </w14:solidFill>
                </w14:textFill>
              </w:rPr>
              <w:t>“三公经费”＞0，每超过一个百分点扣0.5分，扣完为止。</w:t>
            </w:r>
          </w:p>
        </w:tc>
        <w:tc>
          <w:tcPr>
            <w:tcW w:w="5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5</w:t>
            </w:r>
          </w:p>
        </w:tc>
        <w:tc>
          <w:tcPr>
            <w:tcW w:w="70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　5</w:t>
            </w:r>
          </w:p>
        </w:tc>
        <w:tc>
          <w:tcPr>
            <w:tcW w:w="130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　</w:t>
            </w:r>
          </w:p>
        </w:tc>
      </w:tr>
      <w:tr>
        <w:tblPrEx>
          <w:tblCellMar>
            <w:top w:w="0" w:type="dxa"/>
            <w:left w:w="108" w:type="dxa"/>
            <w:bottom w:w="0" w:type="dxa"/>
            <w:right w:w="108" w:type="dxa"/>
          </w:tblCellMar>
        </w:tblPrEx>
        <w:trPr>
          <w:trHeight w:val="960" w:hRule="atLeast"/>
          <w:jc w:val="center"/>
        </w:trPr>
        <w:tc>
          <w:tcPr>
            <w:tcW w:w="120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cs="宋体"/>
                <w:color w:val="000000" w:themeColor="text1"/>
                <w:kern w:val="0"/>
                <w:sz w:val="20"/>
                <w14:textFill>
                  <w14:solidFill>
                    <w14:schemeClr w14:val="tx1"/>
                  </w14:solidFill>
                </w14:textFill>
              </w:rPr>
            </w:pPr>
          </w:p>
        </w:tc>
        <w:tc>
          <w:tcPr>
            <w:tcW w:w="116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cs="宋体"/>
                <w:color w:val="000000" w:themeColor="text1"/>
                <w:kern w:val="0"/>
                <w:sz w:val="20"/>
                <w14:textFill>
                  <w14:solidFill>
                    <w14:schemeClr w14:val="tx1"/>
                  </w14:solidFill>
                </w14:textFill>
              </w:rPr>
            </w:pPr>
          </w:p>
        </w:tc>
        <w:tc>
          <w:tcPr>
            <w:tcW w:w="15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重点支出</w:t>
            </w:r>
          </w:p>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安排率</w:t>
            </w:r>
          </w:p>
        </w:tc>
        <w:tc>
          <w:tcPr>
            <w:tcW w:w="3740" w:type="dxa"/>
            <w:tcBorders>
              <w:top w:val="nil"/>
              <w:left w:val="nil"/>
              <w:bottom w:val="single" w:color="auto" w:sz="4" w:space="0"/>
              <w:right w:val="single" w:color="auto" w:sz="4" w:space="0"/>
            </w:tcBorders>
            <w:vAlign w:val="center"/>
          </w:tcPr>
          <w:p>
            <w:pPr>
              <w:widowControl/>
              <w:spacing w:line="200" w:lineRule="exact"/>
              <w:jc w:val="left"/>
              <w:rPr>
                <w:rFonts w:ascii="仿宋_GB2312" w:hAnsi="宋体" w:cs="宋体"/>
                <w:color w:val="000000" w:themeColor="text1"/>
                <w:kern w:val="0"/>
                <w:sz w:val="20"/>
                <w:szCs w:val="20"/>
                <w14:textFill>
                  <w14:solidFill>
                    <w14:schemeClr w14:val="tx1"/>
                  </w14:solidFill>
                </w14:textFill>
              </w:rPr>
            </w:pPr>
            <w:r>
              <w:rPr>
                <w:rFonts w:hint="eastAsia" w:ascii="仿宋_GB2312" w:hAnsi="宋体" w:cs="宋体"/>
                <w:color w:val="000000" w:themeColor="text1"/>
                <w:kern w:val="0"/>
                <w:sz w:val="20"/>
                <w:szCs w:val="20"/>
                <w14:textFill>
                  <w14:solidFill>
                    <w14:schemeClr w14:val="tx1"/>
                  </w14:solidFill>
                </w14:textFill>
              </w:rPr>
              <w:t>重点支出安排率≥90%，计5分；80%（含）-90%，计4分；70%（含）-80%，计3分；60%（含）-70%，计2分；低于60%不得分。</w:t>
            </w:r>
          </w:p>
        </w:tc>
        <w:tc>
          <w:tcPr>
            <w:tcW w:w="5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5</w:t>
            </w:r>
          </w:p>
        </w:tc>
        <w:tc>
          <w:tcPr>
            <w:tcW w:w="70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　5</w:t>
            </w:r>
          </w:p>
        </w:tc>
        <w:tc>
          <w:tcPr>
            <w:tcW w:w="130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　</w:t>
            </w:r>
          </w:p>
        </w:tc>
      </w:tr>
      <w:tr>
        <w:tblPrEx>
          <w:tblCellMar>
            <w:top w:w="0" w:type="dxa"/>
            <w:left w:w="108" w:type="dxa"/>
            <w:bottom w:w="0" w:type="dxa"/>
            <w:right w:w="108" w:type="dxa"/>
          </w:tblCellMar>
        </w:tblPrEx>
        <w:trPr>
          <w:trHeight w:val="960" w:hRule="atLeast"/>
          <w:jc w:val="center"/>
        </w:trPr>
        <w:tc>
          <w:tcPr>
            <w:tcW w:w="120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过  程</w:t>
            </w:r>
          </w:p>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（40分）</w:t>
            </w:r>
          </w:p>
        </w:tc>
        <w:tc>
          <w:tcPr>
            <w:tcW w:w="116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预算执行</w:t>
            </w:r>
          </w:p>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（15分）</w:t>
            </w:r>
          </w:p>
        </w:tc>
        <w:tc>
          <w:tcPr>
            <w:tcW w:w="15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预算调整率</w:t>
            </w:r>
          </w:p>
        </w:tc>
        <w:tc>
          <w:tcPr>
            <w:tcW w:w="3740" w:type="dxa"/>
            <w:tcBorders>
              <w:top w:val="nil"/>
              <w:left w:val="nil"/>
              <w:bottom w:val="single" w:color="auto" w:sz="4" w:space="0"/>
              <w:right w:val="single" w:color="auto" w:sz="4" w:space="0"/>
            </w:tcBorders>
            <w:vAlign w:val="center"/>
          </w:tcPr>
          <w:p>
            <w:pPr>
              <w:widowControl/>
              <w:spacing w:line="200" w:lineRule="exact"/>
              <w:jc w:val="left"/>
              <w:rPr>
                <w:rFonts w:ascii="仿宋_GB2312" w:hAnsi="宋体" w:cs="宋体"/>
                <w:color w:val="000000" w:themeColor="text1"/>
                <w:kern w:val="0"/>
                <w:sz w:val="20"/>
                <w:szCs w:val="20"/>
                <w14:textFill>
                  <w14:solidFill>
                    <w14:schemeClr w14:val="tx1"/>
                  </w14:solidFill>
                </w14:textFill>
              </w:rPr>
            </w:pPr>
            <w:r>
              <w:rPr>
                <w:rFonts w:hint="eastAsia" w:ascii="仿宋_GB2312" w:hAnsi="宋体" w:cs="宋体"/>
                <w:color w:val="000000" w:themeColor="text1"/>
                <w:kern w:val="0"/>
                <w:sz w:val="20"/>
                <w:szCs w:val="20"/>
                <w14:textFill>
                  <w14:solidFill>
                    <w14:schemeClr w14:val="tx1"/>
                  </w14:solidFill>
                </w14:textFill>
              </w:rPr>
              <w:t>预算调整率=0，计3分；0-10%（含），计2分；10-20%（含），计1分；20-30%（含），计0.5分；大于30%不得分。</w:t>
            </w:r>
          </w:p>
        </w:tc>
        <w:tc>
          <w:tcPr>
            <w:tcW w:w="5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3</w:t>
            </w:r>
          </w:p>
        </w:tc>
        <w:tc>
          <w:tcPr>
            <w:tcW w:w="70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3　</w:t>
            </w:r>
          </w:p>
        </w:tc>
        <w:tc>
          <w:tcPr>
            <w:tcW w:w="130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　</w:t>
            </w:r>
          </w:p>
        </w:tc>
      </w:tr>
      <w:tr>
        <w:tblPrEx>
          <w:tblCellMar>
            <w:top w:w="0" w:type="dxa"/>
            <w:left w:w="108" w:type="dxa"/>
            <w:bottom w:w="0" w:type="dxa"/>
            <w:right w:w="108" w:type="dxa"/>
          </w:tblCellMar>
        </w:tblPrEx>
        <w:trPr>
          <w:trHeight w:val="1020" w:hRule="atLeast"/>
          <w:jc w:val="center"/>
        </w:trPr>
        <w:tc>
          <w:tcPr>
            <w:tcW w:w="120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cs="宋体"/>
                <w:color w:val="000000" w:themeColor="text1"/>
                <w:kern w:val="0"/>
                <w:sz w:val="20"/>
                <w14:textFill>
                  <w14:solidFill>
                    <w14:schemeClr w14:val="tx1"/>
                  </w14:solidFill>
                </w14:textFill>
              </w:rPr>
            </w:pPr>
          </w:p>
        </w:tc>
        <w:tc>
          <w:tcPr>
            <w:tcW w:w="116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cs="宋体"/>
                <w:color w:val="000000" w:themeColor="text1"/>
                <w:kern w:val="0"/>
                <w:sz w:val="20"/>
                <w14:textFill>
                  <w14:solidFill>
                    <w14:schemeClr w14:val="tx1"/>
                  </w14:solidFill>
                </w14:textFill>
              </w:rPr>
            </w:pPr>
          </w:p>
        </w:tc>
        <w:tc>
          <w:tcPr>
            <w:tcW w:w="15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支付进度</w:t>
            </w:r>
          </w:p>
        </w:tc>
        <w:tc>
          <w:tcPr>
            <w:tcW w:w="3740" w:type="dxa"/>
            <w:tcBorders>
              <w:top w:val="nil"/>
              <w:left w:val="nil"/>
              <w:bottom w:val="single" w:color="auto" w:sz="4" w:space="0"/>
              <w:right w:val="single" w:color="auto" w:sz="4" w:space="0"/>
            </w:tcBorders>
            <w:vAlign w:val="center"/>
          </w:tcPr>
          <w:p>
            <w:pPr>
              <w:widowControl/>
              <w:spacing w:line="200" w:lineRule="exact"/>
              <w:jc w:val="left"/>
              <w:rPr>
                <w:rFonts w:ascii="仿宋_GB2312" w:hAnsi="宋体" w:cs="宋体"/>
                <w:color w:val="000000" w:themeColor="text1"/>
                <w:kern w:val="0"/>
                <w:sz w:val="20"/>
                <w:szCs w:val="20"/>
                <w14:textFill>
                  <w14:solidFill>
                    <w14:schemeClr w14:val="tx1"/>
                  </w14:solidFill>
                </w14:textFill>
              </w:rPr>
            </w:pPr>
            <w:r>
              <w:rPr>
                <w:rFonts w:hint="eastAsia" w:ascii="仿宋_GB2312" w:hAnsi="宋体" w:cs="宋体"/>
                <w:color w:val="000000" w:themeColor="text1"/>
                <w:kern w:val="0"/>
                <w:sz w:val="20"/>
                <w:szCs w:val="20"/>
                <w14:textFill>
                  <w14:solidFill>
                    <w14:schemeClr w14:val="tx1"/>
                  </w14:solidFill>
                </w14:textFill>
              </w:rPr>
              <w:t>春节前下达全部专项资金的50%；6月底前所有专项资金指标全部下达完。</w:t>
            </w:r>
          </w:p>
          <w:p>
            <w:pPr>
              <w:widowControl/>
              <w:spacing w:line="200" w:lineRule="exact"/>
              <w:jc w:val="left"/>
              <w:rPr>
                <w:rFonts w:ascii="仿宋_GB2312" w:hAnsi="宋体" w:cs="宋体"/>
                <w:color w:val="000000" w:themeColor="text1"/>
                <w:kern w:val="0"/>
                <w:sz w:val="20"/>
                <w:szCs w:val="20"/>
                <w14:textFill>
                  <w14:solidFill>
                    <w14:schemeClr w14:val="tx1"/>
                  </w14:solidFill>
                </w14:textFill>
              </w:rPr>
            </w:pPr>
            <w:r>
              <w:rPr>
                <w:rFonts w:hint="eastAsia" w:ascii="仿宋_GB2312" w:hAnsi="宋体" w:cs="宋体"/>
                <w:color w:val="000000" w:themeColor="text1"/>
                <w:kern w:val="0"/>
                <w:sz w:val="20"/>
                <w:szCs w:val="20"/>
                <w14:textFill>
                  <w14:solidFill>
                    <w14:schemeClr w14:val="tx1"/>
                  </w14:solidFill>
                </w14:textFill>
              </w:rPr>
              <w:t>每出现一个专项未按进度完成资金下达扣0.5分，扣完为止。</w:t>
            </w:r>
          </w:p>
        </w:tc>
        <w:tc>
          <w:tcPr>
            <w:tcW w:w="5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3</w:t>
            </w:r>
          </w:p>
        </w:tc>
        <w:tc>
          <w:tcPr>
            <w:tcW w:w="70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　3</w:t>
            </w:r>
          </w:p>
        </w:tc>
        <w:tc>
          <w:tcPr>
            <w:tcW w:w="130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　</w:t>
            </w:r>
          </w:p>
        </w:tc>
      </w:tr>
      <w:tr>
        <w:tblPrEx>
          <w:tblCellMar>
            <w:top w:w="0" w:type="dxa"/>
            <w:left w:w="108" w:type="dxa"/>
            <w:bottom w:w="0" w:type="dxa"/>
            <w:right w:w="108" w:type="dxa"/>
          </w:tblCellMar>
        </w:tblPrEx>
        <w:trPr>
          <w:trHeight w:val="720" w:hRule="atLeast"/>
          <w:jc w:val="center"/>
        </w:trPr>
        <w:tc>
          <w:tcPr>
            <w:tcW w:w="120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cs="宋体"/>
                <w:color w:val="000000" w:themeColor="text1"/>
                <w:kern w:val="0"/>
                <w:sz w:val="20"/>
                <w14:textFill>
                  <w14:solidFill>
                    <w14:schemeClr w14:val="tx1"/>
                  </w14:solidFill>
                </w14:textFill>
              </w:rPr>
            </w:pPr>
          </w:p>
        </w:tc>
        <w:tc>
          <w:tcPr>
            <w:tcW w:w="116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cs="宋体"/>
                <w:color w:val="000000" w:themeColor="text1"/>
                <w:kern w:val="0"/>
                <w:sz w:val="20"/>
                <w14:textFill>
                  <w14:solidFill>
                    <w14:schemeClr w14:val="tx1"/>
                  </w14:solidFill>
                </w14:textFill>
              </w:rPr>
            </w:pPr>
          </w:p>
        </w:tc>
        <w:tc>
          <w:tcPr>
            <w:tcW w:w="15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资金结余</w:t>
            </w:r>
          </w:p>
        </w:tc>
        <w:tc>
          <w:tcPr>
            <w:tcW w:w="3740" w:type="dxa"/>
            <w:tcBorders>
              <w:top w:val="nil"/>
              <w:left w:val="nil"/>
              <w:bottom w:val="single" w:color="auto" w:sz="4" w:space="0"/>
              <w:right w:val="single" w:color="auto" w:sz="4" w:space="0"/>
            </w:tcBorders>
            <w:vAlign w:val="center"/>
          </w:tcPr>
          <w:p>
            <w:pPr>
              <w:widowControl/>
              <w:spacing w:line="200" w:lineRule="exact"/>
              <w:jc w:val="left"/>
              <w:rPr>
                <w:rFonts w:ascii="仿宋_GB2312" w:hAnsi="宋体" w:cs="宋体"/>
                <w:color w:val="000000" w:themeColor="text1"/>
                <w:kern w:val="0"/>
                <w:sz w:val="20"/>
                <w:szCs w:val="20"/>
                <w14:textFill>
                  <w14:solidFill>
                    <w14:schemeClr w14:val="tx1"/>
                  </w14:solidFill>
                </w14:textFill>
              </w:rPr>
            </w:pPr>
            <w:r>
              <w:rPr>
                <w:rFonts w:hint="eastAsia" w:ascii="仿宋_GB2312" w:hAnsi="宋体" w:cs="宋体"/>
                <w:color w:val="000000" w:themeColor="text1"/>
                <w:kern w:val="0"/>
                <w:sz w:val="20"/>
                <w:szCs w:val="20"/>
                <w14:textFill>
                  <w14:solidFill>
                    <w14:schemeClr w14:val="tx1"/>
                  </w14:solidFill>
                </w14:textFill>
              </w:rPr>
              <w:t>无结余，3分；有结余，但不超过上年结转，2分；结余超过上年结转，不得分。</w:t>
            </w:r>
          </w:p>
        </w:tc>
        <w:tc>
          <w:tcPr>
            <w:tcW w:w="5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3</w:t>
            </w:r>
          </w:p>
        </w:tc>
        <w:tc>
          <w:tcPr>
            <w:tcW w:w="7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宋体" w:cs="宋体"/>
                <w:color w:val="000000" w:themeColor="text1"/>
                <w:kern w:val="0"/>
                <w:sz w:val="20"/>
                <w:lang w:eastAsia="zh-CN"/>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　</w:t>
            </w:r>
            <w:r>
              <w:rPr>
                <w:rFonts w:hint="eastAsia" w:ascii="仿宋_GB2312" w:hAnsi="宋体" w:cs="宋体"/>
                <w:color w:val="000000" w:themeColor="text1"/>
                <w:kern w:val="0"/>
                <w:sz w:val="20"/>
                <w:lang w:val="en-US" w:eastAsia="zh-CN"/>
                <w14:textFill>
                  <w14:solidFill>
                    <w14:schemeClr w14:val="tx1"/>
                  </w14:solidFill>
                </w14:textFill>
              </w:rPr>
              <w:t>3</w:t>
            </w:r>
          </w:p>
        </w:tc>
        <w:tc>
          <w:tcPr>
            <w:tcW w:w="1300" w:type="dxa"/>
            <w:tcBorders>
              <w:top w:val="nil"/>
              <w:left w:val="nil"/>
              <w:bottom w:val="single" w:color="auto" w:sz="4" w:space="0"/>
              <w:right w:val="single" w:color="auto" w:sz="4" w:space="0"/>
            </w:tcBorders>
            <w:vAlign w:val="center"/>
          </w:tcPr>
          <w:p>
            <w:pPr>
              <w:widowControl/>
              <w:spacing w:line="240" w:lineRule="exact"/>
              <w:jc w:val="left"/>
              <w:rPr>
                <w:rFonts w:hint="default" w:ascii="仿宋_GB2312" w:hAnsi="宋体" w:eastAsia="宋体" w:cs="宋体"/>
                <w:color w:val="000000" w:themeColor="text1"/>
                <w:kern w:val="0"/>
                <w:sz w:val="15"/>
                <w:szCs w:val="15"/>
                <w:lang w:val="en-US" w:eastAsia="zh-CN"/>
                <w14:textFill>
                  <w14:solidFill>
                    <w14:schemeClr w14:val="tx1"/>
                  </w14:solidFill>
                </w14:textFill>
              </w:rPr>
            </w:pPr>
          </w:p>
        </w:tc>
      </w:tr>
      <w:tr>
        <w:tblPrEx>
          <w:tblCellMar>
            <w:top w:w="0" w:type="dxa"/>
            <w:left w:w="108" w:type="dxa"/>
            <w:bottom w:w="0" w:type="dxa"/>
            <w:right w:w="108" w:type="dxa"/>
          </w:tblCellMar>
        </w:tblPrEx>
        <w:trPr>
          <w:trHeight w:val="885" w:hRule="atLeast"/>
          <w:jc w:val="center"/>
        </w:trPr>
        <w:tc>
          <w:tcPr>
            <w:tcW w:w="120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cs="宋体"/>
                <w:color w:val="000000" w:themeColor="text1"/>
                <w:kern w:val="0"/>
                <w:sz w:val="20"/>
                <w14:textFill>
                  <w14:solidFill>
                    <w14:schemeClr w14:val="tx1"/>
                  </w14:solidFill>
                </w14:textFill>
              </w:rPr>
            </w:pPr>
          </w:p>
        </w:tc>
        <w:tc>
          <w:tcPr>
            <w:tcW w:w="116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cs="宋体"/>
                <w:color w:val="000000" w:themeColor="text1"/>
                <w:kern w:val="0"/>
                <w:sz w:val="20"/>
                <w14:textFill>
                  <w14:solidFill>
                    <w14:schemeClr w14:val="tx1"/>
                  </w14:solidFill>
                </w14:textFill>
              </w:rPr>
            </w:pPr>
          </w:p>
        </w:tc>
        <w:tc>
          <w:tcPr>
            <w:tcW w:w="15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“三公经费”</w:t>
            </w:r>
          </w:p>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控制率</w:t>
            </w:r>
          </w:p>
        </w:tc>
        <w:tc>
          <w:tcPr>
            <w:tcW w:w="3740" w:type="dxa"/>
            <w:tcBorders>
              <w:top w:val="nil"/>
              <w:left w:val="nil"/>
              <w:bottom w:val="single" w:color="auto" w:sz="4" w:space="0"/>
              <w:right w:val="single" w:color="auto" w:sz="4" w:space="0"/>
            </w:tcBorders>
            <w:vAlign w:val="center"/>
          </w:tcPr>
          <w:p>
            <w:pPr>
              <w:widowControl/>
              <w:spacing w:line="200" w:lineRule="exact"/>
              <w:jc w:val="left"/>
              <w:rPr>
                <w:rFonts w:ascii="仿宋_GB2312" w:hAnsi="宋体" w:cs="宋体"/>
                <w:color w:val="000000" w:themeColor="text1"/>
                <w:kern w:val="0"/>
                <w:sz w:val="20"/>
                <w:szCs w:val="20"/>
                <w14:textFill>
                  <w14:solidFill>
                    <w14:schemeClr w14:val="tx1"/>
                  </w14:solidFill>
                </w14:textFill>
              </w:rPr>
            </w:pPr>
            <w:r>
              <w:rPr>
                <w:rFonts w:hint="eastAsia" w:ascii="仿宋_GB2312" w:hAnsi="宋体" w:cs="宋体"/>
                <w:color w:val="000000" w:themeColor="text1"/>
                <w:kern w:val="0"/>
                <w:sz w:val="20"/>
                <w:szCs w:val="20"/>
                <w14:textFill>
                  <w14:solidFill>
                    <w14:schemeClr w14:val="tx1"/>
                  </w14:solidFill>
                </w14:textFill>
              </w:rPr>
              <w:t>以100%为标准。三公经费控制率</w:t>
            </w:r>
            <w:r>
              <w:rPr>
                <w:rFonts w:hint="eastAsia" w:ascii="宋体" w:hAnsi="宋体" w:cs="宋体"/>
                <w:color w:val="000000" w:themeColor="text1"/>
                <w:kern w:val="0"/>
                <w:sz w:val="20"/>
                <w:szCs w:val="20"/>
                <w14:textFill>
                  <w14:solidFill>
                    <w14:schemeClr w14:val="tx1"/>
                  </w14:solidFill>
                </w14:textFill>
              </w:rPr>
              <w:t>≦</w:t>
            </w:r>
            <w:r>
              <w:rPr>
                <w:rFonts w:hint="eastAsia" w:ascii="仿宋_GB2312" w:hAnsi="宋体" w:cs="宋体"/>
                <w:color w:val="000000" w:themeColor="text1"/>
                <w:kern w:val="0"/>
                <w:sz w:val="20"/>
                <w:szCs w:val="20"/>
                <w14:textFill>
                  <w14:solidFill>
                    <w14:schemeClr w14:val="tx1"/>
                  </w14:solidFill>
                </w14:textFill>
              </w:rPr>
              <w:t>100%，计6分；</w:t>
            </w:r>
          </w:p>
          <w:p>
            <w:pPr>
              <w:widowControl/>
              <w:spacing w:line="200" w:lineRule="exact"/>
              <w:jc w:val="left"/>
              <w:rPr>
                <w:rFonts w:ascii="仿宋_GB2312" w:hAnsi="宋体" w:cs="宋体"/>
                <w:color w:val="000000" w:themeColor="text1"/>
                <w:kern w:val="0"/>
                <w:sz w:val="20"/>
                <w:szCs w:val="20"/>
                <w14:textFill>
                  <w14:solidFill>
                    <w14:schemeClr w14:val="tx1"/>
                  </w14:solidFill>
                </w14:textFill>
              </w:rPr>
            </w:pPr>
            <w:r>
              <w:rPr>
                <w:rFonts w:hint="eastAsia" w:ascii="仿宋_GB2312" w:hAnsi="宋体" w:cs="宋体"/>
                <w:color w:val="000000" w:themeColor="text1"/>
                <w:kern w:val="0"/>
                <w:sz w:val="20"/>
                <w:szCs w:val="20"/>
                <w14:textFill>
                  <w14:solidFill>
                    <w14:schemeClr w14:val="tx1"/>
                  </w14:solidFill>
                </w14:textFill>
              </w:rPr>
              <w:t>每超过一个百分点扣1分，扣完为止</w:t>
            </w:r>
          </w:p>
        </w:tc>
        <w:tc>
          <w:tcPr>
            <w:tcW w:w="5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6</w:t>
            </w:r>
          </w:p>
        </w:tc>
        <w:tc>
          <w:tcPr>
            <w:tcW w:w="70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　6</w:t>
            </w:r>
          </w:p>
        </w:tc>
        <w:tc>
          <w:tcPr>
            <w:tcW w:w="130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　</w:t>
            </w:r>
          </w:p>
        </w:tc>
      </w:tr>
      <w:tr>
        <w:tblPrEx>
          <w:tblCellMar>
            <w:top w:w="0" w:type="dxa"/>
            <w:left w:w="108" w:type="dxa"/>
            <w:bottom w:w="0" w:type="dxa"/>
            <w:right w:w="108" w:type="dxa"/>
          </w:tblCellMar>
        </w:tblPrEx>
        <w:trPr>
          <w:trHeight w:val="905" w:hRule="atLeast"/>
          <w:jc w:val="center"/>
        </w:trPr>
        <w:tc>
          <w:tcPr>
            <w:tcW w:w="120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cs="宋体"/>
                <w:color w:val="000000" w:themeColor="text1"/>
                <w:kern w:val="0"/>
                <w:sz w:val="20"/>
                <w14:textFill>
                  <w14:solidFill>
                    <w14:schemeClr w14:val="tx1"/>
                  </w14:solidFill>
                </w14:textFill>
              </w:rPr>
            </w:pPr>
          </w:p>
        </w:tc>
        <w:tc>
          <w:tcPr>
            <w:tcW w:w="116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cs="宋体"/>
                <w:color w:val="000000" w:themeColor="text1"/>
                <w:kern w:val="0"/>
                <w:sz w:val="20"/>
                <w14:textFill>
                  <w14:solidFill>
                    <w14:schemeClr w14:val="tx1"/>
                  </w14:solidFill>
                </w14:textFill>
              </w:rPr>
            </w:pPr>
          </w:p>
        </w:tc>
        <w:tc>
          <w:tcPr>
            <w:tcW w:w="15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管理制度</w:t>
            </w:r>
          </w:p>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健全性</w:t>
            </w:r>
          </w:p>
        </w:tc>
        <w:tc>
          <w:tcPr>
            <w:tcW w:w="3740" w:type="dxa"/>
            <w:tcBorders>
              <w:top w:val="nil"/>
              <w:left w:val="nil"/>
              <w:bottom w:val="single" w:color="auto" w:sz="4" w:space="0"/>
              <w:right w:val="single" w:color="auto" w:sz="4" w:space="0"/>
            </w:tcBorders>
            <w:vAlign w:val="center"/>
          </w:tcPr>
          <w:p>
            <w:pPr>
              <w:widowControl/>
              <w:spacing w:line="200" w:lineRule="exact"/>
              <w:jc w:val="left"/>
              <w:rPr>
                <w:rFonts w:ascii="仿宋_GB2312" w:hAnsi="宋体" w:cs="宋体"/>
                <w:color w:val="000000" w:themeColor="text1"/>
                <w:kern w:val="0"/>
                <w:sz w:val="20"/>
                <w:szCs w:val="20"/>
                <w14:textFill>
                  <w14:solidFill>
                    <w14:schemeClr w14:val="tx1"/>
                  </w14:solidFill>
                </w14:textFill>
              </w:rPr>
            </w:pPr>
            <w:r>
              <w:rPr>
                <w:rFonts w:hint="eastAsia" w:ascii="仿宋_GB2312" w:hAnsi="宋体" w:cs="宋体"/>
                <w:color w:val="000000" w:themeColor="text1"/>
                <w:kern w:val="0"/>
                <w:sz w:val="20"/>
                <w:szCs w:val="20"/>
                <w14:textFill>
                  <w14:solidFill>
                    <w14:schemeClr w14:val="tx1"/>
                  </w14:solidFill>
                </w14:textFill>
              </w:rPr>
              <w:t>①已制定或具有预算资金管理办法，内部财务管理制度、会计核算制度等管理制度，1分；</w:t>
            </w:r>
          </w:p>
          <w:p>
            <w:pPr>
              <w:widowControl/>
              <w:spacing w:line="200" w:lineRule="exact"/>
              <w:jc w:val="left"/>
              <w:rPr>
                <w:rFonts w:ascii="仿宋_GB2312" w:hAnsi="宋体" w:cs="宋体"/>
                <w:color w:val="000000" w:themeColor="text1"/>
                <w:kern w:val="0"/>
                <w:sz w:val="20"/>
                <w:szCs w:val="20"/>
                <w14:textFill>
                  <w14:solidFill>
                    <w14:schemeClr w14:val="tx1"/>
                  </w14:solidFill>
                </w14:textFill>
              </w:rPr>
            </w:pPr>
            <w:r>
              <w:rPr>
                <w:rFonts w:hint="eastAsia" w:ascii="仿宋_GB2312" w:hAnsi="宋体" w:cs="宋体"/>
                <w:color w:val="000000" w:themeColor="text1"/>
                <w:kern w:val="0"/>
                <w:sz w:val="20"/>
                <w:szCs w:val="20"/>
                <w14:textFill>
                  <w14:solidFill>
                    <w14:schemeClr w14:val="tx1"/>
                  </w14:solidFill>
                </w14:textFill>
              </w:rPr>
              <w:t>②相关管理制度合法、合规、完整，1分；</w:t>
            </w:r>
          </w:p>
          <w:p>
            <w:pPr>
              <w:widowControl/>
              <w:spacing w:line="200" w:lineRule="exact"/>
              <w:jc w:val="left"/>
              <w:rPr>
                <w:rFonts w:ascii="仿宋_GB2312" w:hAnsi="宋体" w:cs="宋体"/>
                <w:color w:val="000000" w:themeColor="text1"/>
                <w:kern w:val="0"/>
                <w:sz w:val="20"/>
                <w:szCs w:val="20"/>
                <w14:textFill>
                  <w14:solidFill>
                    <w14:schemeClr w14:val="tx1"/>
                  </w14:solidFill>
                </w14:textFill>
              </w:rPr>
            </w:pPr>
            <w:r>
              <w:rPr>
                <w:rFonts w:hint="eastAsia" w:ascii="仿宋_GB2312" w:hAnsi="宋体" w:cs="宋体"/>
                <w:color w:val="000000" w:themeColor="text1"/>
                <w:kern w:val="0"/>
                <w:sz w:val="20"/>
                <w:szCs w:val="20"/>
                <w14:textFill>
                  <w14:solidFill>
                    <w14:schemeClr w14:val="tx1"/>
                  </w14:solidFill>
                </w14:textFill>
              </w:rPr>
              <w:t>③相关管理制度得到有效执行，1分。</w:t>
            </w:r>
          </w:p>
        </w:tc>
        <w:tc>
          <w:tcPr>
            <w:tcW w:w="5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3</w:t>
            </w:r>
          </w:p>
        </w:tc>
        <w:tc>
          <w:tcPr>
            <w:tcW w:w="70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3　</w:t>
            </w:r>
          </w:p>
        </w:tc>
        <w:tc>
          <w:tcPr>
            <w:tcW w:w="130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　</w:t>
            </w:r>
          </w:p>
        </w:tc>
      </w:tr>
      <w:tr>
        <w:tblPrEx>
          <w:tblCellMar>
            <w:top w:w="0" w:type="dxa"/>
            <w:left w:w="108" w:type="dxa"/>
            <w:bottom w:w="0" w:type="dxa"/>
            <w:right w:w="108" w:type="dxa"/>
          </w:tblCellMar>
        </w:tblPrEx>
        <w:trPr>
          <w:trHeight w:val="2194" w:hRule="atLeast"/>
          <w:jc w:val="center"/>
        </w:trPr>
        <w:tc>
          <w:tcPr>
            <w:tcW w:w="120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cs="宋体"/>
                <w:color w:val="000000" w:themeColor="text1"/>
                <w:kern w:val="0"/>
                <w:sz w:val="20"/>
                <w14:textFill>
                  <w14:solidFill>
                    <w14:schemeClr w14:val="tx1"/>
                  </w14:solidFill>
                </w14:textFill>
              </w:rPr>
            </w:pPr>
          </w:p>
        </w:tc>
        <w:tc>
          <w:tcPr>
            <w:tcW w:w="116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cs="宋体"/>
                <w:color w:val="000000" w:themeColor="text1"/>
                <w:kern w:val="0"/>
                <w:sz w:val="20"/>
                <w14:textFill>
                  <w14:solidFill>
                    <w14:schemeClr w14:val="tx1"/>
                  </w14:solidFill>
                </w14:textFill>
              </w:rPr>
            </w:pPr>
          </w:p>
        </w:tc>
        <w:tc>
          <w:tcPr>
            <w:tcW w:w="15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资金使用</w:t>
            </w:r>
          </w:p>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合规性</w:t>
            </w:r>
          </w:p>
        </w:tc>
        <w:tc>
          <w:tcPr>
            <w:tcW w:w="3740" w:type="dxa"/>
            <w:tcBorders>
              <w:top w:val="nil"/>
              <w:left w:val="nil"/>
              <w:bottom w:val="single" w:color="auto" w:sz="4" w:space="0"/>
              <w:right w:val="single" w:color="auto" w:sz="4" w:space="0"/>
            </w:tcBorders>
            <w:vAlign w:val="center"/>
          </w:tcPr>
          <w:p>
            <w:pPr>
              <w:widowControl/>
              <w:spacing w:line="200" w:lineRule="exact"/>
              <w:jc w:val="left"/>
              <w:rPr>
                <w:rFonts w:ascii="仿宋_GB2312" w:hAnsi="宋体" w:cs="宋体"/>
                <w:color w:val="000000" w:themeColor="text1"/>
                <w:kern w:val="0"/>
                <w:sz w:val="20"/>
                <w:szCs w:val="20"/>
                <w14:textFill>
                  <w14:solidFill>
                    <w14:schemeClr w14:val="tx1"/>
                  </w14:solidFill>
                </w14:textFill>
              </w:rPr>
            </w:pPr>
            <w:r>
              <w:rPr>
                <w:rFonts w:hint="eastAsia" w:ascii="仿宋_GB2312" w:hAnsi="宋体" w:cs="宋体"/>
                <w:color w:val="000000" w:themeColor="text1"/>
                <w:kern w:val="0"/>
                <w:sz w:val="20"/>
                <w:szCs w:val="20"/>
                <w14:textFill>
                  <w14:solidFill>
                    <w14:schemeClr w14:val="tx1"/>
                  </w14:solidFill>
                </w14:textFill>
              </w:rPr>
              <w:t>①支出符合国家财经法规和财务管理制度规定以及有关专项资金管理办法的规定；</w:t>
            </w:r>
          </w:p>
          <w:p>
            <w:pPr>
              <w:widowControl/>
              <w:spacing w:line="200" w:lineRule="exact"/>
              <w:jc w:val="left"/>
              <w:rPr>
                <w:rFonts w:ascii="仿宋_GB2312" w:hAnsi="宋体" w:cs="宋体"/>
                <w:color w:val="000000" w:themeColor="text1"/>
                <w:kern w:val="0"/>
                <w:sz w:val="20"/>
                <w:szCs w:val="20"/>
                <w14:textFill>
                  <w14:solidFill>
                    <w14:schemeClr w14:val="tx1"/>
                  </w14:solidFill>
                </w14:textFill>
              </w:rPr>
            </w:pPr>
            <w:r>
              <w:rPr>
                <w:rFonts w:hint="eastAsia" w:ascii="仿宋_GB2312" w:hAnsi="宋体" w:cs="宋体"/>
                <w:color w:val="000000" w:themeColor="text1"/>
                <w:kern w:val="0"/>
                <w:sz w:val="20"/>
                <w:szCs w:val="20"/>
                <w14:textFill>
                  <w14:solidFill>
                    <w14:schemeClr w14:val="tx1"/>
                  </w14:solidFill>
                </w14:textFill>
              </w:rPr>
              <w:t>②资金拨付有完整的审批程序和手续；</w:t>
            </w:r>
          </w:p>
          <w:p>
            <w:pPr>
              <w:widowControl/>
              <w:spacing w:line="200" w:lineRule="exact"/>
              <w:jc w:val="left"/>
              <w:rPr>
                <w:rFonts w:ascii="仿宋_GB2312" w:hAnsi="宋体" w:cs="宋体"/>
                <w:color w:val="000000" w:themeColor="text1"/>
                <w:kern w:val="0"/>
                <w:sz w:val="20"/>
                <w:szCs w:val="20"/>
                <w14:textFill>
                  <w14:solidFill>
                    <w14:schemeClr w14:val="tx1"/>
                  </w14:solidFill>
                </w14:textFill>
              </w:rPr>
            </w:pPr>
            <w:r>
              <w:rPr>
                <w:rFonts w:hint="eastAsia" w:ascii="仿宋_GB2312" w:hAnsi="宋体" w:cs="宋体"/>
                <w:color w:val="000000" w:themeColor="text1"/>
                <w:kern w:val="0"/>
                <w:sz w:val="20"/>
                <w:szCs w:val="20"/>
                <w14:textFill>
                  <w14:solidFill>
                    <w14:schemeClr w14:val="tx1"/>
                  </w14:solidFill>
                </w14:textFill>
              </w:rPr>
              <w:t>③项目支出按规定经过评估论证；</w:t>
            </w:r>
          </w:p>
          <w:p>
            <w:pPr>
              <w:widowControl/>
              <w:spacing w:line="200" w:lineRule="exact"/>
              <w:jc w:val="left"/>
              <w:rPr>
                <w:rFonts w:ascii="仿宋_GB2312" w:hAnsi="宋体" w:cs="宋体"/>
                <w:color w:val="000000" w:themeColor="text1"/>
                <w:kern w:val="0"/>
                <w:sz w:val="20"/>
                <w:szCs w:val="20"/>
                <w14:textFill>
                  <w14:solidFill>
                    <w14:schemeClr w14:val="tx1"/>
                  </w14:solidFill>
                </w14:textFill>
              </w:rPr>
            </w:pPr>
            <w:r>
              <w:rPr>
                <w:rFonts w:hint="eastAsia" w:ascii="仿宋_GB2312" w:hAnsi="宋体" w:cs="宋体"/>
                <w:color w:val="000000" w:themeColor="text1"/>
                <w:kern w:val="0"/>
                <w:sz w:val="20"/>
                <w:szCs w:val="20"/>
                <w14:textFill>
                  <w14:solidFill>
                    <w14:schemeClr w14:val="tx1"/>
                  </w14:solidFill>
                </w14:textFill>
              </w:rPr>
              <w:t>④支出符合部门预算批复的用途；</w:t>
            </w:r>
          </w:p>
          <w:p>
            <w:pPr>
              <w:widowControl/>
              <w:spacing w:line="200" w:lineRule="exact"/>
              <w:jc w:val="left"/>
              <w:rPr>
                <w:rFonts w:ascii="仿宋_GB2312" w:hAnsi="宋体" w:cs="宋体"/>
                <w:color w:val="000000" w:themeColor="text1"/>
                <w:kern w:val="0"/>
                <w:sz w:val="20"/>
                <w:szCs w:val="20"/>
                <w14:textFill>
                  <w14:solidFill>
                    <w14:schemeClr w14:val="tx1"/>
                  </w14:solidFill>
                </w14:textFill>
              </w:rPr>
            </w:pPr>
            <w:r>
              <w:rPr>
                <w:rFonts w:hint="eastAsia" w:ascii="仿宋_GB2312" w:hAnsi="宋体" w:cs="宋体"/>
                <w:color w:val="000000" w:themeColor="text1"/>
                <w:kern w:val="0"/>
                <w:sz w:val="20"/>
                <w:szCs w:val="20"/>
                <w14:textFill>
                  <w14:solidFill>
                    <w14:schemeClr w14:val="tx1"/>
                  </w14:solidFill>
                </w14:textFill>
              </w:rPr>
              <w:t>⑤资金使用无截留、挤占、挪用、虚列支出等情况。</w:t>
            </w:r>
          </w:p>
          <w:p>
            <w:pPr>
              <w:widowControl/>
              <w:spacing w:line="200" w:lineRule="exact"/>
              <w:jc w:val="left"/>
              <w:rPr>
                <w:rFonts w:ascii="仿宋_GB2312" w:hAnsi="宋体" w:cs="宋体"/>
                <w:color w:val="000000" w:themeColor="text1"/>
                <w:kern w:val="0"/>
                <w:sz w:val="20"/>
                <w:szCs w:val="20"/>
                <w14:textFill>
                  <w14:solidFill>
                    <w14:schemeClr w14:val="tx1"/>
                  </w14:solidFill>
                </w14:textFill>
              </w:rPr>
            </w:pPr>
            <w:r>
              <w:rPr>
                <w:rFonts w:hint="eastAsia" w:ascii="仿宋_GB2312" w:hAnsi="宋体" w:cs="宋体"/>
                <w:color w:val="000000" w:themeColor="text1"/>
                <w:kern w:val="0"/>
                <w:sz w:val="20"/>
                <w:szCs w:val="20"/>
                <w14:textFill>
                  <w14:solidFill>
                    <w14:schemeClr w14:val="tx1"/>
                  </w14:solidFill>
                </w14:textFill>
              </w:rPr>
              <w:t>以上情况每出现一例不符合要求的扣1分，扣完为止。</w:t>
            </w:r>
          </w:p>
        </w:tc>
        <w:tc>
          <w:tcPr>
            <w:tcW w:w="5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3</w:t>
            </w:r>
          </w:p>
        </w:tc>
        <w:tc>
          <w:tcPr>
            <w:tcW w:w="70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3　</w:t>
            </w:r>
          </w:p>
        </w:tc>
        <w:tc>
          <w:tcPr>
            <w:tcW w:w="130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　</w:t>
            </w:r>
          </w:p>
        </w:tc>
      </w:tr>
      <w:tr>
        <w:tblPrEx>
          <w:tblCellMar>
            <w:top w:w="0" w:type="dxa"/>
            <w:left w:w="108" w:type="dxa"/>
            <w:bottom w:w="0" w:type="dxa"/>
            <w:right w:w="108" w:type="dxa"/>
          </w:tblCellMar>
        </w:tblPrEx>
        <w:trPr>
          <w:trHeight w:val="1837" w:hRule="atLeast"/>
          <w:jc w:val="center"/>
        </w:trPr>
        <w:tc>
          <w:tcPr>
            <w:tcW w:w="120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color w:val="000000" w:themeColor="text1"/>
                <w:kern w:val="0"/>
                <w:sz w:val="20"/>
                <w14:textFill>
                  <w14:solidFill>
                    <w14:schemeClr w14:val="tx1"/>
                  </w14:solidFill>
                </w14:textFill>
              </w:rPr>
            </w:pPr>
          </w:p>
        </w:tc>
        <w:tc>
          <w:tcPr>
            <w:tcW w:w="116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color w:val="000000" w:themeColor="text1"/>
                <w:kern w:val="0"/>
                <w:sz w:val="20"/>
                <w14:textFill>
                  <w14:solidFill>
                    <w14:schemeClr w14:val="tx1"/>
                  </w14:solidFill>
                </w14:textFill>
              </w:rPr>
            </w:pPr>
          </w:p>
        </w:tc>
        <w:tc>
          <w:tcPr>
            <w:tcW w:w="152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预决算信息公开性和完善性</w:t>
            </w:r>
          </w:p>
        </w:tc>
        <w:tc>
          <w:tcPr>
            <w:tcW w:w="3740"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color w:val="000000" w:themeColor="text1"/>
                <w:kern w:val="0"/>
                <w:sz w:val="20"/>
                <w:szCs w:val="20"/>
                <w14:textFill>
                  <w14:solidFill>
                    <w14:schemeClr w14:val="tx1"/>
                  </w14:solidFill>
                </w14:textFill>
              </w:rPr>
            </w:pPr>
            <w:r>
              <w:rPr>
                <w:rFonts w:hint="eastAsia" w:ascii="仿宋_GB2312" w:hAnsi="宋体" w:cs="宋体"/>
                <w:color w:val="000000" w:themeColor="text1"/>
                <w:kern w:val="0"/>
                <w:sz w:val="20"/>
                <w:szCs w:val="20"/>
                <w14:textFill>
                  <w14:solidFill>
                    <w14:schemeClr w14:val="tx1"/>
                  </w14:solidFill>
                </w14:textFill>
              </w:rPr>
              <w:t>①按规定内容公开预决算信息，1分；</w:t>
            </w:r>
          </w:p>
          <w:p>
            <w:pPr>
              <w:widowControl/>
              <w:spacing w:line="220" w:lineRule="exact"/>
              <w:jc w:val="left"/>
              <w:rPr>
                <w:rFonts w:ascii="仿宋_GB2312" w:hAnsi="宋体" w:cs="宋体"/>
                <w:color w:val="000000" w:themeColor="text1"/>
                <w:kern w:val="0"/>
                <w:sz w:val="20"/>
                <w:szCs w:val="20"/>
                <w14:textFill>
                  <w14:solidFill>
                    <w14:schemeClr w14:val="tx1"/>
                  </w14:solidFill>
                </w14:textFill>
              </w:rPr>
            </w:pPr>
            <w:r>
              <w:rPr>
                <w:rFonts w:hint="eastAsia" w:ascii="仿宋_GB2312" w:hAnsi="宋体" w:cs="宋体"/>
                <w:color w:val="000000" w:themeColor="text1"/>
                <w:kern w:val="0"/>
                <w:sz w:val="20"/>
                <w:szCs w:val="20"/>
                <w14:textFill>
                  <w14:solidFill>
                    <w14:schemeClr w14:val="tx1"/>
                  </w14:solidFill>
                </w14:textFill>
              </w:rPr>
              <w:t>②按规定时限公开预决算信息，0.5分；</w:t>
            </w:r>
          </w:p>
          <w:p>
            <w:pPr>
              <w:widowControl/>
              <w:spacing w:line="220" w:lineRule="exact"/>
              <w:jc w:val="left"/>
              <w:rPr>
                <w:rFonts w:ascii="仿宋_GB2312" w:hAnsi="宋体" w:cs="宋体"/>
                <w:color w:val="000000" w:themeColor="text1"/>
                <w:kern w:val="0"/>
                <w:sz w:val="20"/>
                <w:szCs w:val="20"/>
                <w14:textFill>
                  <w14:solidFill>
                    <w14:schemeClr w14:val="tx1"/>
                  </w14:solidFill>
                </w14:textFill>
              </w:rPr>
            </w:pPr>
            <w:r>
              <w:rPr>
                <w:rFonts w:hint="eastAsia" w:ascii="仿宋_GB2312" w:hAnsi="宋体" w:cs="宋体"/>
                <w:color w:val="000000" w:themeColor="text1"/>
                <w:kern w:val="0"/>
                <w:sz w:val="20"/>
                <w:szCs w:val="20"/>
                <w14:textFill>
                  <w14:solidFill>
                    <w14:schemeClr w14:val="tx1"/>
                  </w14:solidFill>
                </w14:textFill>
              </w:rPr>
              <w:t>③基础数据信息和会计信息资料真实，0.5分；</w:t>
            </w:r>
          </w:p>
          <w:p>
            <w:pPr>
              <w:widowControl/>
              <w:spacing w:line="220" w:lineRule="exact"/>
              <w:jc w:val="left"/>
              <w:rPr>
                <w:rFonts w:ascii="仿宋_GB2312" w:hAnsi="宋体" w:cs="宋体"/>
                <w:color w:val="000000" w:themeColor="text1"/>
                <w:kern w:val="0"/>
                <w:sz w:val="20"/>
                <w:szCs w:val="20"/>
                <w14:textFill>
                  <w14:solidFill>
                    <w14:schemeClr w14:val="tx1"/>
                  </w14:solidFill>
                </w14:textFill>
              </w:rPr>
            </w:pPr>
            <w:r>
              <w:rPr>
                <w:rFonts w:hint="eastAsia" w:ascii="仿宋_GB2312" w:hAnsi="宋体" w:cs="宋体"/>
                <w:color w:val="000000" w:themeColor="text1"/>
                <w:kern w:val="0"/>
                <w:sz w:val="20"/>
                <w:szCs w:val="20"/>
                <w14:textFill>
                  <w14:solidFill>
                    <w14:schemeClr w14:val="tx1"/>
                  </w14:solidFill>
                </w14:textFill>
              </w:rPr>
              <w:t>④基础数据信息和会计信息资料完整，0.5分；</w:t>
            </w:r>
          </w:p>
          <w:p>
            <w:pPr>
              <w:widowControl/>
              <w:spacing w:line="220" w:lineRule="exact"/>
              <w:jc w:val="left"/>
              <w:rPr>
                <w:rFonts w:ascii="仿宋_GB2312" w:hAnsi="宋体" w:cs="宋体"/>
                <w:color w:val="000000" w:themeColor="text1"/>
                <w:kern w:val="0"/>
                <w:sz w:val="20"/>
                <w:szCs w:val="20"/>
                <w14:textFill>
                  <w14:solidFill>
                    <w14:schemeClr w14:val="tx1"/>
                  </w14:solidFill>
                </w14:textFill>
              </w:rPr>
            </w:pPr>
            <w:r>
              <w:rPr>
                <w:rFonts w:hint="eastAsia" w:ascii="仿宋_GB2312" w:hAnsi="宋体" w:cs="宋体"/>
                <w:color w:val="000000" w:themeColor="text1"/>
                <w:kern w:val="0"/>
                <w:sz w:val="20"/>
                <w:szCs w:val="20"/>
                <w14:textFill>
                  <w14:solidFill>
                    <w14:schemeClr w14:val="tx1"/>
                  </w14:solidFill>
                </w14:textFill>
              </w:rPr>
              <w:t xml:space="preserve">⑤基础数据信息和汇集信息资料准确，0.5分。                                            </w:t>
            </w:r>
          </w:p>
        </w:tc>
        <w:tc>
          <w:tcPr>
            <w:tcW w:w="58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3</w:t>
            </w:r>
          </w:p>
        </w:tc>
        <w:tc>
          <w:tcPr>
            <w:tcW w:w="70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　3</w:t>
            </w:r>
          </w:p>
        </w:tc>
        <w:tc>
          <w:tcPr>
            <w:tcW w:w="130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　</w:t>
            </w:r>
          </w:p>
        </w:tc>
      </w:tr>
      <w:tr>
        <w:tblPrEx>
          <w:tblCellMar>
            <w:top w:w="0" w:type="dxa"/>
            <w:left w:w="108" w:type="dxa"/>
            <w:bottom w:w="0" w:type="dxa"/>
            <w:right w:w="108" w:type="dxa"/>
          </w:tblCellMar>
        </w:tblPrEx>
        <w:trPr>
          <w:trHeight w:val="471" w:hRule="atLeast"/>
          <w:jc w:val="center"/>
        </w:trPr>
        <w:tc>
          <w:tcPr>
            <w:tcW w:w="12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过  程</w:t>
            </w:r>
          </w:p>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（40分）</w:t>
            </w:r>
          </w:p>
        </w:tc>
        <w:tc>
          <w:tcPr>
            <w:tcW w:w="1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预算管理</w:t>
            </w:r>
          </w:p>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（15分）</w:t>
            </w:r>
          </w:p>
        </w:tc>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政府采购执行率</w:t>
            </w:r>
          </w:p>
        </w:tc>
        <w:tc>
          <w:tcPr>
            <w:tcW w:w="37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color w:val="000000" w:themeColor="text1"/>
                <w:kern w:val="0"/>
                <w:sz w:val="20"/>
                <w:szCs w:val="20"/>
                <w14:textFill>
                  <w14:solidFill>
                    <w14:schemeClr w14:val="tx1"/>
                  </w14:solidFill>
                </w14:textFill>
              </w:rPr>
            </w:pPr>
            <w:r>
              <w:rPr>
                <w:rFonts w:hint="eastAsia" w:ascii="仿宋_GB2312" w:hAnsi="宋体" w:cs="宋体"/>
                <w:color w:val="000000" w:themeColor="text1"/>
                <w:kern w:val="0"/>
                <w:sz w:val="20"/>
                <w:szCs w:val="20"/>
                <w14:textFill>
                  <w14:solidFill>
                    <w14:schemeClr w14:val="tx1"/>
                  </w14:solidFill>
                </w14:textFill>
              </w:rPr>
              <w:t>政府采购执行率等于100%的，得3分；</w:t>
            </w:r>
          </w:p>
          <w:p>
            <w:pPr>
              <w:widowControl/>
              <w:spacing w:line="240" w:lineRule="exact"/>
              <w:jc w:val="left"/>
              <w:rPr>
                <w:rFonts w:ascii="仿宋_GB2312" w:hAnsi="宋体" w:cs="宋体"/>
                <w:color w:val="000000" w:themeColor="text1"/>
                <w:kern w:val="0"/>
                <w:sz w:val="20"/>
                <w:szCs w:val="20"/>
                <w14:textFill>
                  <w14:solidFill>
                    <w14:schemeClr w14:val="tx1"/>
                  </w14:solidFill>
                </w14:textFill>
              </w:rPr>
            </w:pPr>
            <w:r>
              <w:rPr>
                <w:rFonts w:hint="eastAsia" w:ascii="仿宋_GB2312" w:hAnsi="宋体" w:cs="宋体"/>
                <w:color w:val="000000" w:themeColor="text1"/>
                <w:kern w:val="0"/>
                <w:sz w:val="20"/>
                <w:szCs w:val="20"/>
                <w14:textFill>
                  <w14:solidFill>
                    <w14:schemeClr w14:val="tx1"/>
                  </w14:solidFill>
                </w14:textFill>
              </w:rPr>
              <w:t>每减少一个百分点，扣0.2分，扣完为止。</w:t>
            </w:r>
          </w:p>
        </w:tc>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3</w:t>
            </w:r>
          </w:p>
        </w:tc>
        <w:tc>
          <w:tcPr>
            <w:tcW w:w="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　3</w:t>
            </w:r>
          </w:p>
        </w:tc>
        <w:tc>
          <w:tcPr>
            <w:tcW w:w="13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　</w:t>
            </w:r>
          </w:p>
        </w:tc>
      </w:tr>
      <w:tr>
        <w:tblPrEx>
          <w:tblCellMar>
            <w:top w:w="0" w:type="dxa"/>
            <w:left w:w="108" w:type="dxa"/>
            <w:bottom w:w="0" w:type="dxa"/>
            <w:right w:w="108" w:type="dxa"/>
          </w:tblCellMar>
        </w:tblPrEx>
        <w:trPr>
          <w:trHeight w:val="646" w:hRule="atLeast"/>
          <w:jc w:val="center"/>
        </w:trPr>
        <w:tc>
          <w:tcPr>
            <w:tcW w:w="12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color w:val="000000" w:themeColor="text1"/>
                <w:kern w:val="0"/>
                <w:sz w:val="20"/>
                <w14:textFill>
                  <w14:solidFill>
                    <w14:schemeClr w14:val="tx1"/>
                  </w14:solidFill>
                </w14:textFill>
              </w:rPr>
            </w:pPr>
          </w:p>
        </w:tc>
        <w:tc>
          <w:tcPr>
            <w:tcW w:w="11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color w:val="000000" w:themeColor="text1"/>
                <w:kern w:val="0"/>
                <w:sz w:val="20"/>
                <w14:textFill>
                  <w14:solidFill>
                    <w14:schemeClr w14:val="tx1"/>
                  </w14:solidFill>
                </w14:textFill>
              </w:rPr>
            </w:pPr>
          </w:p>
        </w:tc>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公务卡刷卡率</w:t>
            </w:r>
          </w:p>
        </w:tc>
        <w:tc>
          <w:tcPr>
            <w:tcW w:w="37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color w:val="000000" w:themeColor="text1"/>
                <w:kern w:val="0"/>
                <w:sz w:val="20"/>
                <w:szCs w:val="20"/>
                <w14:textFill>
                  <w14:solidFill>
                    <w14:schemeClr w14:val="tx1"/>
                  </w14:solidFill>
                </w14:textFill>
              </w:rPr>
            </w:pPr>
            <w:r>
              <w:rPr>
                <w:rFonts w:hint="eastAsia" w:ascii="仿宋_GB2312" w:hAnsi="宋体" w:cs="宋体"/>
                <w:color w:val="000000" w:themeColor="text1"/>
                <w:kern w:val="0"/>
                <w:sz w:val="20"/>
                <w:szCs w:val="20"/>
                <w14:textFill>
                  <w14:solidFill>
                    <w14:schemeClr w14:val="tx1"/>
                  </w14:solidFill>
                </w14:textFill>
              </w:rPr>
              <w:t>公务卡刷卡率达30％以上的，得3分。</w:t>
            </w:r>
          </w:p>
          <w:p>
            <w:pPr>
              <w:widowControl/>
              <w:spacing w:line="240" w:lineRule="exact"/>
              <w:jc w:val="left"/>
              <w:rPr>
                <w:rFonts w:ascii="仿宋_GB2312" w:hAnsi="宋体" w:cs="宋体"/>
                <w:color w:val="000000" w:themeColor="text1"/>
                <w:kern w:val="0"/>
                <w:sz w:val="20"/>
                <w:szCs w:val="20"/>
                <w14:textFill>
                  <w14:solidFill>
                    <w14:schemeClr w14:val="tx1"/>
                  </w14:solidFill>
                </w14:textFill>
              </w:rPr>
            </w:pPr>
            <w:r>
              <w:rPr>
                <w:rFonts w:hint="eastAsia" w:ascii="仿宋_GB2312" w:hAnsi="宋体" w:cs="宋体"/>
                <w:color w:val="000000" w:themeColor="text1"/>
                <w:kern w:val="0"/>
                <w:sz w:val="20"/>
                <w:szCs w:val="20"/>
                <w14:textFill>
                  <w14:solidFill>
                    <w14:schemeClr w14:val="tx1"/>
                  </w14:solidFill>
                </w14:textFill>
              </w:rPr>
              <w:t xml:space="preserve">每减少一个百分点，扣0.2分，扣完为止。                                            </w:t>
            </w:r>
          </w:p>
        </w:tc>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3</w:t>
            </w:r>
          </w:p>
        </w:tc>
        <w:tc>
          <w:tcPr>
            <w:tcW w:w="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3　</w:t>
            </w:r>
          </w:p>
        </w:tc>
        <w:tc>
          <w:tcPr>
            <w:tcW w:w="13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　</w:t>
            </w:r>
          </w:p>
        </w:tc>
      </w:tr>
      <w:tr>
        <w:tblPrEx>
          <w:tblCellMar>
            <w:top w:w="0" w:type="dxa"/>
            <w:left w:w="108" w:type="dxa"/>
            <w:bottom w:w="0" w:type="dxa"/>
            <w:right w:w="108" w:type="dxa"/>
          </w:tblCellMar>
        </w:tblPrEx>
        <w:trPr>
          <w:trHeight w:val="754" w:hRule="atLeast"/>
          <w:jc w:val="center"/>
        </w:trPr>
        <w:tc>
          <w:tcPr>
            <w:tcW w:w="1200"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仿宋_GB2312" w:hAnsi="宋体" w:cs="宋体"/>
                <w:color w:val="000000" w:themeColor="text1"/>
                <w:kern w:val="0"/>
                <w:sz w:val="20"/>
                <w14:textFill>
                  <w14:solidFill>
                    <w14:schemeClr w14:val="tx1"/>
                  </w14:solidFill>
                </w14:textFill>
              </w:rPr>
            </w:pPr>
          </w:p>
        </w:tc>
        <w:tc>
          <w:tcPr>
            <w:tcW w:w="1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资产管理</w:t>
            </w:r>
          </w:p>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（10分）</w:t>
            </w:r>
          </w:p>
        </w:tc>
        <w:tc>
          <w:tcPr>
            <w:tcW w:w="152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管理制度</w:t>
            </w:r>
          </w:p>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健全性</w:t>
            </w:r>
          </w:p>
        </w:tc>
        <w:tc>
          <w:tcPr>
            <w:tcW w:w="374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color w:val="000000" w:themeColor="text1"/>
                <w:kern w:val="0"/>
                <w:sz w:val="20"/>
                <w:szCs w:val="20"/>
                <w14:textFill>
                  <w14:solidFill>
                    <w14:schemeClr w14:val="tx1"/>
                  </w14:solidFill>
                </w14:textFill>
              </w:rPr>
            </w:pPr>
            <w:r>
              <w:rPr>
                <w:rFonts w:hint="eastAsia" w:ascii="仿宋_GB2312" w:hAnsi="宋体" w:cs="宋体"/>
                <w:color w:val="000000" w:themeColor="text1"/>
                <w:kern w:val="0"/>
                <w:sz w:val="20"/>
                <w:szCs w:val="20"/>
                <w14:textFill>
                  <w14:solidFill>
                    <w14:schemeClr w14:val="tx1"/>
                  </w14:solidFill>
                </w14:textFill>
              </w:rPr>
              <w:t>①已制定或具有资产管理制度，且相关资产管理制度合法、合规、完整，2分；</w:t>
            </w:r>
          </w:p>
          <w:p>
            <w:pPr>
              <w:widowControl/>
              <w:spacing w:line="240" w:lineRule="exact"/>
              <w:jc w:val="left"/>
              <w:rPr>
                <w:rFonts w:ascii="仿宋_GB2312" w:hAnsi="宋体" w:cs="宋体"/>
                <w:color w:val="000000" w:themeColor="text1"/>
                <w:kern w:val="0"/>
                <w:sz w:val="20"/>
                <w:szCs w:val="20"/>
                <w14:textFill>
                  <w14:solidFill>
                    <w14:schemeClr w14:val="tx1"/>
                  </w14:solidFill>
                </w14:textFill>
              </w:rPr>
            </w:pPr>
            <w:r>
              <w:rPr>
                <w:rFonts w:hint="eastAsia" w:ascii="仿宋_GB2312" w:hAnsi="宋体" w:cs="宋体"/>
                <w:color w:val="000000" w:themeColor="text1"/>
                <w:kern w:val="0"/>
                <w:sz w:val="20"/>
                <w:szCs w:val="20"/>
                <w14:textFill>
                  <w14:solidFill>
                    <w14:schemeClr w14:val="tx1"/>
                  </w14:solidFill>
                </w14:textFill>
              </w:rPr>
              <w:t xml:space="preserve">②相关资产管理制度得到有效执行，1分。                                           </w:t>
            </w:r>
          </w:p>
        </w:tc>
        <w:tc>
          <w:tcPr>
            <w:tcW w:w="58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3</w:t>
            </w:r>
          </w:p>
        </w:tc>
        <w:tc>
          <w:tcPr>
            <w:tcW w:w="70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　3</w:t>
            </w:r>
          </w:p>
        </w:tc>
        <w:tc>
          <w:tcPr>
            <w:tcW w:w="130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　</w:t>
            </w:r>
          </w:p>
        </w:tc>
      </w:tr>
      <w:tr>
        <w:tblPrEx>
          <w:tblCellMar>
            <w:top w:w="0" w:type="dxa"/>
            <w:left w:w="108" w:type="dxa"/>
            <w:bottom w:w="0" w:type="dxa"/>
            <w:right w:w="108" w:type="dxa"/>
          </w:tblCellMar>
        </w:tblPrEx>
        <w:trPr>
          <w:trHeight w:val="1783" w:hRule="atLeast"/>
          <w:jc w:val="center"/>
        </w:trPr>
        <w:tc>
          <w:tcPr>
            <w:tcW w:w="1200"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仿宋_GB2312" w:hAnsi="宋体" w:cs="宋体"/>
                <w:color w:val="000000" w:themeColor="text1"/>
                <w:kern w:val="0"/>
                <w:sz w:val="20"/>
                <w14:textFill>
                  <w14:solidFill>
                    <w14:schemeClr w14:val="tx1"/>
                  </w14:solidFill>
                </w14:textFill>
              </w:rPr>
            </w:pPr>
          </w:p>
        </w:tc>
        <w:tc>
          <w:tcPr>
            <w:tcW w:w="116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color w:val="000000" w:themeColor="text1"/>
                <w:kern w:val="0"/>
                <w:sz w:val="20"/>
                <w14:textFill>
                  <w14:solidFill>
                    <w14:schemeClr w14:val="tx1"/>
                  </w14:solidFill>
                </w14:textFill>
              </w:rPr>
            </w:pPr>
          </w:p>
        </w:tc>
        <w:tc>
          <w:tcPr>
            <w:tcW w:w="152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资产管理</w:t>
            </w:r>
          </w:p>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安全性</w:t>
            </w:r>
          </w:p>
        </w:tc>
        <w:tc>
          <w:tcPr>
            <w:tcW w:w="374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color w:val="000000" w:themeColor="text1"/>
                <w:kern w:val="0"/>
                <w:sz w:val="20"/>
                <w:szCs w:val="20"/>
                <w14:textFill>
                  <w14:solidFill>
                    <w14:schemeClr w14:val="tx1"/>
                  </w14:solidFill>
                </w14:textFill>
              </w:rPr>
            </w:pPr>
            <w:r>
              <w:rPr>
                <w:rFonts w:hint="eastAsia" w:ascii="仿宋_GB2312" w:hAnsi="宋体" w:cs="宋体"/>
                <w:color w:val="000000" w:themeColor="text1"/>
                <w:kern w:val="0"/>
                <w:sz w:val="20"/>
                <w:szCs w:val="20"/>
                <w14:textFill>
                  <w14:solidFill>
                    <w14:schemeClr w14:val="tx1"/>
                  </w14:solidFill>
                </w14:textFill>
              </w:rPr>
              <w:t>①资产保存完整；</w:t>
            </w:r>
          </w:p>
          <w:p>
            <w:pPr>
              <w:widowControl/>
              <w:spacing w:line="240" w:lineRule="exact"/>
              <w:jc w:val="left"/>
              <w:rPr>
                <w:rFonts w:ascii="仿宋_GB2312" w:hAnsi="宋体" w:cs="宋体"/>
                <w:color w:val="000000" w:themeColor="text1"/>
                <w:kern w:val="0"/>
                <w:sz w:val="20"/>
                <w:szCs w:val="20"/>
                <w14:textFill>
                  <w14:solidFill>
                    <w14:schemeClr w14:val="tx1"/>
                  </w14:solidFill>
                </w14:textFill>
              </w:rPr>
            </w:pPr>
            <w:r>
              <w:rPr>
                <w:rFonts w:hint="eastAsia" w:ascii="仿宋_GB2312" w:hAnsi="宋体" w:cs="宋体"/>
                <w:color w:val="000000" w:themeColor="text1"/>
                <w:kern w:val="0"/>
                <w:sz w:val="20"/>
                <w:szCs w:val="20"/>
                <w14:textFill>
                  <w14:solidFill>
                    <w14:schemeClr w14:val="tx1"/>
                  </w14:solidFill>
                </w14:textFill>
              </w:rPr>
              <w:t>②资产配置合理；</w:t>
            </w:r>
          </w:p>
          <w:p>
            <w:pPr>
              <w:widowControl/>
              <w:spacing w:line="240" w:lineRule="exact"/>
              <w:jc w:val="left"/>
              <w:rPr>
                <w:rFonts w:ascii="仿宋_GB2312" w:hAnsi="宋体" w:cs="宋体"/>
                <w:color w:val="000000" w:themeColor="text1"/>
                <w:kern w:val="0"/>
                <w:sz w:val="20"/>
                <w:szCs w:val="20"/>
                <w14:textFill>
                  <w14:solidFill>
                    <w14:schemeClr w14:val="tx1"/>
                  </w14:solidFill>
                </w14:textFill>
              </w:rPr>
            </w:pPr>
            <w:r>
              <w:rPr>
                <w:rFonts w:hint="eastAsia" w:ascii="仿宋_GB2312" w:hAnsi="宋体" w:cs="宋体"/>
                <w:color w:val="000000" w:themeColor="text1"/>
                <w:kern w:val="0"/>
                <w:sz w:val="20"/>
                <w:szCs w:val="20"/>
                <w14:textFill>
                  <w14:solidFill>
                    <w14:schemeClr w14:val="tx1"/>
                  </w14:solidFill>
                </w14:textFill>
              </w:rPr>
              <w:t xml:space="preserve">③资产处置规范； </w:t>
            </w:r>
          </w:p>
          <w:p>
            <w:pPr>
              <w:widowControl/>
              <w:spacing w:line="240" w:lineRule="exact"/>
              <w:jc w:val="left"/>
              <w:rPr>
                <w:rFonts w:ascii="仿宋_GB2312" w:hAnsi="宋体" w:cs="宋体"/>
                <w:color w:val="000000" w:themeColor="text1"/>
                <w:kern w:val="0"/>
                <w:sz w:val="20"/>
                <w:szCs w:val="20"/>
                <w14:textFill>
                  <w14:solidFill>
                    <w14:schemeClr w14:val="tx1"/>
                  </w14:solidFill>
                </w14:textFill>
              </w:rPr>
            </w:pPr>
            <w:r>
              <w:rPr>
                <w:rFonts w:hint="eastAsia" w:ascii="仿宋_GB2312" w:hAnsi="宋体" w:cs="宋体"/>
                <w:color w:val="000000" w:themeColor="text1"/>
                <w:kern w:val="0"/>
                <w:sz w:val="20"/>
                <w:szCs w:val="20"/>
                <w14:textFill>
                  <w14:solidFill>
                    <w14:schemeClr w14:val="tx1"/>
                  </w14:solidFill>
                </w14:textFill>
              </w:rPr>
              <w:t>④资产账务管理合规，帐实相符；</w:t>
            </w:r>
          </w:p>
          <w:p>
            <w:pPr>
              <w:widowControl/>
              <w:spacing w:line="240" w:lineRule="exact"/>
              <w:jc w:val="left"/>
              <w:rPr>
                <w:rFonts w:ascii="仿宋_GB2312" w:hAnsi="宋体" w:cs="宋体"/>
                <w:color w:val="000000" w:themeColor="text1"/>
                <w:kern w:val="0"/>
                <w:sz w:val="20"/>
                <w:szCs w:val="20"/>
                <w14:textFill>
                  <w14:solidFill>
                    <w14:schemeClr w14:val="tx1"/>
                  </w14:solidFill>
                </w14:textFill>
              </w:rPr>
            </w:pPr>
            <w:r>
              <w:rPr>
                <w:rFonts w:hint="eastAsia" w:ascii="仿宋_GB2312" w:hAnsi="宋体" w:cs="宋体"/>
                <w:color w:val="000000" w:themeColor="text1"/>
                <w:kern w:val="0"/>
                <w:sz w:val="20"/>
                <w:szCs w:val="20"/>
                <w14:textFill>
                  <w14:solidFill>
                    <w14:schemeClr w14:val="tx1"/>
                  </w14:solidFill>
                </w14:textFill>
              </w:rPr>
              <w:t>⑤资产有偿使用及处置收入及时足额上缴；</w:t>
            </w:r>
          </w:p>
          <w:p>
            <w:pPr>
              <w:widowControl/>
              <w:spacing w:line="240" w:lineRule="exact"/>
              <w:jc w:val="left"/>
              <w:rPr>
                <w:rFonts w:ascii="仿宋_GB2312" w:hAnsi="宋体" w:cs="宋体"/>
                <w:color w:val="000000" w:themeColor="text1"/>
                <w:kern w:val="0"/>
                <w:sz w:val="20"/>
                <w:szCs w:val="20"/>
                <w14:textFill>
                  <w14:solidFill>
                    <w14:schemeClr w14:val="tx1"/>
                  </w14:solidFill>
                </w14:textFill>
              </w:rPr>
            </w:pPr>
            <w:r>
              <w:rPr>
                <w:rFonts w:hint="eastAsia" w:ascii="仿宋_GB2312" w:hAnsi="宋体" w:cs="宋体"/>
                <w:color w:val="000000" w:themeColor="text1"/>
                <w:kern w:val="0"/>
                <w:sz w:val="20"/>
                <w:szCs w:val="20"/>
                <w14:textFill>
                  <w14:solidFill>
                    <w14:schemeClr w14:val="tx1"/>
                  </w14:solidFill>
                </w14:textFill>
              </w:rPr>
              <w:t>以上情况每出现一例不符合有关要求的扣1分，扣完为止。</w:t>
            </w:r>
          </w:p>
        </w:tc>
        <w:tc>
          <w:tcPr>
            <w:tcW w:w="58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4</w:t>
            </w:r>
          </w:p>
        </w:tc>
        <w:tc>
          <w:tcPr>
            <w:tcW w:w="70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4　</w:t>
            </w:r>
          </w:p>
        </w:tc>
        <w:tc>
          <w:tcPr>
            <w:tcW w:w="130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　</w:t>
            </w:r>
          </w:p>
        </w:tc>
      </w:tr>
      <w:tr>
        <w:tblPrEx>
          <w:tblCellMar>
            <w:top w:w="0" w:type="dxa"/>
            <w:left w:w="108" w:type="dxa"/>
            <w:bottom w:w="0" w:type="dxa"/>
            <w:right w:w="108" w:type="dxa"/>
          </w:tblCellMar>
        </w:tblPrEx>
        <w:trPr>
          <w:trHeight w:val="678" w:hRule="atLeast"/>
          <w:jc w:val="center"/>
        </w:trPr>
        <w:tc>
          <w:tcPr>
            <w:tcW w:w="1200"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仿宋_GB2312" w:hAnsi="宋体" w:cs="宋体"/>
                <w:color w:val="000000" w:themeColor="text1"/>
                <w:kern w:val="0"/>
                <w:sz w:val="20"/>
                <w14:textFill>
                  <w14:solidFill>
                    <w14:schemeClr w14:val="tx1"/>
                  </w14:solidFill>
                </w14:textFill>
              </w:rPr>
            </w:pPr>
          </w:p>
        </w:tc>
        <w:tc>
          <w:tcPr>
            <w:tcW w:w="116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color w:val="000000" w:themeColor="text1"/>
                <w:kern w:val="0"/>
                <w:sz w:val="20"/>
                <w14:textFill>
                  <w14:solidFill>
                    <w14:schemeClr w14:val="tx1"/>
                  </w14:solidFill>
                </w14:textFill>
              </w:rPr>
            </w:pPr>
          </w:p>
        </w:tc>
        <w:tc>
          <w:tcPr>
            <w:tcW w:w="152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固定资产</w:t>
            </w:r>
          </w:p>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利用率</w:t>
            </w:r>
          </w:p>
        </w:tc>
        <w:tc>
          <w:tcPr>
            <w:tcW w:w="374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color w:val="000000" w:themeColor="text1"/>
                <w:kern w:val="0"/>
                <w:sz w:val="20"/>
                <w:szCs w:val="20"/>
                <w14:textFill>
                  <w14:solidFill>
                    <w14:schemeClr w14:val="tx1"/>
                  </w14:solidFill>
                </w14:textFill>
              </w:rPr>
            </w:pPr>
            <w:r>
              <w:rPr>
                <w:rFonts w:hint="eastAsia" w:ascii="仿宋_GB2312" w:hAnsi="宋体" w:cs="宋体"/>
                <w:color w:val="000000" w:themeColor="text1"/>
                <w:kern w:val="0"/>
                <w:sz w:val="20"/>
                <w:szCs w:val="20"/>
                <w14:textFill>
                  <w14:solidFill>
                    <w14:schemeClr w14:val="tx1"/>
                  </w14:solidFill>
                </w14:textFill>
              </w:rPr>
              <w:t>每低于100%一个百分点扣0.1分，扣完为止。</w:t>
            </w:r>
          </w:p>
        </w:tc>
        <w:tc>
          <w:tcPr>
            <w:tcW w:w="58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3</w:t>
            </w:r>
          </w:p>
        </w:tc>
        <w:tc>
          <w:tcPr>
            <w:tcW w:w="70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3　</w:t>
            </w:r>
          </w:p>
        </w:tc>
        <w:tc>
          <w:tcPr>
            <w:tcW w:w="130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　</w:t>
            </w:r>
          </w:p>
        </w:tc>
      </w:tr>
      <w:tr>
        <w:tblPrEx>
          <w:tblCellMar>
            <w:top w:w="0" w:type="dxa"/>
            <w:left w:w="108" w:type="dxa"/>
            <w:bottom w:w="0" w:type="dxa"/>
            <w:right w:w="108" w:type="dxa"/>
          </w:tblCellMar>
        </w:tblPrEx>
        <w:trPr>
          <w:trHeight w:val="489" w:hRule="atLeast"/>
          <w:jc w:val="center"/>
        </w:trPr>
        <w:tc>
          <w:tcPr>
            <w:tcW w:w="1200" w:type="dxa"/>
            <w:vMerge w:val="restart"/>
            <w:tcBorders>
              <w:top w:val="nil"/>
              <w:left w:val="single" w:color="auto" w:sz="4" w:space="0"/>
              <w:right w:val="single" w:color="auto" w:sz="4" w:space="0"/>
            </w:tcBorders>
            <w:shd w:val="clear" w:color="auto" w:fill="auto"/>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产  出（2</w:t>
            </w:r>
            <w:r>
              <w:rPr>
                <w:rFonts w:hint="eastAsia" w:ascii="仿宋_GB2312" w:hAnsi="宋体" w:cs="宋体"/>
                <w:color w:val="000000" w:themeColor="text1"/>
                <w:kern w:val="0"/>
                <w:sz w:val="20"/>
                <w:lang w:val="en-US" w:eastAsia="zh-CN"/>
                <w14:textFill>
                  <w14:solidFill>
                    <w14:schemeClr w14:val="tx1"/>
                  </w14:solidFill>
                </w14:textFill>
              </w:rPr>
              <w:t>5</w:t>
            </w:r>
            <w:r>
              <w:rPr>
                <w:rFonts w:hint="eastAsia" w:ascii="仿宋_GB2312" w:hAnsi="宋体" w:cs="宋体"/>
                <w:color w:val="000000" w:themeColor="text1"/>
                <w:kern w:val="0"/>
                <w:sz w:val="20"/>
                <w14:textFill>
                  <w14:solidFill>
                    <w14:schemeClr w14:val="tx1"/>
                  </w14:solidFill>
                </w14:textFill>
              </w:rPr>
              <w:t>分）</w:t>
            </w:r>
          </w:p>
        </w:tc>
        <w:tc>
          <w:tcPr>
            <w:tcW w:w="1160" w:type="dxa"/>
            <w:vMerge w:val="restart"/>
            <w:tcBorders>
              <w:top w:val="nil"/>
              <w:left w:val="nil"/>
              <w:right w:val="single" w:color="auto" w:sz="4" w:space="0"/>
            </w:tcBorders>
            <w:shd w:val="clear" w:color="auto" w:fill="auto"/>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职责履行</w:t>
            </w:r>
          </w:p>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（2</w:t>
            </w:r>
            <w:r>
              <w:rPr>
                <w:rFonts w:hint="eastAsia" w:ascii="仿宋_GB2312" w:hAnsi="宋体" w:cs="宋体"/>
                <w:color w:val="000000" w:themeColor="text1"/>
                <w:kern w:val="0"/>
                <w:sz w:val="20"/>
                <w:lang w:val="en-US" w:eastAsia="zh-CN"/>
                <w14:textFill>
                  <w14:solidFill>
                    <w14:schemeClr w14:val="tx1"/>
                  </w14:solidFill>
                </w14:textFill>
              </w:rPr>
              <w:t>5</w:t>
            </w:r>
            <w:r>
              <w:rPr>
                <w:rFonts w:hint="eastAsia" w:ascii="仿宋_GB2312" w:hAnsi="宋体" w:cs="宋体"/>
                <w:color w:val="000000" w:themeColor="text1"/>
                <w:kern w:val="0"/>
                <w:sz w:val="20"/>
                <w14:textFill>
                  <w14:solidFill>
                    <w14:schemeClr w14:val="tx1"/>
                  </w14:solidFill>
                </w14:textFill>
              </w:rPr>
              <w:t>分）</w:t>
            </w:r>
          </w:p>
        </w:tc>
        <w:tc>
          <w:tcPr>
            <w:tcW w:w="1520" w:type="dxa"/>
            <w:vMerge w:val="restart"/>
            <w:tcBorders>
              <w:top w:val="nil"/>
              <w:left w:val="nil"/>
              <w:right w:val="single" w:color="auto" w:sz="4" w:space="0"/>
            </w:tcBorders>
            <w:shd w:val="clear" w:color="auto" w:fill="auto"/>
            <w:vAlign w:val="center"/>
          </w:tcPr>
          <w:p>
            <w:pPr>
              <w:widowControl/>
              <w:spacing w:line="240" w:lineRule="exact"/>
              <w:jc w:val="center"/>
              <w:rPr>
                <w:rFonts w:hint="eastAsia" w:ascii="仿宋_GB2312" w:hAnsi="宋体" w:cs="宋体"/>
                <w:color w:val="000000" w:themeColor="text1"/>
                <w:kern w:val="0"/>
                <w:sz w:val="20"/>
                <w:lang w:val="en-US" w:eastAsia="zh-CN"/>
                <w14:textFill>
                  <w14:solidFill>
                    <w14:schemeClr w14:val="tx1"/>
                  </w14:solidFill>
                </w14:textFill>
              </w:rPr>
            </w:pPr>
            <w:r>
              <w:rPr>
                <w:rFonts w:hint="eastAsia" w:ascii="仿宋_GB2312" w:hAnsi="宋体" w:cs="宋体"/>
                <w:color w:val="000000" w:themeColor="text1"/>
                <w:kern w:val="0"/>
                <w:sz w:val="20"/>
                <w:lang w:val="en-US" w:eastAsia="zh-CN"/>
                <w14:textFill>
                  <w14:solidFill>
                    <w14:schemeClr w14:val="tx1"/>
                  </w14:solidFill>
                </w14:textFill>
              </w:rPr>
              <w:t>质量指标</w:t>
            </w:r>
          </w:p>
        </w:tc>
        <w:tc>
          <w:tcPr>
            <w:tcW w:w="374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cs="宋体"/>
                <w:color w:val="000000" w:themeColor="text1"/>
                <w:kern w:val="0"/>
                <w:sz w:val="20"/>
                <w:szCs w:val="20"/>
                <w:lang w:val="en-US" w:eastAsia="zh-CN"/>
                <w14:textFill>
                  <w14:solidFill>
                    <w14:schemeClr w14:val="tx1"/>
                  </w14:solidFill>
                </w14:textFill>
              </w:rPr>
            </w:pPr>
            <w:r>
              <w:rPr>
                <w:rFonts w:hint="eastAsia" w:ascii="仿宋_GB2312" w:hAnsi="宋体" w:cs="宋体"/>
                <w:color w:val="000000" w:themeColor="text1"/>
                <w:kern w:val="0"/>
                <w:sz w:val="20"/>
                <w:szCs w:val="20"/>
                <w14:textFill>
                  <w14:solidFill>
                    <w14:schemeClr w14:val="tx1"/>
                  </w14:solidFill>
                </w14:textFill>
              </w:rPr>
              <w:t>参加湖南省第七届艺术节新创大型舞台剧目展演</w:t>
            </w:r>
          </w:p>
        </w:tc>
        <w:tc>
          <w:tcPr>
            <w:tcW w:w="58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宋体" w:cs="宋体"/>
                <w:color w:val="000000" w:themeColor="text1"/>
                <w:kern w:val="0"/>
                <w:sz w:val="20"/>
                <w:lang w:val="en-US" w:eastAsia="zh-CN"/>
                <w14:textFill>
                  <w14:solidFill>
                    <w14:schemeClr w14:val="tx1"/>
                  </w14:solidFill>
                </w14:textFill>
              </w:rPr>
            </w:pPr>
            <w:r>
              <w:rPr>
                <w:rFonts w:hint="eastAsia" w:ascii="仿宋_GB2312" w:hAnsi="宋体" w:cs="宋体"/>
                <w:color w:val="000000" w:themeColor="text1"/>
                <w:kern w:val="0"/>
                <w:sz w:val="20"/>
                <w:lang w:val="en-US" w:eastAsia="zh-CN"/>
                <w14:textFill>
                  <w14:solidFill>
                    <w14:schemeClr w14:val="tx1"/>
                  </w14:solidFill>
                </w14:textFill>
              </w:rPr>
              <w:t>3</w:t>
            </w:r>
          </w:p>
        </w:tc>
        <w:tc>
          <w:tcPr>
            <w:tcW w:w="700" w:type="dxa"/>
            <w:tcBorders>
              <w:top w:val="nil"/>
              <w:left w:val="nil"/>
              <w:bottom w:val="single" w:color="auto" w:sz="4" w:space="0"/>
              <w:right w:val="single" w:color="auto" w:sz="4" w:space="0"/>
            </w:tcBorders>
            <w:shd w:val="clear" w:color="auto" w:fill="FFFFFF"/>
            <w:vAlign w:val="center"/>
          </w:tcPr>
          <w:p>
            <w:pPr>
              <w:widowControl/>
              <w:spacing w:line="240" w:lineRule="exact"/>
              <w:ind w:firstLine="200" w:firstLineChars="100"/>
              <w:jc w:val="both"/>
              <w:rPr>
                <w:rFonts w:hint="eastAsia" w:ascii="仿宋_GB2312" w:hAnsi="宋体" w:eastAsia="宋体" w:cs="宋体"/>
                <w:color w:val="000000" w:themeColor="text1"/>
                <w:kern w:val="0"/>
                <w:sz w:val="20"/>
                <w:lang w:val="en-US" w:eastAsia="zh-CN"/>
                <w14:textFill>
                  <w14:solidFill>
                    <w14:schemeClr w14:val="tx1"/>
                  </w14:solidFill>
                </w14:textFill>
              </w:rPr>
            </w:pPr>
            <w:r>
              <w:rPr>
                <w:rFonts w:hint="eastAsia" w:ascii="仿宋_GB2312" w:hAnsi="宋体" w:cs="宋体"/>
                <w:color w:val="000000" w:themeColor="text1"/>
                <w:kern w:val="0"/>
                <w:sz w:val="20"/>
                <w:lang w:val="en-US" w:eastAsia="zh-CN"/>
                <w14:textFill>
                  <w14:solidFill>
                    <w14:schemeClr w14:val="tx1"/>
                  </w14:solidFill>
                </w14:textFill>
              </w:rPr>
              <w:t>3</w:t>
            </w:r>
          </w:p>
        </w:tc>
        <w:tc>
          <w:tcPr>
            <w:tcW w:w="1300" w:type="dxa"/>
            <w:vMerge w:val="restart"/>
            <w:tcBorders>
              <w:top w:val="nil"/>
              <w:left w:val="nil"/>
              <w:right w:val="single" w:color="auto" w:sz="4" w:space="0"/>
            </w:tcBorders>
            <w:shd w:val="clear" w:color="auto" w:fill="FFFFFF"/>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　</w:t>
            </w:r>
          </w:p>
        </w:tc>
      </w:tr>
      <w:tr>
        <w:tblPrEx>
          <w:tblCellMar>
            <w:top w:w="0" w:type="dxa"/>
            <w:left w:w="108" w:type="dxa"/>
            <w:bottom w:w="0" w:type="dxa"/>
            <w:right w:w="108" w:type="dxa"/>
          </w:tblCellMar>
        </w:tblPrEx>
        <w:trPr>
          <w:trHeight w:val="489" w:hRule="atLeast"/>
          <w:jc w:val="center"/>
        </w:trPr>
        <w:tc>
          <w:tcPr>
            <w:tcW w:w="1200" w:type="dxa"/>
            <w:vMerge w:val="continue"/>
            <w:tcBorders>
              <w:left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cs="宋体"/>
                <w:color w:val="000000" w:themeColor="text1"/>
                <w:kern w:val="0"/>
                <w:sz w:val="20"/>
                <w14:textFill>
                  <w14:solidFill>
                    <w14:schemeClr w14:val="tx1"/>
                  </w14:solidFill>
                </w14:textFill>
              </w:rPr>
            </w:pPr>
          </w:p>
        </w:tc>
        <w:tc>
          <w:tcPr>
            <w:tcW w:w="1160" w:type="dxa"/>
            <w:vMerge w:val="continue"/>
            <w:tcBorders>
              <w:left w:val="nil"/>
              <w:right w:val="single" w:color="auto" w:sz="4" w:space="0"/>
            </w:tcBorders>
            <w:shd w:val="clear" w:color="auto" w:fill="auto"/>
            <w:vAlign w:val="center"/>
          </w:tcPr>
          <w:p>
            <w:pPr>
              <w:widowControl/>
              <w:spacing w:line="240" w:lineRule="exact"/>
              <w:jc w:val="center"/>
              <w:rPr>
                <w:rFonts w:hint="eastAsia" w:ascii="仿宋_GB2312" w:hAnsi="宋体" w:cs="宋体"/>
                <w:color w:val="000000" w:themeColor="text1"/>
                <w:kern w:val="0"/>
                <w:sz w:val="20"/>
                <w14:textFill>
                  <w14:solidFill>
                    <w14:schemeClr w14:val="tx1"/>
                  </w14:solidFill>
                </w14:textFill>
              </w:rPr>
            </w:pPr>
          </w:p>
        </w:tc>
        <w:tc>
          <w:tcPr>
            <w:tcW w:w="1520" w:type="dxa"/>
            <w:vMerge w:val="continue"/>
            <w:tcBorders>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cs="宋体"/>
                <w:color w:val="000000" w:themeColor="text1"/>
                <w:kern w:val="0"/>
                <w:sz w:val="20"/>
                <w14:textFill>
                  <w14:solidFill>
                    <w14:schemeClr w14:val="tx1"/>
                  </w14:solidFill>
                </w14:textFill>
              </w:rPr>
            </w:pPr>
          </w:p>
        </w:tc>
        <w:tc>
          <w:tcPr>
            <w:tcW w:w="374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cs="宋体"/>
                <w:color w:val="000000" w:themeColor="text1"/>
                <w:kern w:val="0"/>
                <w:sz w:val="20"/>
                <w:szCs w:val="20"/>
                <w:lang w:val="en-US" w:eastAsia="zh-CN"/>
                <w14:textFill>
                  <w14:solidFill>
                    <w14:schemeClr w14:val="tx1"/>
                  </w14:solidFill>
                </w14:textFill>
              </w:rPr>
            </w:pPr>
            <w:r>
              <w:rPr>
                <w:rFonts w:hint="eastAsia" w:ascii="仿宋_GB2312" w:hAnsi="宋体" w:cs="宋体"/>
                <w:color w:val="000000" w:themeColor="text1"/>
                <w:kern w:val="0"/>
                <w:sz w:val="20"/>
                <w:szCs w:val="20"/>
                <w14:textFill>
                  <w14:solidFill>
                    <w14:schemeClr w14:val="tx1"/>
                  </w14:solidFill>
                </w14:textFill>
              </w:rPr>
              <w:t>大型传统巴陵戏《审刺客》的复排。</w:t>
            </w:r>
          </w:p>
        </w:tc>
        <w:tc>
          <w:tcPr>
            <w:tcW w:w="58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hint="default" w:ascii="仿宋_GB2312" w:hAnsi="宋体" w:cs="宋体"/>
                <w:color w:val="000000" w:themeColor="text1"/>
                <w:kern w:val="0"/>
                <w:sz w:val="20"/>
                <w:lang w:val="en-US" w:eastAsia="zh-CN"/>
                <w14:textFill>
                  <w14:solidFill>
                    <w14:schemeClr w14:val="tx1"/>
                  </w14:solidFill>
                </w14:textFill>
              </w:rPr>
            </w:pPr>
            <w:r>
              <w:rPr>
                <w:rFonts w:hint="eastAsia" w:ascii="仿宋_GB2312" w:hAnsi="宋体" w:cs="宋体"/>
                <w:color w:val="000000" w:themeColor="text1"/>
                <w:kern w:val="0"/>
                <w:sz w:val="20"/>
                <w:lang w:val="en-US" w:eastAsia="zh-CN"/>
                <w14:textFill>
                  <w14:solidFill>
                    <w14:schemeClr w14:val="tx1"/>
                  </w14:solidFill>
                </w14:textFill>
              </w:rPr>
              <w:t>3</w:t>
            </w:r>
          </w:p>
        </w:tc>
        <w:tc>
          <w:tcPr>
            <w:tcW w:w="70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cs="宋体"/>
                <w:color w:val="000000" w:themeColor="text1"/>
                <w:kern w:val="0"/>
                <w:sz w:val="20"/>
                <w:lang w:val="en-US" w:eastAsia="zh-CN"/>
                <w14:textFill>
                  <w14:solidFill>
                    <w14:schemeClr w14:val="tx1"/>
                  </w14:solidFill>
                </w14:textFill>
              </w:rPr>
            </w:pPr>
            <w:r>
              <w:rPr>
                <w:rFonts w:hint="eastAsia" w:ascii="仿宋_GB2312" w:hAnsi="宋体" w:cs="宋体"/>
                <w:color w:val="000000" w:themeColor="text1"/>
                <w:kern w:val="0"/>
                <w:sz w:val="20"/>
                <w:lang w:val="en-US" w:eastAsia="zh-CN"/>
                <w14:textFill>
                  <w14:solidFill>
                    <w14:schemeClr w14:val="tx1"/>
                  </w14:solidFill>
                </w14:textFill>
              </w:rPr>
              <w:t>3</w:t>
            </w:r>
          </w:p>
        </w:tc>
        <w:tc>
          <w:tcPr>
            <w:tcW w:w="1300" w:type="dxa"/>
            <w:vMerge w:val="continue"/>
            <w:tcBorders>
              <w:left w:val="nil"/>
              <w:right w:val="single" w:color="auto" w:sz="4" w:space="0"/>
            </w:tcBorders>
            <w:shd w:val="clear" w:color="auto" w:fill="FFFFFF"/>
            <w:vAlign w:val="center"/>
          </w:tcPr>
          <w:p>
            <w:pPr>
              <w:widowControl/>
              <w:spacing w:line="240" w:lineRule="exact"/>
              <w:jc w:val="center"/>
              <w:rPr>
                <w:rFonts w:hint="eastAsia" w:ascii="仿宋_GB2312" w:hAnsi="宋体" w:cs="宋体"/>
                <w:color w:val="000000" w:themeColor="text1"/>
                <w:kern w:val="0"/>
                <w:sz w:val="20"/>
                <w14:textFill>
                  <w14:solidFill>
                    <w14:schemeClr w14:val="tx1"/>
                  </w14:solidFill>
                </w14:textFill>
              </w:rPr>
            </w:pPr>
          </w:p>
        </w:tc>
      </w:tr>
      <w:tr>
        <w:tblPrEx>
          <w:tblCellMar>
            <w:top w:w="0" w:type="dxa"/>
            <w:left w:w="108" w:type="dxa"/>
            <w:bottom w:w="0" w:type="dxa"/>
            <w:right w:w="108" w:type="dxa"/>
          </w:tblCellMar>
        </w:tblPrEx>
        <w:trPr>
          <w:trHeight w:val="489" w:hRule="atLeast"/>
          <w:jc w:val="center"/>
        </w:trPr>
        <w:tc>
          <w:tcPr>
            <w:tcW w:w="1200" w:type="dxa"/>
            <w:vMerge w:val="continue"/>
            <w:tcBorders>
              <w:left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cs="宋体"/>
                <w:color w:val="000000" w:themeColor="text1"/>
                <w:kern w:val="0"/>
                <w:sz w:val="20"/>
                <w14:textFill>
                  <w14:solidFill>
                    <w14:schemeClr w14:val="tx1"/>
                  </w14:solidFill>
                </w14:textFill>
              </w:rPr>
            </w:pPr>
          </w:p>
        </w:tc>
        <w:tc>
          <w:tcPr>
            <w:tcW w:w="1160" w:type="dxa"/>
            <w:vMerge w:val="continue"/>
            <w:tcBorders>
              <w:left w:val="nil"/>
              <w:right w:val="single" w:color="auto" w:sz="4" w:space="0"/>
            </w:tcBorders>
            <w:shd w:val="clear" w:color="auto" w:fill="auto"/>
            <w:vAlign w:val="center"/>
          </w:tcPr>
          <w:p>
            <w:pPr>
              <w:widowControl/>
              <w:spacing w:line="240" w:lineRule="exact"/>
              <w:jc w:val="center"/>
              <w:rPr>
                <w:rFonts w:hint="eastAsia" w:ascii="仿宋_GB2312" w:hAnsi="宋体" w:cs="宋体"/>
                <w:color w:val="000000" w:themeColor="text1"/>
                <w:kern w:val="0"/>
                <w:sz w:val="20"/>
                <w14:textFill>
                  <w14:solidFill>
                    <w14:schemeClr w14:val="tx1"/>
                  </w14:solidFill>
                </w14:textFill>
              </w:rPr>
            </w:pPr>
          </w:p>
        </w:tc>
        <w:tc>
          <w:tcPr>
            <w:tcW w:w="1520" w:type="dxa"/>
            <w:vMerge w:val="restart"/>
            <w:tcBorders>
              <w:top w:val="nil"/>
              <w:left w:val="nil"/>
              <w:right w:val="single" w:color="auto" w:sz="4" w:space="0"/>
            </w:tcBorders>
            <w:shd w:val="clear" w:color="auto" w:fill="auto"/>
            <w:vAlign w:val="center"/>
          </w:tcPr>
          <w:p>
            <w:pPr>
              <w:widowControl/>
              <w:spacing w:line="240" w:lineRule="exact"/>
              <w:jc w:val="center"/>
              <w:rPr>
                <w:rFonts w:hint="eastAsia" w:ascii="仿宋_GB2312" w:hAnsi="宋体" w:cs="宋体"/>
                <w:color w:val="000000" w:themeColor="text1"/>
                <w:kern w:val="0"/>
                <w:sz w:val="20"/>
                <w:lang w:val="en-US" w:eastAsia="zh-CN"/>
                <w14:textFill>
                  <w14:solidFill>
                    <w14:schemeClr w14:val="tx1"/>
                  </w14:solidFill>
                </w14:textFill>
              </w:rPr>
            </w:pPr>
            <w:r>
              <w:rPr>
                <w:rFonts w:hint="eastAsia" w:ascii="仿宋_GB2312" w:hAnsi="宋体" w:cs="宋体"/>
                <w:color w:val="000000" w:themeColor="text1"/>
                <w:kern w:val="0"/>
                <w:sz w:val="20"/>
                <w:lang w:val="en-US" w:eastAsia="zh-CN"/>
                <w14:textFill>
                  <w14:solidFill>
                    <w14:schemeClr w14:val="tx1"/>
                  </w14:solidFill>
                </w14:textFill>
              </w:rPr>
              <w:t>数量指标</w:t>
            </w:r>
          </w:p>
        </w:tc>
        <w:tc>
          <w:tcPr>
            <w:tcW w:w="374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cs="宋体"/>
                <w:color w:val="000000" w:themeColor="text1"/>
                <w:kern w:val="0"/>
                <w:sz w:val="20"/>
                <w:szCs w:val="20"/>
                <w:lang w:val="en-US" w:eastAsia="zh-CN"/>
                <w14:textFill>
                  <w14:solidFill>
                    <w14:schemeClr w14:val="tx1"/>
                  </w14:solidFill>
                </w14:textFill>
              </w:rPr>
            </w:pPr>
            <w:r>
              <w:rPr>
                <w:rFonts w:hint="eastAsia" w:ascii="仿宋_GB2312" w:hAnsi="宋体" w:cs="宋体"/>
                <w:color w:val="000000" w:themeColor="text1"/>
                <w:kern w:val="0"/>
                <w:sz w:val="20"/>
                <w:szCs w:val="20"/>
                <w14:textFill>
                  <w14:solidFill>
                    <w14:schemeClr w14:val="tx1"/>
                  </w14:solidFill>
                </w14:textFill>
              </w:rPr>
              <w:t>增加恵及游客人数</w:t>
            </w:r>
          </w:p>
        </w:tc>
        <w:tc>
          <w:tcPr>
            <w:tcW w:w="58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hint="default" w:ascii="仿宋_GB2312" w:hAnsi="宋体" w:cs="宋体"/>
                <w:color w:val="000000" w:themeColor="text1"/>
                <w:kern w:val="0"/>
                <w:sz w:val="20"/>
                <w:lang w:val="en-US" w:eastAsia="zh-CN"/>
                <w14:textFill>
                  <w14:solidFill>
                    <w14:schemeClr w14:val="tx1"/>
                  </w14:solidFill>
                </w14:textFill>
              </w:rPr>
            </w:pPr>
            <w:r>
              <w:rPr>
                <w:rFonts w:hint="eastAsia" w:ascii="仿宋_GB2312" w:hAnsi="宋体" w:cs="宋体"/>
                <w:color w:val="000000" w:themeColor="text1"/>
                <w:kern w:val="0"/>
                <w:sz w:val="20"/>
                <w:lang w:val="en-US" w:eastAsia="zh-CN"/>
                <w14:textFill>
                  <w14:solidFill>
                    <w14:schemeClr w14:val="tx1"/>
                  </w14:solidFill>
                </w14:textFill>
              </w:rPr>
              <w:t>3</w:t>
            </w:r>
          </w:p>
        </w:tc>
        <w:tc>
          <w:tcPr>
            <w:tcW w:w="70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hint="default" w:ascii="仿宋_GB2312" w:hAnsi="宋体" w:cs="宋体"/>
                <w:color w:val="000000" w:themeColor="text1"/>
                <w:kern w:val="0"/>
                <w:sz w:val="20"/>
                <w:lang w:val="en-US" w:eastAsia="zh-CN"/>
                <w14:textFill>
                  <w14:solidFill>
                    <w14:schemeClr w14:val="tx1"/>
                  </w14:solidFill>
                </w14:textFill>
              </w:rPr>
            </w:pPr>
            <w:r>
              <w:rPr>
                <w:rFonts w:hint="eastAsia" w:ascii="仿宋_GB2312" w:hAnsi="宋体" w:cs="宋体"/>
                <w:color w:val="000000" w:themeColor="text1"/>
                <w:kern w:val="0"/>
                <w:sz w:val="20"/>
                <w:lang w:val="en-US" w:eastAsia="zh-CN"/>
                <w14:textFill>
                  <w14:solidFill>
                    <w14:schemeClr w14:val="tx1"/>
                  </w14:solidFill>
                </w14:textFill>
              </w:rPr>
              <w:t>3</w:t>
            </w:r>
          </w:p>
        </w:tc>
        <w:tc>
          <w:tcPr>
            <w:tcW w:w="1300" w:type="dxa"/>
            <w:vMerge w:val="continue"/>
            <w:tcBorders>
              <w:left w:val="nil"/>
              <w:right w:val="single" w:color="auto" w:sz="4" w:space="0"/>
            </w:tcBorders>
            <w:shd w:val="clear" w:color="auto" w:fill="FFFFFF"/>
            <w:vAlign w:val="center"/>
          </w:tcPr>
          <w:p>
            <w:pPr>
              <w:widowControl/>
              <w:spacing w:line="240" w:lineRule="exact"/>
              <w:jc w:val="center"/>
              <w:rPr>
                <w:rFonts w:hint="eastAsia" w:ascii="仿宋_GB2312" w:hAnsi="宋体" w:cs="宋体"/>
                <w:color w:val="000000" w:themeColor="text1"/>
                <w:kern w:val="0"/>
                <w:sz w:val="20"/>
                <w14:textFill>
                  <w14:solidFill>
                    <w14:schemeClr w14:val="tx1"/>
                  </w14:solidFill>
                </w14:textFill>
              </w:rPr>
            </w:pPr>
          </w:p>
        </w:tc>
      </w:tr>
      <w:tr>
        <w:tblPrEx>
          <w:tblCellMar>
            <w:top w:w="0" w:type="dxa"/>
            <w:left w:w="108" w:type="dxa"/>
            <w:bottom w:w="0" w:type="dxa"/>
            <w:right w:w="108" w:type="dxa"/>
          </w:tblCellMar>
        </w:tblPrEx>
        <w:trPr>
          <w:trHeight w:val="489" w:hRule="atLeast"/>
          <w:jc w:val="center"/>
        </w:trPr>
        <w:tc>
          <w:tcPr>
            <w:tcW w:w="1200" w:type="dxa"/>
            <w:vMerge w:val="continue"/>
            <w:tcBorders>
              <w:left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cs="宋体"/>
                <w:color w:val="000000" w:themeColor="text1"/>
                <w:kern w:val="0"/>
                <w:sz w:val="20"/>
                <w14:textFill>
                  <w14:solidFill>
                    <w14:schemeClr w14:val="tx1"/>
                  </w14:solidFill>
                </w14:textFill>
              </w:rPr>
            </w:pPr>
          </w:p>
        </w:tc>
        <w:tc>
          <w:tcPr>
            <w:tcW w:w="1160" w:type="dxa"/>
            <w:vMerge w:val="continue"/>
            <w:tcBorders>
              <w:left w:val="nil"/>
              <w:right w:val="single" w:color="auto" w:sz="4" w:space="0"/>
            </w:tcBorders>
            <w:shd w:val="clear" w:color="auto" w:fill="auto"/>
            <w:vAlign w:val="center"/>
          </w:tcPr>
          <w:p>
            <w:pPr>
              <w:widowControl/>
              <w:spacing w:line="240" w:lineRule="exact"/>
              <w:jc w:val="center"/>
              <w:rPr>
                <w:rFonts w:hint="eastAsia" w:ascii="仿宋_GB2312" w:hAnsi="宋体" w:cs="宋体"/>
                <w:color w:val="000000" w:themeColor="text1"/>
                <w:kern w:val="0"/>
                <w:sz w:val="20"/>
                <w14:textFill>
                  <w14:solidFill>
                    <w14:schemeClr w14:val="tx1"/>
                  </w14:solidFill>
                </w14:textFill>
              </w:rPr>
            </w:pPr>
          </w:p>
        </w:tc>
        <w:tc>
          <w:tcPr>
            <w:tcW w:w="1520" w:type="dxa"/>
            <w:vMerge w:val="continue"/>
            <w:tcBorders>
              <w:left w:val="nil"/>
              <w:right w:val="single" w:color="auto" w:sz="4" w:space="0"/>
            </w:tcBorders>
            <w:shd w:val="clear" w:color="auto" w:fill="auto"/>
            <w:vAlign w:val="center"/>
          </w:tcPr>
          <w:p>
            <w:pPr>
              <w:widowControl/>
              <w:spacing w:line="240" w:lineRule="exact"/>
              <w:jc w:val="center"/>
              <w:rPr>
                <w:rFonts w:hint="eastAsia" w:ascii="仿宋_GB2312" w:hAnsi="宋体" w:cs="宋体"/>
                <w:color w:val="000000" w:themeColor="text1"/>
                <w:kern w:val="0"/>
                <w:sz w:val="20"/>
                <w:lang w:val="en-US" w:eastAsia="zh-CN"/>
                <w14:textFill>
                  <w14:solidFill>
                    <w14:schemeClr w14:val="tx1"/>
                  </w14:solidFill>
                </w14:textFill>
              </w:rPr>
            </w:pPr>
          </w:p>
        </w:tc>
        <w:tc>
          <w:tcPr>
            <w:tcW w:w="374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cs="宋体"/>
                <w:color w:val="000000" w:themeColor="text1"/>
                <w:kern w:val="0"/>
                <w:sz w:val="20"/>
                <w:szCs w:val="20"/>
                <w:lang w:val="en-US" w:eastAsia="zh-CN"/>
                <w14:textFill>
                  <w14:solidFill>
                    <w14:schemeClr w14:val="tx1"/>
                  </w14:solidFill>
                </w14:textFill>
              </w:rPr>
            </w:pPr>
            <w:r>
              <w:rPr>
                <w:rFonts w:hint="eastAsia" w:ascii="仿宋_GB2312" w:hAnsi="宋体" w:cs="宋体"/>
                <w:color w:val="000000" w:themeColor="text1"/>
                <w:kern w:val="0"/>
                <w:sz w:val="20"/>
                <w:szCs w:val="20"/>
                <w14:textFill>
                  <w14:solidFill>
                    <w14:schemeClr w14:val="tx1"/>
                  </w14:solidFill>
                </w14:textFill>
              </w:rPr>
              <w:t>有地方代表性的戏曲、歌舞、相声等</w:t>
            </w:r>
            <w:r>
              <w:rPr>
                <w:rFonts w:hint="eastAsia" w:ascii="仿宋_GB2312" w:hAnsi="宋体" w:cs="宋体"/>
                <w:color w:val="000000" w:themeColor="text1"/>
                <w:kern w:val="0"/>
                <w:sz w:val="20"/>
                <w:szCs w:val="20"/>
                <w:lang w:val="en-US" w:eastAsia="zh-CN"/>
                <w14:textFill>
                  <w14:solidFill>
                    <w14:schemeClr w14:val="tx1"/>
                  </w14:solidFill>
                </w14:textFill>
              </w:rPr>
              <w:t>表演</w:t>
            </w:r>
          </w:p>
        </w:tc>
        <w:tc>
          <w:tcPr>
            <w:tcW w:w="58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hint="default" w:ascii="仿宋_GB2312" w:hAnsi="宋体" w:cs="宋体"/>
                <w:color w:val="000000" w:themeColor="text1"/>
                <w:kern w:val="0"/>
                <w:sz w:val="20"/>
                <w:lang w:val="en-US" w:eastAsia="zh-CN"/>
                <w14:textFill>
                  <w14:solidFill>
                    <w14:schemeClr w14:val="tx1"/>
                  </w14:solidFill>
                </w14:textFill>
              </w:rPr>
            </w:pPr>
            <w:r>
              <w:rPr>
                <w:rFonts w:hint="eastAsia" w:ascii="仿宋_GB2312" w:hAnsi="宋体" w:cs="宋体"/>
                <w:color w:val="000000" w:themeColor="text1"/>
                <w:kern w:val="0"/>
                <w:sz w:val="20"/>
                <w:lang w:val="en-US" w:eastAsia="zh-CN"/>
                <w14:textFill>
                  <w14:solidFill>
                    <w14:schemeClr w14:val="tx1"/>
                  </w14:solidFill>
                </w14:textFill>
              </w:rPr>
              <w:t>3</w:t>
            </w:r>
          </w:p>
        </w:tc>
        <w:tc>
          <w:tcPr>
            <w:tcW w:w="70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hint="default" w:ascii="仿宋_GB2312" w:hAnsi="宋体" w:cs="宋体"/>
                <w:color w:val="000000" w:themeColor="text1"/>
                <w:kern w:val="0"/>
                <w:sz w:val="20"/>
                <w:lang w:val="en-US" w:eastAsia="zh-CN"/>
                <w14:textFill>
                  <w14:solidFill>
                    <w14:schemeClr w14:val="tx1"/>
                  </w14:solidFill>
                </w14:textFill>
              </w:rPr>
            </w:pPr>
            <w:r>
              <w:rPr>
                <w:rFonts w:hint="eastAsia" w:ascii="仿宋_GB2312" w:hAnsi="宋体" w:cs="宋体"/>
                <w:color w:val="000000" w:themeColor="text1"/>
                <w:kern w:val="0"/>
                <w:sz w:val="20"/>
                <w:lang w:val="en-US" w:eastAsia="zh-CN"/>
                <w14:textFill>
                  <w14:solidFill>
                    <w14:schemeClr w14:val="tx1"/>
                  </w14:solidFill>
                </w14:textFill>
              </w:rPr>
              <w:t>3</w:t>
            </w:r>
          </w:p>
        </w:tc>
        <w:tc>
          <w:tcPr>
            <w:tcW w:w="1300" w:type="dxa"/>
            <w:vMerge w:val="continue"/>
            <w:tcBorders>
              <w:left w:val="nil"/>
              <w:right w:val="single" w:color="auto" w:sz="4" w:space="0"/>
            </w:tcBorders>
            <w:shd w:val="clear" w:color="auto" w:fill="FFFFFF"/>
            <w:vAlign w:val="center"/>
          </w:tcPr>
          <w:p>
            <w:pPr>
              <w:widowControl/>
              <w:spacing w:line="240" w:lineRule="exact"/>
              <w:jc w:val="center"/>
              <w:rPr>
                <w:rFonts w:hint="eastAsia" w:ascii="仿宋_GB2312" w:hAnsi="宋体" w:cs="宋体"/>
                <w:color w:val="000000" w:themeColor="text1"/>
                <w:kern w:val="0"/>
                <w:sz w:val="20"/>
                <w14:textFill>
                  <w14:solidFill>
                    <w14:schemeClr w14:val="tx1"/>
                  </w14:solidFill>
                </w14:textFill>
              </w:rPr>
            </w:pPr>
          </w:p>
        </w:tc>
      </w:tr>
      <w:tr>
        <w:tblPrEx>
          <w:tblCellMar>
            <w:top w:w="0" w:type="dxa"/>
            <w:left w:w="108" w:type="dxa"/>
            <w:bottom w:w="0" w:type="dxa"/>
            <w:right w:w="108" w:type="dxa"/>
          </w:tblCellMar>
        </w:tblPrEx>
        <w:trPr>
          <w:trHeight w:val="381" w:hRule="atLeast"/>
          <w:jc w:val="center"/>
        </w:trPr>
        <w:tc>
          <w:tcPr>
            <w:tcW w:w="1200" w:type="dxa"/>
            <w:vMerge w:val="continue"/>
            <w:tcBorders>
              <w:left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cs="宋体"/>
                <w:color w:val="000000" w:themeColor="text1"/>
                <w:kern w:val="0"/>
                <w:sz w:val="20"/>
                <w14:textFill>
                  <w14:solidFill>
                    <w14:schemeClr w14:val="tx1"/>
                  </w14:solidFill>
                </w14:textFill>
              </w:rPr>
            </w:pPr>
          </w:p>
        </w:tc>
        <w:tc>
          <w:tcPr>
            <w:tcW w:w="1160" w:type="dxa"/>
            <w:vMerge w:val="continue"/>
            <w:tcBorders>
              <w:left w:val="nil"/>
              <w:right w:val="single" w:color="auto" w:sz="4" w:space="0"/>
            </w:tcBorders>
            <w:shd w:val="clear" w:color="auto" w:fill="auto"/>
            <w:vAlign w:val="center"/>
          </w:tcPr>
          <w:p>
            <w:pPr>
              <w:widowControl/>
              <w:spacing w:line="240" w:lineRule="exact"/>
              <w:jc w:val="center"/>
              <w:rPr>
                <w:rFonts w:hint="eastAsia" w:ascii="仿宋_GB2312" w:hAnsi="宋体" w:cs="宋体"/>
                <w:color w:val="000000" w:themeColor="text1"/>
                <w:kern w:val="0"/>
                <w:sz w:val="20"/>
                <w14:textFill>
                  <w14:solidFill>
                    <w14:schemeClr w14:val="tx1"/>
                  </w14:solidFill>
                </w14:textFill>
              </w:rPr>
            </w:pPr>
          </w:p>
        </w:tc>
        <w:tc>
          <w:tcPr>
            <w:tcW w:w="152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cs="宋体"/>
                <w:color w:val="000000" w:themeColor="text1"/>
                <w:kern w:val="0"/>
                <w:sz w:val="20"/>
                <w:lang w:val="en-US" w:eastAsia="zh-CN"/>
                <w14:textFill>
                  <w14:solidFill>
                    <w14:schemeClr w14:val="tx1"/>
                  </w14:solidFill>
                </w14:textFill>
              </w:rPr>
            </w:pPr>
            <w:r>
              <w:rPr>
                <w:rFonts w:hint="eastAsia" w:ascii="仿宋_GB2312" w:hAnsi="宋体" w:cs="宋体"/>
                <w:color w:val="000000" w:themeColor="text1"/>
                <w:kern w:val="0"/>
                <w:sz w:val="20"/>
                <w:lang w:val="en-US" w:eastAsia="zh-CN"/>
                <w14:textFill>
                  <w14:solidFill>
                    <w14:schemeClr w14:val="tx1"/>
                  </w14:solidFill>
                </w14:textFill>
              </w:rPr>
              <w:t>时效指标</w:t>
            </w:r>
          </w:p>
        </w:tc>
        <w:tc>
          <w:tcPr>
            <w:tcW w:w="374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cs="宋体"/>
                <w:color w:val="000000" w:themeColor="text1"/>
                <w:kern w:val="0"/>
                <w:sz w:val="20"/>
                <w:lang w:val="en-US" w:eastAsia="zh-CN"/>
                <w14:textFill>
                  <w14:solidFill>
                    <w14:schemeClr w14:val="tx1"/>
                  </w14:solidFill>
                </w14:textFill>
              </w:rPr>
            </w:pPr>
            <w:r>
              <w:rPr>
                <w:rFonts w:hint="eastAsia" w:ascii="仿宋_GB2312" w:hAnsi="宋体" w:cs="宋体"/>
                <w:color w:val="000000" w:themeColor="text1"/>
                <w:kern w:val="0"/>
                <w:sz w:val="20"/>
                <w:szCs w:val="20"/>
                <w:lang w:val="en-US" w:eastAsia="zh-CN"/>
                <w14:textFill>
                  <w14:solidFill>
                    <w14:schemeClr w14:val="tx1"/>
                  </w14:solidFill>
                </w14:textFill>
              </w:rPr>
              <w:t>目标任务完成及时率100%</w:t>
            </w:r>
          </w:p>
        </w:tc>
        <w:tc>
          <w:tcPr>
            <w:tcW w:w="58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cs="宋体"/>
                <w:color w:val="000000" w:themeColor="text1"/>
                <w:kern w:val="0"/>
                <w:sz w:val="20"/>
                <w:lang w:val="en-US" w:eastAsia="zh-CN"/>
                <w14:textFill>
                  <w14:solidFill>
                    <w14:schemeClr w14:val="tx1"/>
                  </w14:solidFill>
                </w14:textFill>
              </w:rPr>
            </w:pPr>
            <w:r>
              <w:rPr>
                <w:rFonts w:hint="eastAsia" w:ascii="仿宋_GB2312" w:hAnsi="宋体" w:cs="宋体"/>
                <w:color w:val="000000" w:themeColor="text1"/>
                <w:kern w:val="0"/>
                <w:sz w:val="20"/>
                <w:lang w:val="en-US" w:eastAsia="zh-CN"/>
                <w14:textFill>
                  <w14:solidFill>
                    <w14:schemeClr w14:val="tx1"/>
                  </w14:solidFill>
                </w14:textFill>
              </w:rPr>
              <w:t>3</w:t>
            </w:r>
          </w:p>
        </w:tc>
        <w:tc>
          <w:tcPr>
            <w:tcW w:w="70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cs="宋体"/>
                <w:color w:val="000000" w:themeColor="text1"/>
                <w:kern w:val="0"/>
                <w:sz w:val="20"/>
                <w:lang w:val="en-US" w:eastAsia="zh-CN"/>
                <w14:textFill>
                  <w14:solidFill>
                    <w14:schemeClr w14:val="tx1"/>
                  </w14:solidFill>
                </w14:textFill>
              </w:rPr>
            </w:pPr>
            <w:r>
              <w:rPr>
                <w:rFonts w:hint="eastAsia" w:ascii="仿宋_GB2312" w:hAnsi="宋体" w:cs="宋体"/>
                <w:color w:val="000000" w:themeColor="text1"/>
                <w:kern w:val="0"/>
                <w:sz w:val="20"/>
                <w:lang w:val="en-US" w:eastAsia="zh-CN"/>
                <w14:textFill>
                  <w14:solidFill>
                    <w14:schemeClr w14:val="tx1"/>
                  </w14:solidFill>
                </w14:textFill>
              </w:rPr>
              <w:t>3</w:t>
            </w:r>
          </w:p>
        </w:tc>
        <w:tc>
          <w:tcPr>
            <w:tcW w:w="1300" w:type="dxa"/>
            <w:vMerge w:val="continue"/>
            <w:tcBorders>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cs="宋体"/>
                <w:color w:val="000000" w:themeColor="text1"/>
                <w:kern w:val="0"/>
                <w:sz w:val="20"/>
                <w14:textFill>
                  <w14:solidFill>
                    <w14:schemeClr w14:val="tx1"/>
                  </w14:solidFill>
                </w14:textFill>
              </w:rPr>
            </w:pPr>
          </w:p>
        </w:tc>
      </w:tr>
      <w:tr>
        <w:tblPrEx>
          <w:tblCellMar>
            <w:top w:w="0" w:type="dxa"/>
            <w:left w:w="108" w:type="dxa"/>
            <w:bottom w:w="0" w:type="dxa"/>
            <w:right w:w="108" w:type="dxa"/>
          </w:tblCellMar>
        </w:tblPrEx>
        <w:trPr>
          <w:trHeight w:val="381" w:hRule="atLeast"/>
          <w:jc w:val="center"/>
        </w:trPr>
        <w:tc>
          <w:tcPr>
            <w:tcW w:w="1200" w:type="dxa"/>
            <w:vMerge w:val="continue"/>
            <w:tcBorders>
              <w:left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cs="宋体"/>
                <w:color w:val="000000" w:themeColor="text1"/>
                <w:kern w:val="0"/>
                <w:sz w:val="20"/>
                <w14:textFill>
                  <w14:solidFill>
                    <w14:schemeClr w14:val="tx1"/>
                  </w14:solidFill>
                </w14:textFill>
              </w:rPr>
            </w:pPr>
          </w:p>
        </w:tc>
        <w:tc>
          <w:tcPr>
            <w:tcW w:w="1160" w:type="dxa"/>
            <w:vMerge w:val="continue"/>
            <w:tcBorders>
              <w:left w:val="nil"/>
              <w:right w:val="single" w:color="auto" w:sz="4" w:space="0"/>
            </w:tcBorders>
            <w:shd w:val="clear" w:color="auto" w:fill="auto"/>
            <w:vAlign w:val="center"/>
          </w:tcPr>
          <w:p>
            <w:pPr>
              <w:widowControl/>
              <w:spacing w:line="240" w:lineRule="exact"/>
              <w:jc w:val="center"/>
              <w:rPr>
                <w:rFonts w:hint="eastAsia" w:ascii="仿宋_GB2312" w:hAnsi="宋体" w:cs="宋体"/>
                <w:color w:val="000000" w:themeColor="text1"/>
                <w:kern w:val="0"/>
                <w:sz w:val="20"/>
                <w14:textFill>
                  <w14:solidFill>
                    <w14:schemeClr w14:val="tx1"/>
                  </w14:solidFill>
                </w14:textFill>
              </w:rPr>
            </w:pPr>
          </w:p>
        </w:tc>
        <w:tc>
          <w:tcPr>
            <w:tcW w:w="1520" w:type="dxa"/>
            <w:tcBorders>
              <w:top w:val="single" w:color="auto" w:sz="4" w:space="0"/>
              <w:left w:val="nil"/>
              <w:right w:val="single" w:color="auto" w:sz="4" w:space="0"/>
            </w:tcBorders>
            <w:shd w:val="clear" w:color="auto" w:fill="auto"/>
            <w:vAlign w:val="center"/>
          </w:tcPr>
          <w:p>
            <w:pPr>
              <w:widowControl/>
              <w:spacing w:line="240" w:lineRule="exact"/>
              <w:jc w:val="center"/>
              <w:rPr>
                <w:rFonts w:hint="default" w:ascii="仿宋_GB2312" w:hAnsi="宋体" w:cs="宋体"/>
                <w:color w:val="000000" w:themeColor="text1"/>
                <w:kern w:val="0"/>
                <w:sz w:val="20"/>
                <w:lang w:val="en-US" w:eastAsia="zh-CN"/>
                <w14:textFill>
                  <w14:solidFill>
                    <w14:schemeClr w14:val="tx1"/>
                  </w14:solidFill>
                </w14:textFill>
              </w:rPr>
            </w:pPr>
            <w:r>
              <w:rPr>
                <w:rFonts w:hint="eastAsia" w:ascii="仿宋_GB2312" w:hAnsi="宋体" w:cs="宋体"/>
                <w:color w:val="000000" w:themeColor="text1"/>
                <w:kern w:val="0"/>
                <w:sz w:val="20"/>
                <w:lang w:eastAsia="zh-CN"/>
                <w14:textFill>
                  <w14:solidFill>
                    <w14:schemeClr w14:val="tx1"/>
                  </w14:solidFill>
                </w14:textFill>
              </w:rPr>
              <w:t>成本指标</w:t>
            </w:r>
          </w:p>
        </w:tc>
        <w:tc>
          <w:tcPr>
            <w:tcW w:w="374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cs="宋体"/>
                <w:color w:val="000000" w:themeColor="text1"/>
                <w:kern w:val="0"/>
                <w:sz w:val="20"/>
                <w:szCs w:val="20"/>
                <w:lang w:val="en-US" w:eastAsia="zh-CN"/>
                <w14:textFill>
                  <w14:solidFill>
                    <w14:schemeClr w14:val="tx1"/>
                  </w14:solidFill>
                </w14:textFill>
              </w:rPr>
            </w:pPr>
            <w:r>
              <w:rPr>
                <w:rFonts w:hint="eastAsia" w:ascii="仿宋_GB2312" w:hAnsi="宋体" w:cs="宋体"/>
                <w:color w:val="000000" w:themeColor="text1"/>
                <w:kern w:val="0"/>
                <w:sz w:val="20"/>
                <w:szCs w:val="20"/>
                <w:lang w:val="en-US" w:eastAsia="zh-CN"/>
                <w14:textFill>
                  <w14:solidFill>
                    <w14:schemeClr w14:val="tx1"/>
                  </w14:solidFill>
                </w14:textFill>
              </w:rPr>
              <w:t>预算成本控制≤3245.18万</w:t>
            </w:r>
          </w:p>
        </w:tc>
        <w:tc>
          <w:tcPr>
            <w:tcW w:w="58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cs="宋体"/>
                <w:color w:val="000000" w:themeColor="text1"/>
                <w:kern w:val="0"/>
                <w:sz w:val="20"/>
                <w:lang w:val="en-US" w:eastAsia="zh-CN"/>
                <w14:textFill>
                  <w14:solidFill>
                    <w14:schemeClr w14:val="tx1"/>
                  </w14:solidFill>
                </w14:textFill>
              </w:rPr>
            </w:pPr>
            <w:r>
              <w:rPr>
                <w:rFonts w:hint="eastAsia" w:ascii="仿宋_GB2312" w:hAnsi="宋体" w:cs="宋体"/>
                <w:color w:val="000000" w:themeColor="text1"/>
                <w:kern w:val="0"/>
                <w:sz w:val="20"/>
                <w:lang w:val="en-US" w:eastAsia="zh-CN"/>
                <w14:textFill>
                  <w14:solidFill>
                    <w14:schemeClr w14:val="tx1"/>
                  </w14:solidFill>
                </w14:textFill>
              </w:rPr>
              <w:t>3</w:t>
            </w:r>
          </w:p>
        </w:tc>
        <w:tc>
          <w:tcPr>
            <w:tcW w:w="70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cs="宋体"/>
                <w:color w:val="000000" w:themeColor="text1"/>
                <w:kern w:val="0"/>
                <w:sz w:val="20"/>
                <w:lang w:val="en-US" w:eastAsia="zh-CN"/>
                <w14:textFill>
                  <w14:solidFill>
                    <w14:schemeClr w14:val="tx1"/>
                  </w14:solidFill>
                </w14:textFill>
              </w:rPr>
            </w:pPr>
            <w:r>
              <w:rPr>
                <w:rFonts w:hint="eastAsia" w:ascii="仿宋_GB2312" w:hAnsi="宋体" w:cs="宋体"/>
                <w:color w:val="000000" w:themeColor="text1"/>
                <w:kern w:val="0"/>
                <w:sz w:val="20"/>
                <w:lang w:val="en-US" w:eastAsia="zh-CN"/>
                <w14:textFill>
                  <w14:solidFill>
                    <w14:schemeClr w14:val="tx1"/>
                  </w14:solidFill>
                </w14:textFill>
              </w:rPr>
              <w:t>3</w:t>
            </w:r>
          </w:p>
        </w:tc>
        <w:tc>
          <w:tcPr>
            <w:tcW w:w="1300" w:type="dxa"/>
            <w:vMerge w:val="continue"/>
            <w:tcBorders>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cs="宋体"/>
                <w:color w:val="000000" w:themeColor="text1"/>
                <w:kern w:val="0"/>
                <w:sz w:val="20"/>
                <w14:textFill>
                  <w14:solidFill>
                    <w14:schemeClr w14:val="tx1"/>
                  </w14:solidFill>
                </w14:textFill>
              </w:rPr>
            </w:pPr>
          </w:p>
        </w:tc>
      </w:tr>
      <w:tr>
        <w:tblPrEx>
          <w:tblCellMar>
            <w:top w:w="0" w:type="dxa"/>
            <w:left w:w="108" w:type="dxa"/>
            <w:bottom w:w="0" w:type="dxa"/>
            <w:right w:w="108" w:type="dxa"/>
          </w:tblCellMar>
        </w:tblPrEx>
        <w:trPr>
          <w:trHeight w:val="807" w:hRule="atLeast"/>
          <w:jc w:val="center"/>
        </w:trPr>
        <w:tc>
          <w:tcPr>
            <w:tcW w:w="120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效  果</w:t>
            </w:r>
          </w:p>
          <w:p>
            <w:pPr>
              <w:widowControl/>
              <w:spacing w:line="240" w:lineRule="exact"/>
              <w:jc w:val="left"/>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（2</w:t>
            </w:r>
            <w:r>
              <w:rPr>
                <w:rFonts w:hint="eastAsia" w:ascii="仿宋_GB2312" w:hAnsi="宋体" w:cs="宋体"/>
                <w:color w:val="000000" w:themeColor="text1"/>
                <w:kern w:val="0"/>
                <w:sz w:val="20"/>
                <w:lang w:val="en-US" w:eastAsia="zh-CN"/>
                <w14:textFill>
                  <w14:solidFill>
                    <w14:schemeClr w14:val="tx1"/>
                  </w14:solidFill>
                </w14:textFill>
              </w:rPr>
              <w:t>0</w:t>
            </w:r>
            <w:r>
              <w:rPr>
                <w:rFonts w:hint="eastAsia" w:ascii="仿宋_GB2312" w:hAnsi="宋体" w:cs="宋体"/>
                <w:color w:val="000000" w:themeColor="text1"/>
                <w:kern w:val="0"/>
                <w:sz w:val="20"/>
                <w14:textFill>
                  <w14:solidFill>
                    <w14:schemeClr w14:val="tx1"/>
                  </w14:solidFill>
                </w14:textFill>
              </w:rPr>
              <w:t>分）</w:t>
            </w:r>
          </w:p>
        </w:tc>
        <w:tc>
          <w:tcPr>
            <w:tcW w:w="116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履职效益</w:t>
            </w:r>
          </w:p>
          <w:p>
            <w:pPr>
              <w:widowControl/>
              <w:spacing w:line="240" w:lineRule="exact"/>
              <w:jc w:val="left"/>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w:t>
            </w:r>
            <w:r>
              <w:rPr>
                <w:rFonts w:hint="eastAsia" w:ascii="仿宋_GB2312" w:hAnsi="宋体" w:cs="宋体"/>
                <w:color w:val="000000" w:themeColor="text1"/>
                <w:kern w:val="0"/>
                <w:sz w:val="20"/>
                <w:lang w:val="en-US" w:eastAsia="zh-CN"/>
                <w14:textFill>
                  <w14:solidFill>
                    <w14:schemeClr w14:val="tx1"/>
                  </w14:solidFill>
                </w14:textFill>
              </w:rPr>
              <w:t>20</w:t>
            </w:r>
            <w:r>
              <w:rPr>
                <w:rFonts w:hint="eastAsia" w:ascii="仿宋_GB2312" w:hAnsi="宋体" w:cs="宋体"/>
                <w:color w:val="000000" w:themeColor="text1"/>
                <w:kern w:val="0"/>
                <w:sz w:val="20"/>
                <w14:textFill>
                  <w14:solidFill>
                    <w14:schemeClr w14:val="tx1"/>
                  </w14:solidFill>
                </w14:textFill>
              </w:rPr>
              <w:t>分）</w:t>
            </w:r>
          </w:p>
        </w:tc>
        <w:tc>
          <w:tcPr>
            <w:tcW w:w="152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cs="宋体"/>
                <w:color w:val="000000" w:themeColor="text1"/>
                <w:kern w:val="0"/>
                <w:sz w:val="20"/>
                <w:lang w:val="en-US" w:eastAsia="zh-CN"/>
                <w14:textFill>
                  <w14:solidFill>
                    <w14:schemeClr w14:val="tx1"/>
                  </w14:solidFill>
                </w14:textFill>
              </w:rPr>
            </w:pPr>
            <w:r>
              <w:rPr>
                <w:rFonts w:hint="eastAsia" w:ascii="仿宋_GB2312" w:hAnsi="宋体" w:cs="宋体"/>
                <w:color w:val="000000" w:themeColor="text1"/>
                <w:kern w:val="0"/>
                <w:sz w:val="20"/>
                <w:lang w:val="en-US" w:eastAsia="zh-CN"/>
                <w14:textFill>
                  <w14:solidFill>
                    <w14:schemeClr w14:val="tx1"/>
                  </w14:solidFill>
                </w14:textFill>
              </w:rPr>
              <w:t>可持续性效益</w:t>
            </w:r>
          </w:p>
        </w:tc>
        <w:tc>
          <w:tcPr>
            <w:tcW w:w="37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cs="宋体"/>
                <w:color w:val="000000" w:themeColor="text1"/>
                <w:kern w:val="0"/>
                <w:sz w:val="20"/>
                <w:szCs w:val="20"/>
                <w:lang w:val="en-US" w:eastAsia="zh-CN"/>
                <w14:textFill>
                  <w14:solidFill>
                    <w14:schemeClr w14:val="tx1"/>
                  </w14:solidFill>
                </w14:textFill>
              </w:rPr>
            </w:pPr>
            <w:r>
              <w:rPr>
                <w:rFonts w:hint="eastAsia" w:ascii="仿宋_GB2312" w:hAnsi="宋体" w:cs="宋体"/>
                <w:color w:val="000000" w:themeColor="text1"/>
                <w:kern w:val="0"/>
                <w:sz w:val="20"/>
                <w:szCs w:val="20"/>
                <w:lang w:val="en-US" w:eastAsia="zh-CN"/>
                <w14:textFill>
                  <w14:solidFill>
                    <w14:schemeClr w14:val="tx1"/>
                  </w14:solidFill>
                </w14:textFill>
              </w:rPr>
              <w:t>推动文化与旅游的融合发展</w:t>
            </w:r>
          </w:p>
        </w:tc>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default" w:ascii="仿宋_GB2312" w:hAnsi="宋体" w:eastAsia="宋体" w:cs="宋体"/>
                <w:color w:val="000000" w:themeColor="text1"/>
                <w:kern w:val="0"/>
                <w:sz w:val="20"/>
                <w:lang w:val="en-US" w:eastAsia="zh-CN"/>
                <w14:textFill>
                  <w14:solidFill>
                    <w14:schemeClr w14:val="tx1"/>
                  </w14:solidFill>
                </w14:textFill>
              </w:rPr>
            </w:pPr>
            <w:r>
              <w:rPr>
                <w:rFonts w:hint="eastAsia" w:ascii="仿宋_GB2312" w:hAnsi="宋体" w:cs="宋体"/>
                <w:color w:val="000000" w:themeColor="text1"/>
                <w:kern w:val="0"/>
                <w:sz w:val="20"/>
                <w:lang w:val="en-US" w:eastAsia="zh-CN"/>
                <w14:textFill>
                  <w14:solidFill>
                    <w14:schemeClr w14:val="tx1"/>
                  </w14:solidFill>
                </w14:textFill>
              </w:rPr>
              <w:t>10</w:t>
            </w:r>
          </w:p>
        </w:tc>
        <w:tc>
          <w:tcPr>
            <w:tcW w:w="70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lang w:val="en-US" w:eastAsia="zh-CN"/>
                <w14:textFill>
                  <w14:solidFill>
                    <w14:schemeClr w14:val="tx1"/>
                  </w14:solidFill>
                </w14:textFill>
              </w:rPr>
              <w:t>10</w:t>
            </w:r>
            <w:r>
              <w:rPr>
                <w:rFonts w:hint="eastAsia" w:ascii="仿宋_GB2312" w:hAnsi="宋体" w:cs="宋体"/>
                <w:color w:val="000000" w:themeColor="text1"/>
                <w:kern w:val="0"/>
                <w:sz w:val="20"/>
                <w14:textFill>
                  <w14:solidFill>
                    <w14:schemeClr w14:val="tx1"/>
                  </w14:solidFill>
                </w14:textFill>
              </w:rPr>
              <w:t>　</w:t>
            </w:r>
          </w:p>
        </w:tc>
        <w:tc>
          <w:tcPr>
            <w:tcW w:w="130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　</w:t>
            </w:r>
          </w:p>
        </w:tc>
      </w:tr>
      <w:tr>
        <w:tblPrEx>
          <w:tblCellMar>
            <w:top w:w="0" w:type="dxa"/>
            <w:left w:w="108" w:type="dxa"/>
            <w:bottom w:w="0" w:type="dxa"/>
            <w:right w:w="108" w:type="dxa"/>
          </w:tblCellMar>
        </w:tblPrEx>
        <w:trPr>
          <w:trHeight w:val="1020" w:hRule="atLeast"/>
          <w:jc w:val="center"/>
        </w:trPr>
        <w:tc>
          <w:tcPr>
            <w:tcW w:w="120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cs="宋体"/>
                <w:color w:val="000000" w:themeColor="text1"/>
                <w:kern w:val="0"/>
                <w:sz w:val="20"/>
                <w14:textFill>
                  <w14:solidFill>
                    <w14:schemeClr w14:val="tx1"/>
                  </w14:solidFill>
                </w14:textFill>
              </w:rPr>
            </w:pPr>
          </w:p>
        </w:tc>
        <w:tc>
          <w:tcPr>
            <w:tcW w:w="116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cs="宋体"/>
                <w:color w:val="000000" w:themeColor="text1"/>
                <w:kern w:val="0"/>
                <w:sz w:val="20"/>
                <w14:textFill>
                  <w14:solidFill>
                    <w14:schemeClr w14:val="tx1"/>
                  </w14:solidFill>
                </w14:textFill>
              </w:rPr>
            </w:pPr>
          </w:p>
        </w:tc>
        <w:tc>
          <w:tcPr>
            <w:tcW w:w="1520"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cs="宋体"/>
                <w:color w:val="000000" w:themeColor="text1"/>
                <w:kern w:val="0"/>
                <w:sz w:val="20"/>
                <w:lang w:val="en-US" w:eastAsia="zh-CN"/>
                <w14:textFill>
                  <w14:solidFill>
                    <w14:schemeClr w14:val="tx1"/>
                  </w14:solidFill>
                </w14:textFill>
              </w:rPr>
            </w:pPr>
            <w:r>
              <w:rPr>
                <w:rFonts w:hint="eastAsia" w:ascii="仿宋_GB2312" w:hAnsi="宋体" w:cs="宋体"/>
                <w:color w:val="000000" w:themeColor="text1"/>
                <w:kern w:val="0"/>
                <w:sz w:val="20"/>
                <w:lang w:val="en-US" w:eastAsia="zh-CN"/>
                <w14:textFill>
                  <w14:solidFill>
                    <w14:schemeClr w14:val="tx1"/>
                  </w14:solidFill>
                </w14:textFill>
              </w:rPr>
              <w:t>社会公众或服务对象满意度</w:t>
            </w:r>
          </w:p>
        </w:tc>
        <w:tc>
          <w:tcPr>
            <w:tcW w:w="3740"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cs="宋体"/>
                <w:color w:val="000000" w:themeColor="text1"/>
                <w:kern w:val="0"/>
                <w:sz w:val="20"/>
                <w:lang w:val="en-US" w:eastAsia="zh-CN"/>
                <w14:textFill>
                  <w14:solidFill>
                    <w14:schemeClr w14:val="tx1"/>
                  </w14:solidFill>
                </w14:textFill>
              </w:rPr>
            </w:pPr>
            <w:r>
              <w:rPr>
                <w:rFonts w:hint="eastAsia" w:ascii="仿宋_GB2312" w:hAnsi="宋体" w:cs="宋体"/>
                <w:color w:val="000000" w:themeColor="text1"/>
                <w:kern w:val="0"/>
                <w:sz w:val="20"/>
                <w:lang w:val="en-US" w:eastAsia="zh-CN"/>
                <w14:textFill>
                  <w14:solidFill>
                    <w14:schemeClr w14:val="tx1"/>
                  </w14:solidFill>
                </w14:textFill>
              </w:rPr>
              <w:t>95%（含）以上计8分；</w:t>
            </w:r>
          </w:p>
          <w:p>
            <w:pPr>
              <w:widowControl/>
              <w:spacing w:line="240" w:lineRule="exact"/>
              <w:jc w:val="left"/>
              <w:rPr>
                <w:rFonts w:hint="eastAsia" w:ascii="仿宋_GB2312" w:hAnsi="宋体" w:cs="宋体"/>
                <w:color w:val="000000" w:themeColor="text1"/>
                <w:kern w:val="0"/>
                <w:sz w:val="20"/>
                <w:lang w:val="en-US" w:eastAsia="zh-CN"/>
                <w14:textFill>
                  <w14:solidFill>
                    <w14:schemeClr w14:val="tx1"/>
                  </w14:solidFill>
                </w14:textFill>
              </w:rPr>
            </w:pPr>
            <w:r>
              <w:rPr>
                <w:rFonts w:hint="eastAsia" w:ascii="仿宋_GB2312" w:hAnsi="宋体" w:cs="宋体"/>
                <w:color w:val="000000" w:themeColor="text1"/>
                <w:kern w:val="0"/>
                <w:sz w:val="20"/>
                <w:lang w:val="en-US" w:eastAsia="zh-CN"/>
                <w14:textFill>
                  <w14:solidFill>
                    <w14:schemeClr w14:val="tx1"/>
                  </w14:solidFill>
                </w14:textFill>
              </w:rPr>
              <w:t>85%（含）-95%，计3分；</w:t>
            </w:r>
          </w:p>
          <w:p>
            <w:pPr>
              <w:widowControl/>
              <w:spacing w:line="240" w:lineRule="exact"/>
              <w:jc w:val="left"/>
              <w:rPr>
                <w:rFonts w:hint="eastAsia" w:ascii="仿宋_GB2312" w:hAnsi="宋体" w:cs="宋体"/>
                <w:color w:val="000000" w:themeColor="text1"/>
                <w:kern w:val="0"/>
                <w:sz w:val="20"/>
                <w:lang w:val="en-US" w:eastAsia="zh-CN"/>
                <w14:textFill>
                  <w14:solidFill>
                    <w14:schemeClr w14:val="tx1"/>
                  </w14:solidFill>
                </w14:textFill>
              </w:rPr>
            </w:pPr>
            <w:r>
              <w:rPr>
                <w:rFonts w:hint="eastAsia" w:ascii="仿宋_GB2312" w:hAnsi="宋体" w:cs="宋体"/>
                <w:color w:val="000000" w:themeColor="text1"/>
                <w:kern w:val="0"/>
                <w:sz w:val="20"/>
                <w:lang w:val="en-US" w:eastAsia="zh-CN"/>
                <w14:textFill>
                  <w14:solidFill>
                    <w14:schemeClr w14:val="tx1"/>
                  </w14:solidFill>
                </w14:textFill>
              </w:rPr>
              <w:t>75%（含）-85%，计1分；</w:t>
            </w:r>
          </w:p>
          <w:p>
            <w:pPr>
              <w:widowControl/>
              <w:spacing w:line="240" w:lineRule="exact"/>
              <w:jc w:val="left"/>
              <w:rPr>
                <w:rFonts w:hint="eastAsia" w:ascii="仿宋_GB2312" w:hAnsi="宋体" w:cs="宋体"/>
                <w:color w:val="000000" w:themeColor="text1"/>
                <w:kern w:val="0"/>
                <w:sz w:val="20"/>
                <w:lang w:val="en-US" w:eastAsia="zh-CN"/>
                <w14:textFill>
                  <w14:solidFill>
                    <w14:schemeClr w14:val="tx1"/>
                  </w14:solidFill>
                </w14:textFill>
              </w:rPr>
            </w:pPr>
            <w:r>
              <w:rPr>
                <w:rFonts w:hint="eastAsia" w:ascii="仿宋_GB2312" w:hAnsi="宋体" w:cs="宋体"/>
                <w:color w:val="000000" w:themeColor="text1"/>
                <w:kern w:val="0"/>
                <w:sz w:val="20"/>
                <w:lang w:val="en-US" w:eastAsia="zh-CN"/>
                <w14:textFill>
                  <w14:solidFill>
                    <w14:schemeClr w14:val="tx1"/>
                  </w14:solidFill>
                </w14:textFill>
              </w:rPr>
              <w:t>低于75%计0分。</w:t>
            </w:r>
          </w:p>
        </w:tc>
        <w:tc>
          <w:tcPr>
            <w:tcW w:w="58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宋体" w:cs="宋体"/>
                <w:color w:val="000000" w:themeColor="text1"/>
                <w:kern w:val="0"/>
                <w:sz w:val="20"/>
                <w:lang w:val="en-US" w:eastAsia="zh-CN"/>
                <w14:textFill>
                  <w14:solidFill>
                    <w14:schemeClr w14:val="tx1"/>
                  </w14:solidFill>
                </w14:textFill>
              </w:rPr>
            </w:pPr>
            <w:r>
              <w:rPr>
                <w:rFonts w:hint="eastAsia" w:ascii="仿宋_GB2312" w:hAnsi="宋体" w:cs="宋体"/>
                <w:color w:val="000000" w:themeColor="text1"/>
                <w:kern w:val="0"/>
                <w:sz w:val="20"/>
                <w:lang w:val="en-US" w:eastAsia="zh-CN"/>
                <w14:textFill>
                  <w14:solidFill>
                    <w14:schemeClr w14:val="tx1"/>
                  </w14:solidFill>
                </w14:textFill>
              </w:rPr>
              <w:t>10</w:t>
            </w:r>
          </w:p>
        </w:tc>
        <w:tc>
          <w:tcPr>
            <w:tcW w:w="700" w:type="dxa"/>
            <w:tcBorders>
              <w:top w:val="nil"/>
              <w:left w:val="nil"/>
              <w:bottom w:val="single" w:color="auto" w:sz="4" w:space="0"/>
              <w:right w:val="single" w:color="auto" w:sz="4" w:space="0"/>
            </w:tcBorders>
            <w:vAlign w:val="center"/>
          </w:tcPr>
          <w:p>
            <w:pPr>
              <w:widowControl/>
              <w:spacing w:line="240" w:lineRule="exact"/>
              <w:jc w:val="center"/>
              <w:rPr>
                <w:rFonts w:hint="default" w:ascii="黑体" w:hAnsi="黑体" w:eastAsia="黑体" w:cs="宋体"/>
                <w:color w:val="000000" w:themeColor="text1"/>
                <w:kern w:val="0"/>
                <w:sz w:val="20"/>
                <w:szCs w:val="28"/>
                <w:lang w:val="en-US" w:eastAsia="zh-CN"/>
                <w14:textFill>
                  <w14:solidFill>
                    <w14:schemeClr w14:val="tx1"/>
                  </w14:solidFill>
                </w14:textFill>
              </w:rPr>
            </w:pPr>
            <w:r>
              <w:rPr>
                <w:rFonts w:hint="eastAsia" w:ascii="黑体" w:hAnsi="黑体" w:eastAsia="黑体" w:cs="宋体"/>
                <w:color w:val="000000" w:themeColor="text1"/>
                <w:kern w:val="0"/>
                <w:sz w:val="20"/>
                <w:szCs w:val="28"/>
                <w:lang w:val="en-US" w:eastAsia="zh-CN"/>
                <w14:textFill>
                  <w14:solidFill>
                    <w14:schemeClr w14:val="tx1"/>
                  </w14:solidFill>
                </w14:textFill>
              </w:rPr>
              <w:t>8</w:t>
            </w:r>
          </w:p>
        </w:tc>
        <w:tc>
          <w:tcPr>
            <w:tcW w:w="1300" w:type="dxa"/>
            <w:tcBorders>
              <w:top w:val="nil"/>
              <w:left w:val="nil"/>
              <w:bottom w:val="single" w:color="auto" w:sz="4" w:space="0"/>
              <w:right w:val="single" w:color="auto" w:sz="4" w:space="0"/>
            </w:tcBorders>
            <w:vAlign w:val="center"/>
          </w:tcPr>
          <w:p>
            <w:pPr>
              <w:widowControl/>
              <w:spacing w:line="240" w:lineRule="exact"/>
              <w:jc w:val="center"/>
              <w:rPr>
                <w:rFonts w:ascii="黑体" w:hAnsi="黑体" w:eastAsia="黑体" w:cs="宋体"/>
                <w:color w:val="000000" w:themeColor="text1"/>
                <w:kern w:val="0"/>
                <w:sz w:val="20"/>
                <w:szCs w:val="28"/>
                <w14:textFill>
                  <w14:solidFill>
                    <w14:schemeClr w14:val="tx1"/>
                  </w14:solidFill>
                </w14:textFill>
              </w:rPr>
            </w:pPr>
            <w:r>
              <w:rPr>
                <w:rFonts w:hint="eastAsia" w:ascii="黑体" w:hAnsi="黑体" w:eastAsia="黑体" w:cs="宋体"/>
                <w:color w:val="000000" w:themeColor="text1"/>
                <w:kern w:val="0"/>
                <w:sz w:val="20"/>
                <w:szCs w:val="28"/>
                <w14:textFill>
                  <w14:solidFill>
                    <w14:schemeClr w14:val="tx1"/>
                  </w14:solidFill>
                </w14:textFill>
              </w:rPr>
              <w:t>　</w:t>
            </w:r>
          </w:p>
        </w:tc>
      </w:tr>
      <w:tr>
        <w:tblPrEx>
          <w:tblCellMar>
            <w:top w:w="0" w:type="dxa"/>
            <w:left w:w="108" w:type="dxa"/>
            <w:bottom w:w="0" w:type="dxa"/>
            <w:right w:w="108" w:type="dxa"/>
          </w:tblCellMar>
        </w:tblPrEx>
        <w:trPr>
          <w:trHeight w:val="540" w:hRule="atLeast"/>
          <w:jc w:val="center"/>
        </w:trPr>
        <w:tc>
          <w:tcPr>
            <w:tcW w:w="1200"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黑体" w:hAnsi="黑体" w:eastAsia="黑体" w:cs="宋体"/>
                <w:b/>
                <w:bCs/>
                <w:color w:val="000000" w:themeColor="text1"/>
                <w:kern w:val="0"/>
                <w:sz w:val="20"/>
                <w:szCs w:val="28"/>
                <w14:textFill>
                  <w14:solidFill>
                    <w14:schemeClr w14:val="tx1"/>
                  </w14:solidFill>
                </w14:textFill>
              </w:rPr>
            </w:pPr>
            <w:r>
              <w:rPr>
                <w:rFonts w:hint="eastAsia" w:ascii="黑体" w:hAnsi="黑体" w:eastAsia="黑体" w:cs="宋体"/>
                <w:b/>
                <w:bCs/>
                <w:color w:val="000000" w:themeColor="text1"/>
                <w:kern w:val="0"/>
                <w:sz w:val="20"/>
                <w:szCs w:val="28"/>
                <w14:textFill>
                  <w14:solidFill>
                    <w14:schemeClr w14:val="tx1"/>
                  </w14:solidFill>
                </w14:textFill>
              </w:rPr>
              <w:t>总 分</w:t>
            </w:r>
          </w:p>
        </w:tc>
        <w:tc>
          <w:tcPr>
            <w:tcW w:w="1160" w:type="dxa"/>
            <w:tcBorders>
              <w:top w:val="nil"/>
              <w:left w:val="nil"/>
              <w:bottom w:val="single" w:color="auto" w:sz="4" w:space="0"/>
              <w:right w:val="single" w:color="auto" w:sz="4" w:space="0"/>
            </w:tcBorders>
            <w:vAlign w:val="center"/>
          </w:tcPr>
          <w:p>
            <w:pPr>
              <w:widowControl/>
              <w:spacing w:line="240" w:lineRule="exact"/>
              <w:jc w:val="center"/>
              <w:rPr>
                <w:rFonts w:ascii="黑体" w:hAnsi="黑体" w:eastAsia="黑体" w:cs="宋体"/>
                <w:b/>
                <w:bCs/>
                <w:color w:val="000000" w:themeColor="text1"/>
                <w:kern w:val="0"/>
                <w:sz w:val="20"/>
                <w14:textFill>
                  <w14:solidFill>
                    <w14:schemeClr w14:val="tx1"/>
                  </w14:solidFill>
                </w14:textFill>
              </w:rPr>
            </w:pPr>
            <w:r>
              <w:rPr>
                <w:rFonts w:hint="eastAsia" w:ascii="黑体" w:hAnsi="黑体" w:eastAsia="黑体" w:cs="宋体"/>
                <w:b/>
                <w:bCs/>
                <w:color w:val="000000" w:themeColor="text1"/>
                <w:kern w:val="0"/>
                <w:sz w:val="20"/>
                <w14:textFill>
                  <w14:solidFill>
                    <w14:schemeClr w14:val="tx1"/>
                  </w14:solidFill>
                </w14:textFill>
              </w:rPr>
              <w:t>　</w:t>
            </w:r>
          </w:p>
        </w:tc>
        <w:tc>
          <w:tcPr>
            <w:tcW w:w="1520" w:type="dxa"/>
            <w:tcBorders>
              <w:top w:val="nil"/>
              <w:left w:val="nil"/>
              <w:bottom w:val="single" w:color="auto" w:sz="4" w:space="0"/>
              <w:right w:val="single" w:color="auto" w:sz="4" w:space="0"/>
            </w:tcBorders>
            <w:vAlign w:val="center"/>
          </w:tcPr>
          <w:p>
            <w:pPr>
              <w:widowControl/>
              <w:spacing w:line="240" w:lineRule="exact"/>
              <w:jc w:val="center"/>
              <w:rPr>
                <w:rFonts w:ascii="黑体" w:hAnsi="黑体" w:eastAsia="黑体" w:cs="宋体"/>
                <w:b/>
                <w:bCs/>
                <w:color w:val="000000" w:themeColor="text1"/>
                <w:kern w:val="0"/>
                <w:sz w:val="20"/>
                <w14:textFill>
                  <w14:solidFill>
                    <w14:schemeClr w14:val="tx1"/>
                  </w14:solidFill>
                </w14:textFill>
              </w:rPr>
            </w:pPr>
            <w:r>
              <w:rPr>
                <w:rFonts w:hint="eastAsia" w:ascii="黑体" w:hAnsi="黑体" w:eastAsia="黑体" w:cs="宋体"/>
                <w:b/>
                <w:bCs/>
                <w:color w:val="000000" w:themeColor="text1"/>
                <w:kern w:val="0"/>
                <w:sz w:val="20"/>
                <w14:textFill>
                  <w14:solidFill>
                    <w14:schemeClr w14:val="tx1"/>
                  </w14:solidFill>
                </w14:textFill>
              </w:rPr>
              <w:t>　</w:t>
            </w:r>
          </w:p>
        </w:tc>
        <w:tc>
          <w:tcPr>
            <w:tcW w:w="3740" w:type="dxa"/>
            <w:tcBorders>
              <w:top w:val="nil"/>
              <w:left w:val="nil"/>
              <w:bottom w:val="single" w:color="auto" w:sz="4" w:space="0"/>
              <w:right w:val="single" w:color="auto" w:sz="4" w:space="0"/>
            </w:tcBorders>
            <w:vAlign w:val="center"/>
          </w:tcPr>
          <w:p>
            <w:pPr>
              <w:widowControl/>
              <w:spacing w:line="240" w:lineRule="exact"/>
              <w:jc w:val="center"/>
              <w:rPr>
                <w:rFonts w:ascii="黑体" w:hAnsi="黑体" w:eastAsia="黑体" w:cs="宋体"/>
                <w:b/>
                <w:bCs/>
                <w:color w:val="000000" w:themeColor="text1"/>
                <w:kern w:val="0"/>
                <w:sz w:val="20"/>
                <w14:textFill>
                  <w14:solidFill>
                    <w14:schemeClr w14:val="tx1"/>
                  </w14:solidFill>
                </w14:textFill>
              </w:rPr>
            </w:pPr>
            <w:r>
              <w:rPr>
                <w:rFonts w:hint="eastAsia" w:ascii="黑体" w:hAnsi="黑体" w:eastAsia="黑体" w:cs="宋体"/>
                <w:b/>
                <w:bCs/>
                <w:color w:val="000000" w:themeColor="text1"/>
                <w:kern w:val="0"/>
                <w:sz w:val="20"/>
                <w14:textFill>
                  <w14:solidFill>
                    <w14:schemeClr w14:val="tx1"/>
                  </w14:solidFill>
                </w14:textFill>
              </w:rPr>
              <w:t>　</w:t>
            </w:r>
          </w:p>
        </w:tc>
        <w:tc>
          <w:tcPr>
            <w:tcW w:w="580" w:type="dxa"/>
            <w:tcBorders>
              <w:top w:val="nil"/>
              <w:left w:val="nil"/>
              <w:bottom w:val="single" w:color="auto" w:sz="4" w:space="0"/>
              <w:right w:val="single" w:color="auto" w:sz="4" w:space="0"/>
            </w:tcBorders>
            <w:vAlign w:val="center"/>
          </w:tcPr>
          <w:p>
            <w:pPr>
              <w:widowControl/>
              <w:spacing w:line="240" w:lineRule="exact"/>
              <w:jc w:val="center"/>
              <w:rPr>
                <w:rFonts w:ascii="黑体" w:hAnsi="黑体" w:eastAsia="黑体" w:cs="宋体"/>
                <w:b/>
                <w:bCs/>
                <w:color w:val="000000" w:themeColor="text1"/>
                <w:kern w:val="0"/>
                <w:sz w:val="20"/>
                <w14:textFill>
                  <w14:solidFill>
                    <w14:schemeClr w14:val="tx1"/>
                  </w14:solidFill>
                </w14:textFill>
              </w:rPr>
            </w:pPr>
            <w:r>
              <w:rPr>
                <w:rFonts w:hint="eastAsia" w:ascii="黑体" w:hAnsi="黑体" w:eastAsia="黑体" w:cs="宋体"/>
                <w:b/>
                <w:bCs/>
                <w:color w:val="000000" w:themeColor="text1"/>
                <w:kern w:val="0"/>
                <w:sz w:val="20"/>
                <w14:textFill>
                  <w14:solidFill>
                    <w14:schemeClr w14:val="tx1"/>
                  </w14:solidFill>
                </w14:textFill>
              </w:rPr>
              <w:t>100</w:t>
            </w:r>
          </w:p>
        </w:tc>
        <w:tc>
          <w:tcPr>
            <w:tcW w:w="700" w:type="dxa"/>
            <w:tcBorders>
              <w:top w:val="nil"/>
              <w:left w:val="nil"/>
              <w:bottom w:val="single" w:color="auto" w:sz="4" w:space="0"/>
              <w:right w:val="single" w:color="auto" w:sz="4" w:space="0"/>
            </w:tcBorders>
            <w:vAlign w:val="center"/>
          </w:tcPr>
          <w:p>
            <w:pPr>
              <w:widowControl/>
              <w:spacing w:line="240" w:lineRule="exact"/>
              <w:jc w:val="center"/>
              <w:rPr>
                <w:rFonts w:ascii="黑体" w:hAnsi="黑体" w:eastAsia="黑体" w:cs="宋体"/>
                <w:b/>
                <w:bCs/>
                <w:color w:val="000000" w:themeColor="text1"/>
                <w:kern w:val="0"/>
                <w:sz w:val="20"/>
                <w14:textFill>
                  <w14:solidFill>
                    <w14:schemeClr w14:val="tx1"/>
                  </w14:solidFill>
                </w14:textFill>
              </w:rPr>
            </w:pPr>
            <w:r>
              <w:rPr>
                <w:rFonts w:hint="eastAsia" w:ascii="黑体" w:hAnsi="黑体" w:eastAsia="黑体" w:cs="宋体"/>
                <w:b/>
                <w:bCs/>
                <w:color w:val="000000" w:themeColor="text1"/>
                <w:kern w:val="0"/>
                <w:sz w:val="20"/>
                <w:lang w:val="en-US" w:eastAsia="zh-CN"/>
                <w14:textFill>
                  <w14:solidFill>
                    <w14:schemeClr w14:val="tx1"/>
                  </w14:solidFill>
                </w14:textFill>
              </w:rPr>
              <w:t>98</w:t>
            </w:r>
            <w:r>
              <w:rPr>
                <w:rFonts w:hint="eastAsia" w:ascii="黑体" w:hAnsi="黑体" w:eastAsia="黑体" w:cs="宋体"/>
                <w:b/>
                <w:bCs/>
                <w:color w:val="000000" w:themeColor="text1"/>
                <w:kern w:val="0"/>
                <w:sz w:val="20"/>
                <w14:textFill>
                  <w14:solidFill>
                    <w14:schemeClr w14:val="tx1"/>
                  </w14:solidFill>
                </w14:textFill>
              </w:rPr>
              <w:t>　</w:t>
            </w:r>
          </w:p>
        </w:tc>
        <w:tc>
          <w:tcPr>
            <w:tcW w:w="1300" w:type="dxa"/>
            <w:tcBorders>
              <w:top w:val="nil"/>
              <w:left w:val="nil"/>
              <w:bottom w:val="single" w:color="auto" w:sz="4" w:space="0"/>
              <w:right w:val="single" w:color="auto" w:sz="4" w:space="0"/>
            </w:tcBorders>
            <w:vAlign w:val="center"/>
          </w:tcPr>
          <w:p>
            <w:pPr>
              <w:widowControl/>
              <w:spacing w:line="240" w:lineRule="exact"/>
              <w:jc w:val="center"/>
              <w:rPr>
                <w:rFonts w:ascii="黑体" w:hAnsi="黑体" w:eastAsia="黑体" w:cs="宋体"/>
                <w:b/>
                <w:bCs/>
                <w:color w:val="000000" w:themeColor="text1"/>
                <w:kern w:val="0"/>
                <w:sz w:val="20"/>
                <w14:textFill>
                  <w14:solidFill>
                    <w14:schemeClr w14:val="tx1"/>
                  </w14:solidFill>
                </w14:textFill>
              </w:rPr>
            </w:pPr>
            <w:r>
              <w:rPr>
                <w:rFonts w:hint="eastAsia" w:ascii="黑体" w:hAnsi="黑体" w:eastAsia="黑体" w:cs="宋体"/>
                <w:b/>
                <w:bCs/>
                <w:color w:val="000000" w:themeColor="text1"/>
                <w:kern w:val="0"/>
                <w:sz w:val="20"/>
                <w14:textFill>
                  <w14:solidFill>
                    <w14:schemeClr w14:val="tx1"/>
                  </w14:solidFill>
                </w14:textFill>
              </w:rPr>
              <w:t>　</w:t>
            </w:r>
          </w:p>
        </w:tc>
      </w:tr>
    </w:tbl>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sz w:val="24"/>
        <w:szCs w:val="24"/>
      </w:rPr>
    </w:pPr>
    <w:r>
      <w:rPr>
        <w:rStyle w:val="8"/>
        <w:sz w:val="24"/>
        <w:szCs w:val="24"/>
      </w:rPr>
      <w:t xml:space="preserve">— </w:t>
    </w:r>
    <w:r>
      <w:rPr>
        <w:rStyle w:val="8"/>
        <w:sz w:val="24"/>
        <w:szCs w:val="24"/>
      </w:rPr>
      <w:fldChar w:fldCharType="begin"/>
    </w:r>
    <w:r>
      <w:rPr>
        <w:rStyle w:val="8"/>
        <w:sz w:val="24"/>
        <w:szCs w:val="24"/>
      </w:rPr>
      <w:instrText xml:space="preserve">PAGE  </w:instrText>
    </w:r>
    <w:r>
      <w:rPr>
        <w:rStyle w:val="8"/>
        <w:sz w:val="24"/>
        <w:szCs w:val="24"/>
      </w:rPr>
      <w:fldChar w:fldCharType="separate"/>
    </w:r>
    <w:r>
      <w:rPr>
        <w:rStyle w:val="8"/>
        <w:sz w:val="24"/>
        <w:szCs w:val="24"/>
      </w:rPr>
      <w:t>1</w:t>
    </w:r>
    <w:r>
      <w:rPr>
        <w:rStyle w:val="8"/>
        <w:sz w:val="24"/>
        <w:szCs w:val="24"/>
      </w:rPr>
      <w:fldChar w:fldCharType="end"/>
    </w:r>
    <w:r>
      <w:rPr>
        <w:rStyle w:val="8"/>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0499BE"/>
    <w:multiLevelType w:val="singleLevel"/>
    <w:tmpl w:val="BE0499BE"/>
    <w:lvl w:ilvl="0" w:tentative="0">
      <w:start w:val="1"/>
      <w:numFmt w:val="decimal"/>
      <w:suff w:val="nothing"/>
      <w:lvlText w:val="%1、"/>
      <w:lvlJc w:val="left"/>
    </w:lvl>
  </w:abstractNum>
  <w:abstractNum w:abstractNumId="1">
    <w:nsid w:val="0D0B76DC"/>
    <w:multiLevelType w:val="singleLevel"/>
    <w:tmpl w:val="0D0B76DC"/>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4NDE1ZTc5N2NhM2Q5MjE1ZDAyNGIzOWQzY2I4MjQifQ=="/>
  </w:docVars>
  <w:rsids>
    <w:rsidRoot w:val="2D3B2895"/>
    <w:rsid w:val="02956A18"/>
    <w:rsid w:val="1314072F"/>
    <w:rsid w:val="20C600CD"/>
    <w:rsid w:val="215C1CDE"/>
    <w:rsid w:val="279836DC"/>
    <w:rsid w:val="2D3B2895"/>
    <w:rsid w:val="31A52E8B"/>
    <w:rsid w:val="32837B72"/>
    <w:rsid w:val="47F31F71"/>
    <w:rsid w:val="4BC63DCA"/>
    <w:rsid w:val="5D0C4037"/>
    <w:rsid w:val="5E9F6DB8"/>
    <w:rsid w:val="635549AB"/>
    <w:rsid w:val="69661932"/>
    <w:rsid w:val="72887820"/>
    <w:rsid w:val="7D2642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widowControl w:val="0"/>
      <w:jc w:val="both"/>
    </w:pPr>
    <w:rPr>
      <w:rFonts w:ascii="Calibri" w:hAnsi="Calibri" w:eastAsia="宋体" w:cs="Times New Roman"/>
      <w:kern w:val="2"/>
      <w:sz w:val="28"/>
      <w:szCs w:val="24"/>
      <w:lang w:val="en-US" w:eastAsia="zh-CN" w:bidi="ar-SA"/>
    </w:rPr>
  </w:style>
  <w:style w:type="paragraph" w:styleId="3">
    <w:name w:val="toc 5"/>
    <w:basedOn w:val="1"/>
    <w:next w:val="1"/>
    <w:qFormat/>
    <w:uiPriority w:val="0"/>
    <w:pPr>
      <w:ind w:left="1680" w:leftChars="800"/>
    </w:p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99"/>
    <w:rPr>
      <w:rFonts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5758</Words>
  <Characters>6132</Characters>
  <Lines>0</Lines>
  <Paragraphs>0</Paragraphs>
  <TotalTime>2</TotalTime>
  <ScaleCrop>false</ScaleCrop>
  <LinksUpToDate>false</LinksUpToDate>
  <CharactersWithSpaces>6700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2022-06-14T04:27:00Z</dcterms:created>
  <dc:creator>Moonn~</dc:creator>
  <cp:lastModifiedBy>Administrator</cp:lastModifiedBy>
  <dcterms:modified xsi:type="dcterms:W3CDTF">2022-06-22T03:20:39Z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98B4F3A4BDDE4A5495055C6E06B3C6B9</vt:lpwstr>
  </property>
</Properties>
</file>