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rFonts w:hint="eastAsia" w:eastAsia="黑体"/>
          <w:sz w:val="84"/>
          <w:szCs w:val="84"/>
          <w:lang w:val="en-US" w:eastAsia="zh-CN"/>
        </w:rPr>
      </w:pPr>
      <w:r>
        <w:rPr>
          <w:rFonts w:hint="eastAsia"/>
          <w:sz w:val="84"/>
          <w:szCs w:val="84"/>
          <w:lang w:eastAsia="zh-CN"/>
        </w:rPr>
        <w:t>岳阳市博物馆</w:t>
      </w:r>
      <w:r>
        <w:rPr>
          <w:rFonts w:hint="eastAsia"/>
          <w:sz w:val="84"/>
          <w:szCs w:val="84"/>
        </w:rPr>
        <w:t>部门决算</w:t>
      </w:r>
      <w:r>
        <w:rPr>
          <w:rFonts w:hint="eastAsia"/>
          <w:sz w:val="84"/>
          <w:szCs w:val="84"/>
          <w:lang w:val="en-US" w:eastAsia="zh-CN"/>
        </w:rPr>
        <w:t>公开</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岳阳市博物馆</w:t>
      </w:r>
      <w:r>
        <w:rPr>
          <w:rFonts w:hint="eastAsia"/>
          <w:b/>
          <w:sz w:val="28"/>
          <w:szCs w:val="28"/>
        </w:rPr>
        <w:t>单位概况</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val="en-US" w:eastAsia="zh-CN"/>
        </w:rPr>
        <w:t>岳阳市博物馆</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（一）</w:t>
      </w:r>
      <w:r>
        <w:rPr>
          <w:rFonts w:hint="eastAsia" w:asciiTheme="minorEastAsia" w:hAnsiTheme="minorEastAsia"/>
          <w:sz w:val="32"/>
          <w:szCs w:val="32"/>
          <w:lang w:eastAsia="zh-CN"/>
        </w:rPr>
        <w:t>负责岳阳市博物馆的日常管理和运营工作，组织开展馆藏文物、博物馆学术研究。</w:t>
      </w:r>
    </w:p>
    <w:p>
      <w:pPr>
        <w:ind w:firstLine="800" w:firstLineChars="250"/>
        <w:jc w:val="left"/>
        <w:rPr>
          <w:rFonts w:hint="eastAsia" w:asciiTheme="minorEastAsia" w:hAnsiTheme="minorEastAsia"/>
          <w:sz w:val="32"/>
          <w:szCs w:val="32"/>
          <w:lang w:eastAsia="zh-CN"/>
        </w:rPr>
      </w:pPr>
      <w:r>
        <w:rPr>
          <w:rFonts w:hint="eastAsia" w:asciiTheme="minorEastAsia" w:hAnsiTheme="minorEastAsia"/>
          <w:sz w:val="32"/>
          <w:szCs w:val="32"/>
        </w:rPr>
        <w:t>（二）</w:t>
      </w:r>
      <w:r>
        <w:rPr>
          <w:rFonts w:hint="eastAsia" w:asciiTheme="minorEastAsia" w:hAnsiTheme="minorEastAsia"/>
          <w:sz w:val="32"/>
          <w:szCs w:val="32"/>
          <w:lang w:eastAsia="zh-CN"/>
        </w:rPr>
        <w:t>对馆藏文物按有关规定进行妥善保管，举办陈列展览，负责本地区文物征集、文物资料和档案的搜集和研究。</w:t>
      </w:r>
    </w:p>
    <w:p>
      <w:pPr>
        <w:ind w:firstLine="800" w:firstLineChars="250"/>
        <w:jc w:val="left"/>
        <w:rPr>
          <w:rFonts w:hint="eastAsia" w:asciiTheme="minorEastAsia" w:hAnsiTheme="minorEastAsia"/>
          <w:sz w:val="32"/>
          <w:szCs w:val="32"/>
          <w:lang w:eastAsia="zh-CN"/>
        </w:rPr>
      </w:pPr>
      <w:r>
        <w:rPr>
          <w:rFonts w:hint="eastAsia" w:asciiTheme="minorEastAsia" w:hAnsiTheme="minorEastAsia"/>
          <w:sz w:val="32"/>
          <w:szCs w:val="32"/>
          <w:lang w:eastAsia="zh-CN"/>
        </w:rPr>
        <w:t>（三）配合本地区基本建设进行考古调查、勘探和发掘，并对出土文物以及古建筑进行保护管理和考古研究。</w:t>
      </w:r>
    </w:p>
    <w:p>
      <w:pPr>
        <w:ind w:firstLine="800" w:firstLineChars="250"/>
        <w:jc w:val="left"/>
        <w:rPr>
          <w:rFonts w:asciiTheme="minorEastAsia" w:hAnsiTheme="minorEastAsia"/>
          <w:sz w:val="32"/>
          <w:szCs w:val="32"/>
        </w:rPr>
      </w:pPr>
      <w:r>
        <w:rPr>
          <w:rFonts w:hint="eastAsia" w:asciiTheme="minorEastAsia" w:hAnsiTheme="minorEastAsia"/>
          <w:sz w:val="32"/>
          <w:szCs w:val="32"/>
          <w:lang w:eastAsia="zh-CN"/>
        </w:rPr>
        <w:t>（四）承办市委、市政府和上级主管部门交办的其他事项。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default" w:asciiTheme="minorEastAsia" w:hAnsiTheme="minorEastAsia" w:eastAsiaTheme="minorEastAsia"/>
          <w:bCs/>
          <w:kern w:val="0"/>
          <w:sz w:val="32"/>
          <w:szCs w:val="32"/>
          <w:lang w:val="en-US"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根据中共岳阳市委机构编制委员会办公室文件，岳编办｛</w:t>
      </w:r>
      <w:r>
        <w:rPr>
          <w:rFonts w:hint="eastAsia" w:asciiTheme="minorEastAsia" w:hAnsiTheme="minorEastAsia"/>
          <w:bCs/>
          <w:kern w:val="0"/>
          <w:sz w:val="32"/>
          <w:szCs w:val="32"/>
          <w:lang w:val="en-US" w:eastAsia="zh-CN"/>
        </w:rPr>
        <w:t>2018｝5号文，</w:t>
      </w:r>
      <w:r>
        <w:rPr>
          <w:rFonts w:hint="eastAsia" w:asciiTheme="minorEastAsia" w:hAnsiTheme="minorEastAsia"/>
          <w:bCs/>
          <w:kern w:val="0"/>
          <w:sz w:val="32"/>
          <w:szCs w:val="32"/>
          <w:lang w:eastAsia="zh-CN"/>
        </w:rPr>
        <w:t>岳阳市博物馆</w:t>
      </w:r>
      <w:r>
        <w:rPr>
          <w:rFonts w:hint="eastAsia" w:asciiTheme="minorEastAsia" w:hAnsiTheme="minorEastAsia"/>
          <w:bCs/>
          <w:kern w:val="0"/>
          <w:sz w:val="32"/>
          <w:szCs w:val="32"/>
        </w:rPr>
        <w:t>内设机构包括：</w:t>
      </w:r>
      <w:r>
        <w:rPr>
          <w:rFonts w:hint="eastAsia" w:asciiTheme="minorEastAsia" w:hAnsiTheme="minorEastAsia"/>
          <w:bCs/>
          <w:kern w:val="0"/>
          <w:sz w:val="32"/>
          <w:szCs w:val="32"/>
          <w:lang w:eastAsia="zh-CN"/>
        </w:rPr>
        <w:t>市博物馆，加挂“市文物考古研究所”的牌子，为正科级公益一类全额拨款事业单位。核定全额拨款事业编制</w:t>
      </w:r>
      <w:r>
        <w:rPr>
          <w:rFonts w:hint="eastAsia" w:asciiTheme="minorEastAsia" w:hAnsiTheme="minorEastAsia"/>
          <w:bCs/>
          <w:kern w:val="0"/>
          <w:sz w:val="32"/>
          <w:szCs w:val="32"/>
          <w:lang w:val="en-US" w:eastAsia="zh-CN"/>
        </w:rPr>
        <w:t>13人。其中：馆长1名，副馆长3名，文物考古研究专职付所长1名，另核定临时用工计划数（讲解员）4名。其“三定”规定另行制定。</w:t>
      </w:r>
    </w:p>
    <w:p>
      <w:pPr>
        <w:jc w:val="left"/>
        <w:rPr>
          <w:rFonts w:hint="eastAsia" w:asciiTheme="minorEastAsia" w:hAnsiTheme="minorEastAsia"/>
          <w:bCs/>
          <w:kern w:val="0"/>
          <w:sz w:val="32"/>
          <w:szCs w:val="32"/>
          <w:lang w:eastAsia="zh-CN"/>
        </w:rPr>
      </w:pPr>
      <w:r>
        <w:rPr>
          <w:rFonts w:hint="eastAsia" w:asciiTheme="minorEastAsia" w:hAnsiTheme="minorEastAsia"/>
          <w:bCs/>
          <w:kern w:val="0"/>
          <w:sz w:val="32"/>
          <w:szCs w:val="32"/>
          <w:lang w:val="en-US" w:eastAsia="zh-CN"/>
        </w:rPr>
        <w:t>内设机构包括</w:t>
      </w:r>
      <w:r>
        <w:rPr>
          <w:rFonts w:hint="eastAsia" w:ascii="仿宋_GB2312" w:eastAsia="仿宋_GB2312" w:hAnsiTheme="minorEastAsia"/>
          <w:sz w:val="36"/>
          <w:szCs w:val="36"/>
          <w:lang w:eastAsia="zh-CN"/>
        </w:rPr>
        <w:t>：</w:t>
      </w:r>
      <w:r>
        <w:rPr>
          <w:rFonts w:hint="eastAsia" w:asciiTheme="minorEastAsia" w:hAnsiTheme="minorEastAsia"/>
          <w:bCs/>
          <w:kern w:val="0"/>
          <w:sz w:val="32"/>
          <w:szCs w:val="32"/>
          <w:lang w:eastAsia="zh-CN"/>
        </w:rPr>
        <w:t>办公室，考古部，征集保管部，展览教育部，文创办。</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岳阳市博物馆</w:t>
      </w:r>
      <w:r>
        <w:rPr>
          <w:rFonts w:asciiTheme="minorEastAsia" w:hAnsiTheme="minorEastAsia"/>
          <w:bCs/>
          <w:kern w:val="0"/>
          <w:sz w:val="32"/>
          <w:szCs w:val="32"/>
        </w:rPr>
        <w:t>2</w:t>
      </w:r>
      <w:r>
        <w:rPr>
          <w:rFonts w:hint="eastAsia" w:asciiTheme="minorEastAsia" w:hAnsiTheme="minorEastAsia"/>
          <w:bCs/>
          <w:kern w:val="0"/>
          <w:sz w:val="32"/>
          <w:szCs w:val="32"/>
          <w:lang w:val="en-US" w:eastAsia="zh-CN"/>
        </w:rPr>
        <w:t>021</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eastAsia="zh-CN"/>
        </w:rPr>
        <w:t>岳阳市博物馆</w:t>
      </w:r>
      <w:r>
        <w:rPr>
          <w:rFonts w:hint="eastAsia" w:asciiTheme="minorEastAsia" w:hAnsiTheme="minorEastAsia"/>
          <w:bCs/>
          <w:kern w:val="0"/>
          <w:sz w:val="32"/>
          <w:szCs w:val="32"/>
        </w:rPr>
        <w:t>本</w:t>
      </w:r>
      <w:r>
        <w:rPr>
          <w:rFonts w:hint="eastAsia" w:asciiTheme="minorEastAsia" w:hAnsiTheme="minorEastAsia"/>
          <w:bCs/>
          <w:kern w:val="0"/>
          <w:sz w:val="32"/>
          <w:szCs w:val="32"/>
          <w:lang w:eastAsia="zh-CN"/>
        </w:rPr>
        <w:t>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sectPr>
          <w:pgSz w:w="11906" w:h="16838"/>
          <w:pgMar w:top="720" w:right="720" w:bottom="720" w:left="720" w:header="851" w:footer="992" w:gutter="0"/>
          <w:cols w:space="425" w:num="1"/>
          <w:docGrid w:type="lines" w:linePitch="312" w:charSpace="0"/>
        </w:sectPr>
      </w:pPr>
      <w:r>
        <w:rPr>
          <w:rFonts w:hint="eastAsia"/>
          <w:sz w:val="72"/>
          <w:szCs w:val="72"/>
        </w:rPr>
        <w:t>部门决算表</w:t>
      </w:r>
    </w:p>
    <w:tbl>
      <w:tblPr>
        <w:tblStyle w:val="7"/>
        <w:tblW w:w="126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9"/>
        <w:gridCol w:w="734"/>
        <w:gridCol w:w="1226"/>
        <w:gridCol w:w="3933"/>
        <w:gridCol w:w="734"/>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612"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596.38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 —</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pPr>
        <w:jc w:val="center"/>
        <w:rPr>
          <w:rFonts w:hint="eastAsia"/>
          <w:sz w:val="72"/>
          <w:szCs w:val="72"/>
        </w:rPr>
      </w:pPr>
    </w:p>
    <w:p>
      <w:pPr>
        <w:jc w:val="center"/>
        <w:rPr>
          <w:sz w:val="72"/>
          <w:szCs w:val="72"/>
        </w:rPr>
      </w:pPr>
    </w:p>
    <w:p>
      <w:pPr>
        <w:jc w:val="center"/>
        <w:rPr>
          <w:sz w:val="72"/>
          <w:szCs w:val="72"/>
        </w:rPr>
        <w:sectPr>
          <w:pgSz w:w="16838" w:h="11906" w:orient="landscape"/>
          <w:pgMar w:top="720" w:right="720" w:bottom="720" w:left="720" w:header="851" w:footer="992" w:gutter="0"/>
          <w:cols w:space="425" w:num="1"/>
          <w:docGrid w:type="lines" w:linePitch="312" w:charSpace="0"/>
        </w:sectPr>
      </w:pPr>
    </w:p>
    <w:tbl>
      <w:tblPr>
        <w:tblStyle w:val="7"/>
        <w:tblW w:w="128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6"/>
        <w:gridCol w:w="222"/>
        <w:gridCol w:w="222"/>
        <w:gridCol w:w="3956"/>
        <w:gridCol w:w="1153"/>
        <w:gridCol w:w="910"/>
        <w:gridCol w:w="800"/>
        <w:gridCol w:w="375"/>
        <w:gridCol w:w="465"/>
        <w:gridCol w:w="115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2879"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1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5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0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5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5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1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5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1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796.91</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680.54</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728.71</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612.33</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143.66</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116.38</w:t>
            </w:r>
          </w:p>
        </w:tc>
        <w:tc>
          <w:tcPr>
            <w:tcW w:w="9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573.05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573.05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79"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pPr>
        <w:jc w:val="center"/>
        <w:rPr>
          <w:sz w:val="72"/>
          <w:szCs w:val="72"/>
        </w:rPr>
        <w:sectPr>
          <w:pgSz w:w="16838" w:h="11906" w:orient="landscape"/>
          <w:pgMar w:top="720" w:right="720" w:bottom="720" w:left="720" w:header="851" w:footer="992" w:gutter="0"/>
          <w:cols w:space="425" w:num="1"/>
          <w:docGrid w:type="lines" w:linePitch="312" w:charSpace="0"/>
        </w:sectPr>
      </w:pPr>
    </w:p>
    <w:tbl>
      <w:tblPr>
        <w:tblStyle w:val="7"/>
        <w:tblW w:w="14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956"/>
        <w:gridCol w:w="1603"/>
        <w:gridCol w:w="1735"/>
        <w:gridCol w:w="1345"/>
        <w:gridCol w:w="648"/>
        <w:gridCol w:w="70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69"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4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4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0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1,293.38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943.93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943.93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sz w:val="72"/>
          <w:szCs w:val="72"/>
        </w:rPr>
        <w:sectPr>
          <w:pgSz w:w="16838" w:h="11906" w:orient="landscape"/>
          <w:pgMar w:top="720" w:right="720" w:bottom="720" w:left="720" w:header="851" w:footer="992" w:gutter="0"/>
          <w:cols w:space="425" w:num="1"/>
          <w:docGrid w:type="lines" w:linePitch="312" w:charSpace="0"/>
        </w:sectPr>
      </w:pPr>
    </w:p>
    <w:tbl>
      <w:tblPr>
        <w:tblStyle w:val="7"/>
        <w:tblW w:w="141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736"/>
        <w:gridCol w:w="1619"/>
        <w:gridCol w:w="3516"/>
        <w:gridCol w:w="719"/>
        <w:gridCol w:w="1096"/>
        <w:gridCol w:w="1187"/>
        <w:gridCol w:w="59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63"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9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9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59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307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3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1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18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9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11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1,208.70</w:t>
            </w:r>
          </w:p>
        </w:tc>
        <w:tc>
          <w:tcPr>
            <w:tcW w:w="11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1,208.70</w:t>
            </w: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1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1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1,276.91</w:t>
            </w:r>
          </w:p>
        </w:tc>
        <w:tc>
          <w:tcPr>
            <w:tcW w:w="11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1,276.91</w:t>
            </w: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596.38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596.38</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1,276.91</w:t>
            </w:r>
          </w:p>
        </w:tc>
        <w:tc>
          <w:tcPr>
            <w:tcW w:w="11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1,276.91</w:t>
            </w:r>
          </w:p>
        </w:tc>
        <w:tc>
          <w:tcPr>
            <w:tcW w:w="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63" w:type="dxa"/>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4163" w:type="dxa"/>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center"/>
        <w:rPr>
          <w:sz w:val="72"/>
          <w:szCs w:val="72"/>
        </w:rPr>
        <w:sectPr>
          <w:pgSz w:w="16838" w:h="11906" w:orient="landscape"/>
          <w:pgMar w:top="720" w:right="720" w:bottom="720" w:left="720" w:header="851" w:footer="992" w:gutter="0"/>
          <w:cols w:space="425" w:num="1"/>
          <w:docGrid w:type="lines" w:linePitch="312" w:charSpace="0"/>
        </w:sectPr>
      </w:pPr>
    </w:p>
    <w:tbl>
      <w:tblPr>
        <w:tblStyle w:val="7"/>
        <w:tblW w:w="120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6"/>
        <w:gridCol w:w="222"/>
        <w:gridCol w:w="222"/>
        <w:gridCol w:w="3956"/>
        <w:gridCol w:w="1633"/>
        <w:gridCol w:w="142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024"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5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5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1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0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3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3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1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1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1,276.91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1,181.43</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1,166.43</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25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2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center"/>
        <w:rPr>
          <w:sz w:val="72"/>
          <w:szCs w:val="72"/>
        </w:rPr>
      </w:pPr>
    </w:p>
    <w:p>
      <w:pPr>
        <w:jc w:val="center"/>
        <w:rPr>
          <w:sz w:val="72"/>
          <w:szCs w:val="72"/>
        </w:rPr>
      </w:pPr>
    </w:p>
    <w:tbl>
      <w:tblPr>
        <w:tblStyle w:val="7"/>
        <w:tblW w:w="146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3120"/>
        <w:gridCol w:w="1656"/>
        <w:gridCol w:w="1404"/>
        <w:gridCol w:w="1776"/>
        <w:gridCol w:w="912"/>
        <w:gridCol w:w="1140"/>
        <w:gridCol w:w="2436"/>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611"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003"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23"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16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32"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31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4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7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43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12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7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188.10</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56.51</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33.77</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36.39</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43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4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43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1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43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12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6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114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43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203.02</w:t>
            </w:r>
          </w:p>
        </w:tc>
        <w:tc>
          <w:tcPr>
            <w:tcW w:w="7668"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11"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Theme="minorEastAsia" w:hAnsiTheme="minorEastAsia"/>
          <w:sz w:val="32"/>
          <w:szCs w:val="32"/>
        </w:rPr>
        <w:sectPr>
          <w:pgSz w:w="16838" w:h="11906" w:orient="landscape"/>
          <w:pgMar w:top="720" w:right="720" w:bottom="720" w:left="720" w:header="851" w:footer="992" w:gutter="0"/>
          <w:cols w:space="425" w:num="1"/>
          <w:docGrid w:type="lines" w:linePitch="312" w:charSpace="0"/>
        </w:sectPr>
      </w:pPr>
    </w:p>
    <w:tbl>
      <w:tblPr>
        <w:tblStyle w:val="7"/>
        <w:tblW w:w="123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60"/>
        <w:gridCol w:w="660"/>
        <w:gridCol w:w="764"/>
        <w:gridCol w:w="670"/>
        <w:gridCol w:w="1015"/>
        <w:gridCol w:w="846"/>
        <w:gridCol w:w="1296"/>
        <w:gridCol w:w="682"/>
        <w:gridCol w:w="776"/>
        <w:gridCol w:w="77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371"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0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094"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4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228"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01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6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6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371"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jc w:val="left"/>
        <w:rPr>
          <w:rFonts w:asciiTheme="minorEastAsia" w:hAnsiTheme="minorEastAsia"/>
          <w:sz w:val="32"/>
          <w:szCs w:val="32"/>
        </w:rPr>
        <w:sectPr>
          <w:pgSz w:w="16838" w:h="11906" w:orient="landscape"/>
          <w:pgMar w:top="720" w:right="720" w:bottom="720" w:left="720" w:header="851" w:footer="992" w:gutter="0"/>
          <w:cols w:space="425" w:num="1"/>
          <w:docGrid w:type="lines" w:linePitch="312" w:charSpace="0"/>
        </w:sectPr>
      </w:pPr>
    </w:p>
    <w:tbl>
      <w:tblPr>
        <w:tblStyle w:val="7"/>
        <w:tblW w:w="122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6"/>
        <w:gridCol w:w="222"/>
        <w:gridCol w:w="222"/>
        <w:gridCol w:w="1340"/>
        <w:gridCol w:w="1046"/>
        <w:gridCol w:w="1216"/>
        <w:gridCol w:w="956"/>
        <w:gridCol w:w="1208"/>
        <w:gridCol w:w="1578"/>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249"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4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4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4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0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4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0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04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42"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4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460" w:type="dxa"/>
            <w:gridSpan w:val="3"/>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7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4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00"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10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4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00"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6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44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249"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6"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233"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tc>
      </w:tr>
    </w:tbl>
    <w:p>
      <w:pPr>
        <w:jc w:val="left"/>
        <w:rPr>
          <w:rFonts w:asciiTheme="minorEastAsia" w:hAnsiTheme="minorEastAsia"/>
          <w:sz w:val="32"/>
          <w:szCs w:val="32"/>
        </w:rPr>
        <w:sectPr>
          <w:pgSz w:w="16838" w:h="11906" w:orient="landscape"/>
          <w:pgMar w:top="720" w:right="720" w:bottom="720" w:left="720" w:header="851" w:footer="992" w:gutter="0"/>
          <w:cols w:space="425" w:num="1"/>
          <w:docGrid w:type="lines" w:linePitch="312" w:charSpace="0"/>
        </w:sectPr>
      </w:pPr>
    </w:p>
    <w:tbl>
      <w:tblPr>
        <w:tblStyle w:val="7"/>
        <w:tblW w:w="132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5"/>
        <w:gridCol w:w="322"/>
        <w:gridCol w:w="323"/>
        <w:gridCol w:w="2930"/>
        <w:gridCol w:w="1856"/>
        <w:gridCol w:w="2081"/>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21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6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部门：岳阳市博物馆</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61"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50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1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7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9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6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7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6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57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6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00" w:type="dxa"/>
            <w:gridSpan w:val="4"/>
            <w:tcBorders>
              <w:top w:val="nil"/>
              <w:left w:val="single" w:color="000000" w:sz="4" w:space="0"/>
              <w:bottom w:val="single" w:color="000000" w:sz="4" w:space="0"/>
              <w:right w:val="single" w:color="000000" w:sz="4" w:space="0"/>
            </w:tcBorders>
            <w:shd w:val="clear" w:color="FFFFFF" w:fill="C0C0C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8"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00"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注：本表反映部门本年度国有资本经营预算财政拨款收入、支出及结转和结余情况。</w:t>
            </w:r>
          </w:p>
        </w:tc>
        <w:tc>
          <w:tcPr>
            <w:tcW w:w="1598"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261"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98"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261"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289"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说明：我单位没有国有资本经营收入，也没有使用国有资本经营安排的支出，故本表无数据。</w:t>
            </w:r>
          </w:p>
        </w:tc>
      </w:tr>
    </w:tbl>
    <w:p>
      <w:pPr>
        <w:jc w:val="left"/>
        <w:rPr>
          <w:rFonts w:asciiTheme="minorEastAsia" w:hAnsiTheme="minorEastAsia"/>
          <w:sz w:val="32"/>
          <w:szCs w:val="32"/>
        </w:rPr>
        <w:sectPr>
          <w:pgSz w:w="16838" w:h="11906" w:orient="landscape"/>
          <w:pgMar w:top="720" w:right="720" w:bottom="720" w:left="720" w:header="851" w:footer="992" w:gutter="0"/>
          <w:cols w:space="425" w:num="1"/>
          <w:docGrid w:type="lines" w:linePitch="312" w:charSpace="0"/>
        </w:sectPr>
      </w:pPr>
    </w:p>
    <w:p>
      <w:pPr>
        <w:pStyle w:val="11"/>
        <w:jc w:val="both"/>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1393.29</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1868.13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57.28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政府会计制度改革，根据财政国发5号文，解释4号，当年一般公共预算资金结转结余不在账里面体现，然后再就是项目经费也有压减。</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796.91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680.54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85.40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116.38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14.6</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1293.38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349.45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27.02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943.93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72.98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1276.91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1759.53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57.95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政府会计制度改革，根据财政国发5号文，解释4号，当年一般公共预算资金结转结余不在账里面体现，然后再就是项目经费也有压减。</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1276.91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91.65</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199.46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13.51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有好几个项目工程已完工结算，没有另外新增别的项目经费。</w:t>
      </w:r>
    </w:p>
    <w:p>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1276.91</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45.65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3.58</w:t>
      </w:r>
      <w:r>
        <w:rPr>
          <w:rFonts w:hint="eastAsia" w:asciiTheme="minorEastAsia" w:hAnsiTheme="minorEastAsia" w:eastAsiaTheme="minorEastAsia"/>
          <w:sz w:val="32"/>
          <w:szCs w:val="32"/>
        </w:rPr>
        <w:t>%；文化旅游体育与传媒（类）支出</w:t>
      </w:r>
      <w:r>
        <w:rPr>
          <w:rFonts w:hint="eastAsia" w:asciiTheme="minorEastAsia" w:hAnsiTheme="minorEastAsia" w:eastAsiaTheme="minorEastAsia"/>
          <w:sz w:val="32"/>
          <w:szCs w:val="32"/>
          <w:lang w:val="en-US" w:eastAsia="zh-CN"/>
        </w:rPr>
        <w:t>1208.7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94.66</w:t>
      </w:r>
      <w:r>
        <w:rPr>
          <w:rFonts w:hint="eastAsia" w:asciiTheme="minorEastAsia" w:hAnsiTheme="minorEastAsia" w:eastAsiaTheme="minorEastAsia"/>
          <w:sz w:val="32"/>
          <w:szCs w:val="32"/>
        </w:rPr>
        <w:t>%;社会保障和就业（类）支出</w:t>
      </w:r>
      <w:r>
        <w:rPr>
          <w:rFonts w:hint="eastAsia" w:asciiTheme="minorEastAsia" w:hAnsiTheme="minorEastAsia" w:eastAsiaTheme="minorEastAsia"/>
          <w:sz w:val="32"/>
          <w:szCs w:val="32"/>
          <w:lang w:val="en-US" w:eastAsia="zh-CN"/>
        </w:rPr>
        <w:t>14.91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rPr>
        <w:t>%;卫生健康（类）支出</w:t>
      </w:r>
      <w:r>
        <w:rPr>
          <w:rFonts w:hint="eastAsia" w:asciiTheme="minorEastAsia" w:hAnsiTheme="minorEastAsia" w:eastAsiaTheme="minorEastAsia"/>
          <w:sz w:val="32"/>
          <w:szCs w:val="32"/>
          <w:lang w:val="en-US" w:eastAsia="zh-CN"/>
        </w:rPr>
        <w:t>7.65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506.47</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1276.91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252.12</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w:t>
      </w:r>
      <w:r>
        <w:rPr>
          <w:rFonts w:hint="eastAsia" w:asciiTheme="minorEastAsia" w:hAnsiTheme="minorEastAsia" w:eastAsiaTheme="minorEastAsia"/>
          <w:sz w:val="32"/>
          <w:szCs w:val="32"/>
          <w:lang w:val="en-US" w:eastAsia="zh-CN"/>
        </w:rPr>
        <w:t>档案事务</w:t>
      </w:r>
      <w:r>
        <w:rPr>
          <w:rFonts w:hint="eastAsia" w:asciiTheme="minorEastAsia" w:hAnsiTheme="minorEastAsia" w:eastAsiaTheme="minorEastAsia"/>
          <w:sz w:val="32"/>
          <w:szCs w:val="32"/>
        </w:rPr>
        <w:t>（款）其他档案事务支出（项）。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45.65</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非税收入弥补了日常公用经费。</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2、文化旅游体育与传媒支出（类）文化和旅游（款） 一般行政管理事务（项）。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27.28</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非税征收成本用于岳阳市博物馆官舍维修项目支出。</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、文化旅游体育与传媒支出（类）文物（款）行政运行（项）。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119.05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财政给单位四个讲解员的预算本来只有12万元，但是这个只是仅仅含了工资数，还有每个人的五险一金需要缴纳。</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、文化旅游体育与传媒支出（类）文物（款）博物馆（项）。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460.13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1166.43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253.5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2020年还有未完工的项目资金，继续在2021年有工程进度款支付。</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、社会保障和就业支出（类）行政事业单位养老支出（款）机关事业单位基本养老保险缴费支出（项）。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14.91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14.91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刚好等于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、卫生健康支出（类）行政事业单位医疗（款）事业单位医疗（项）。</w:t>
      </w:r>
    </w:p>
    <w:p>
      <w:pPr>
        <w:pStyle w:val="11"/>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7.65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7.65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刚好等于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住房改革支出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住房公积金</w:t>
      </w:r>
      <w:r>
        <w:rPr>
          <w:rFonts w:hint="eastAsia" w:asciiTheme="minorEastAsia" w:hAnsiTheme="minorEastAsia" w:eastAsiaTheme="minorEastAsia"/>
          <w:sz w:val="32"/>
          <w:szCs w:val="32"/>
        </w:rPr>
        <w:t>（项）。</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11.18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的主要原因是：单位部分的住房公积金直接由财政代扣代缴到岳阳市住房公积金管理中心了，不由单位支付。</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347.1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203.02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58.49</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144.08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41.51</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0.97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因公出国（境）费支出预算为0万元，支出决算为0万元，由于预算数为0，无法计算百分比，主要原因为本年未安排因公出国（境）；与上年相比无变化，主要原因是未安排外事出访活动。</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0.97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厉行节约，每年都有压减公务接待费支出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34.01</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厉行节约，每年都有压减公务接待费支出</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公务用车购置费支出预算为0万元，支出决算为0万元，由于预算数为0，无法计算百分比，决算数为0，主要原因为本年未购置公务用车；与上年相比无变化，主要原因为本年未购置公务用车。</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公务用车运行维护费支出预算为0万元，支出决算为0万元，由于预算数为0，无法计算百分比，决算数为0，主要原因为本年未购置公务用车；与上年相比无变化，主要原因为本年未购置公务用车。</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bookmarkStart w:id="0" w:name="_GoBack"/>
      <w:bookmarkEnd w:id="0"/>
    </w:p>
    <w:p>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0.97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110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其他市、县、区博物馆来我单位参观学习各方面经验</w:t>
      </w:r>
      <w:r>
        <w:rPr>
          <w:rFonts w:hint="eastAsia" w:asciiTheme="minorEastAsia" w:hAnsiTheme="minorEastAsia" w:eastAsiaTheme="minorEastAsia"/>
          <w:sz w:val="32"/>
          <w:szCs w:val="32"/>
        </w:rPr>
        <w:t>发生</w:t>
      </w:r>
      <w:r>
        <w:rPr>
          <w:rFonts w:hint="eastAsia" w:asciiTheme="minorEastAsia" w:hAnsiTheme="minorEastAsia" w:eastAsiaTheme="minorEastAsia"/>
          <w:sz w:val="32"/>
          <w:szCs w:val="32"/>
          <w:lang w:val="en-US" w:eastAsia="zh-CN"/>
        </w:rPr>
        <w:t>的</w:t>
      </w:r>
      <w:r>
        <w:rPr>
          <w:rFonts w:hint="eastAsia" w:asciiTheme="minorEastAsia" w:hAnsiTheme="minorEastAsia" w:eastAsiaTheme="minorEastAsia"/>
          <w:sz w:val="32"/>
          <w:szCs w:val="32"/>
        </w:rPr>
        <w:t>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岳阳市博物馆本级</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1"/>
        <w:rPr>
          <w:rFonts w:hAnsi="黑体"/>
          <w:b/>
          <w:sz w:val="32"/>
          <w:szCs w:val="32"/>
        </w:rPr>
      </w:pPr>
      <w:r>
        <w:rPr>
          <w:rFonts w:hint="eastAsia" w:hAnsi="黑体"/>
          <w:b/>
          <w:sz w:val="32"/>
          <w:szCs w:val="32"/>
        </w:rPr>
        <w:t>八、政府性基金预算收入支出决算情况</w:t>
      </w:r>
    </w:p>
    <w:p>
      <w:pPr>
        <w:pStyle w:val="11"/>
        <w:ind w:firstLine="640" w:firstLineChars="200"/>
        <w:rPr>
          <w:rFonts w:hint="eastAsia" w:asciiTheme="minorEastAsia" w:hAnsiTheme="minorEastAsia" w:eastAsiaTheme="minorEastAsia"/>
          <w:i/>
          <w:color w:val="FF0000"/>
          <w:sz w:val="32"/>
          <w:szCs w:val="32"/>
          <w:lang w:val="en-US"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val="en-US" w:eastAsia="zh-CN"/>
        </w:rPr>
        <w:t>岳阳市博物馆无</w:t>
      </w:r>
      <w:r>
        <w:rPr>
          <w:rFonts w:hint="eastAsia" w:asciiTheme="minorEastAsia" w:hAnsiTheme="minorEastAsia" w:eastAsiaTheme="minorEastAsia"/>
          <w:sz w:val="32"/>
          <w:szCs w:val="32"/>
        </w:rPr>
        <w:t>政府性基金预算财政拨款</w:t>
      </w:r>
      <w:r>
        <w:rPr>
          <w:rFonts w:hint="eastAsia" w:asciiTheme="minorEastAsia" w:hAnsiTheme="minorEastAsia" w:eastAsiaTheme="minorEastAsia"/>
          <w:sz w:val="32"/>
          <w:szCs w:val="32"/>
          <w:lang w:val="en-US" w:eastAsia="zh-CN"/>
        </w:rPr>
        <w:t>支出。</w:t>
      </w:r>
    </w:p>
    <w:p>
      <w:pPr>
        <w:pStyle w:val="11"/>
        <w:numPr>
          <w:ilvl w:val="0"/>
          <w:numId w:val="2"/>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11"/>
        <w:ind w:firstLine="640" w:firstLineChars="200"/>
        <w:rPr>
          <w:rFonts w:hint="default" w:hAnsi="黑体"/>
          <w:b/>
          <w:sz w:val="32"/>
          <w:szCs w:val="32"/>
          <w:lang w:val="en-US"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val="en-US" w:eastAsia="zh-CN"/>
        </w:rPr>
        <w:t>岳阳市博物馆无</w:t>
      </w:r>
      <w:r>
        <w:rPr>
          <w:rFonts w:hint="eastAsia" w:asciiTheme="minorEastAsia" w:hAnsiTheme="minorEastAsia" w:eastAsiaTheme="minorEastAsia"/>
          <w:sz w:val="32"/>
          <w:szCs w:val="32"/>
        </w:rPr>
        <w:t>国有资本经营预算财政拨款</w:t>
      </w:r>
      <w:r>
        <w:rPr>
          <w:rFonts w:hint="eastAsia" w:asciiTheme="minorEastAsia" w:hAnsiTheme="minorEastAsia" w:eastAsiaTheme="minorEastAsia"/>
          <w:sz w:val="32"/>
          <w:szCs w:val="32"/>
          <w:lang w:eastAsia="zh-CN"/>
        </w:rPr>
        <w:t>支出。</w:t>
      </w:r>
    </w:p>
    <w:p>
      <w:pPr>
        <w:pStyle w:val="11"/>
        <w:rPr>
          <w:rFonts w:hAnsi="黑体"/>
          <w:b/>
          <w:sz w:val="32"/>
          <w:szCs w:val="32"/>
        </w:rPr>
      </w:pPr>
      <w:r>
        <w:rPr>
          <w:rFonts w:hint="eastAsia" w:hAnsi="黑体"/>
          <w:b/>
          <w:sz w:val="32"/>
          <w:szCs w:val="32"/>
        </w:rPr>
        <w:t>十、机关运行经费支出说明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岳阳市博物馆是事业单位，不存在机关运行经费。</w:t>
      </w:r>
    </w:p>
    <w:p>
      <w:pPr>
        <w:pStyle w:val="11"/>
        <w:rPr>
          <w:rFonts w:hAnsi="黑体"/>
          <w:b/>
          <w:sz w:val="32"/>
          <w:szCs w:val="32"/>
        </w:rPr>
      </w:pPr>
      <w:r>
        <w:rPr>
          <w:rFonts w:hint="eastAsia" w:hAnsi="黑体"/>
          <w:b/>
          <w:sz w:val="32"/>
          <w:szCs w:val="32"/>
        </w:rPr>
        <w:t>十一、一般性支出情况说明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局机关的非遗活动</w:t>
      </w:r>
      <w:r>
        <w:rPr>
          <w:rFonts w:hint="eastAsia" w:asciiTheme="minorEastAsia" w:hAnsiTheme="minorEastAsia" w:eastAsiaTheme="minorEastAsia"/>
          <w:sz w:val="32"/>
          <w:szCs w:val="32"/>
        </w:rPr>
        <w:t>会议</w:t>
      </w:r>
      <w:r>
        <w:rPr>
          <w:rFonts w:hint="eastAsia" w:asciiTheme="minorEastAsia" w:hAnsiTheme="minorEastAsia" w:eastAsiaTheme="minorEastAsia"/>
          <w:sz w:val="32"/>
          <w:szCs w:val="32"/>
          <w:lang w:val="en-US" w:eastAsia="zh-CN"/>
        </w:rPr>
        <w:t>用餐</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非遗活动的开展布局、过程和结尾等工作的安排</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0.7</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新冠肺炎疫情期间讲解员文物鉴赏线上培训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新冠肺炎疫情期间讲解员文物鉴赏线上培训</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2021年度未举办</w:t>
      </w:r>
      <w:r>
        <w:rPr>
          <w:rFonts w:hint="eastAsia" w:asciiTheme="minorEastAsia" w:hAnsiTheme="minorEastAsia" w:eastAsiaTheme="minorEastAsia"/>
          <w:sz w:val="32"/>
          <w:szCs w:val="32"/>
        </w:rPr>
        <w:t>节庆、晚会、论坛、赛事活动。</w:t>
      </w:r>
    </w:p>
    <w:p>
      <w:pPr>
        <w:pStyle w:val="11"/>
        <w:rPr>
          <w:rFonts w:hAnsi="黑体"/>
          <w:b/>
          <w:sz w:val="32"/>
          <w:szCs w:val="32"/>
        </w:rPr>
      </w:pPr>
      <w:r>
        <w:rPr>
          <w:rFonts w:hint="eastAsia" w:hAnsi="黑体"/>
          <w:b/>
          <w:sz w:val="32"/>
          <w:szCs w:val="32"/>
        </w:rPr>
        <w:t>十二、政府采购支出说明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440.00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440.00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十三、国有资产占用情况说明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9</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943.92</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岳阳市博物馆</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岳阳市博物馆</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免费开放</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文物勘探调查</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9</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943.92</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val="en-US" w:eastAsia="zh-CN"/>
        </w:rPr>
        <w:t>一、重大事项严格履行“三重一大”程序申报，重大项目均按流程邀请驻部纪检组和局机关纪委全程参与监督</w:t>
      </w:r>
      <w:r>
        <w:rPr>
          <w:rFonts w:hint="eastAsia" w:cs="黑体" w:asciiTheme="minorEastAsia" w:hAnsiTheme="minorEastAsia"/>
          <w:color w:val="000000"/>
          <w:kern w:val="0"/>
          <w:sz w:val="32"/>
          <w:szCs w:val="32"/>
        </w:rPr>
        <w:t>。依法、依规、依流程有序开展各项目申报及实施工作。截至目前为止，我馆已完成博物馆“白改黑”提质改造、“三供一业”分离改造项目；正实施的项目有4个，其中博物馆消防改造工程（二期）和预防性保护项目已基本完工，现正在验收和收尾阶段；青铜器、铁器文物修复项目已完成进度超7</w:t>
      </w: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二</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是免费开放工作井然有序</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全年免费开放292天，接待游客35万人次</w:t>
      </w:r>
      <w:r>
        <w:rPr>
          <w:rFonts w:hint="eastAsia" w:cs="黑体" w:asciiTheme="minorEastAsia" w:hAnsiTheme="minorEastAsia"/>
          <w:color w:val="000000"/>
          <w:kern w:val="0"/>
          <w:sz w:val="32"/>
          <w:szCs w:val="32"/>
          <w:lang w:val="en-US" w:eastAsia="zh-CN"/>
        </w:rPr>
        <w:t>.岳阳流动博物馆”以请进来、送出去的方式，将展览送至各县（市）区，各院校、社区，累计惠及公众达10余万人</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三、在文化志愿服务上深度合作，开展文化志愿者服务活动；举办非遗展；</w:t>
      </w:r>
      <w:r>
        <w:rPr>
          <w:rFonts w:hint="eastAsia" w:cs="黑体" w:asciiTheme="minorEastAsia" w:hAnsiTheme="minorEastAsia"/>
          <w:color w:val="000000"/>
          <w:kern w:val="0"/>
          <w:sz w:val="32"/>
          <w:szCs w:val="32"/>
        </w:rPr>
        <w:t>今年，我们举办了牛转乾坤—辛丑牛年新春生肖文物图片联展、指尖上的非遗—岳阳手工技艺类民俗类非遗展、岳阳文化创意产品展、“百年历程·红色印记”—岳阳市革命文物图片展等临时展览6个，推出“峥嵘岁月·红色百年”岳阳市馆藏革命文物线上图片展11期</w:t>
      </w:r>
      <w:r>
        <w:rPr>
          <w:rFonts w:hint="eastAsia" w:cs="黑体" w:asciiTheme="minorEastAsia" w:hAnsiTheme="minorEastAsia"/>
          <w:color w:val="000000"/>
          <w:kern w:val="0"/>
          <w:sz w:val="32"/>
          <w:szCs w:val="32"/>
          <w:lang w:eastAsia="zh-CN"/>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eastAsia="zh-CN"/>
        </w:rPr>
        <w:t>四、</w:t>
      </w:r>
      <w:r>
        <w:rPr>
          <w:rFonts w:hint="eastAsia" w:cs="黑体" w:asciiTheme="minorEastAsia" w:hAnsiTheme="minorEastAsia"/>
          <w:color w:val="000000"/>
          <w:kern w:val="0"/>
          <w:sz w:val="32"/>
          <w:szCs w:val="32"/>
        </w:rPr>
        <w:t>文物征集保管工作成效显著。为了让馆藏文物得到有效保护和合理利用，征集保管部全年共整理、修复陶瓷器文物标本100余件，新增入库文物达300余件</w:t>
      </w:r>
      <w:r>
        <w:rPr>
          <w:rFonts w:hint="eastAsia" w:cs="黑体" w:asciiTheme="minorEastAsia" w:hAnsiTheme="minorEastAsia"/>
          <w:color w:val="000000"/>
          <w:kern w:val="0"/>
          <w:sz w:val="32"/>
          <w:szCs w:val="32"/>
          <w:lang w:eastAsia="zh-CN"/>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五、严格按照《岳阳市博物馆新冠疫情期间开放方案》每天对展区及办公区域进行打扫卫生1次，消毒1次;</w:t>
      </w:r>
      <w:r>
        <w:rPr>
          <w:rFonts w:hint="eastAsia" w:cs="黑体" w:asciiTheme="minorEastAsia" w:hAnsiTheme="minorEastAsia"/>
          <w:color w:val="000000"/>
          <w:kern w:val="0"/>
          <w:sz w:val="32"/>
          <w:szCs w:val="32"/>
        </w:rPr>
        <w:t>对来访人员、工作人员及车辆的出入进行查验健康码、行程码和疫苗接种情况，对未佩戴口罩、体温异常或有发烧、咳嗽等感冒症状的参观人员严禁进入。</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六、</w:t>
      </w:r>
      <w:r>
        <w:rPr>
          <w:rFonts w:hint="eastAsia" w:cs="黑体" w:asciiTheme="minorEastAsia" w:hAnsiTheme="minorEastAsia"/>
          <w:color w:val="000000"/>
          <w:kern w:val="0"/>
          <w:sz w:val="32"/>
          <w:szCs w:val="32"/>
        </w:rPr>
        <w:t>是文物考古、学术研究稳步推进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全年涉及文物考古调查勘探的建设项目60余个，完成三荷机场改扩建、岳阳市中心医院、汨杨公路，平江县2021年5个批次、临湘市2021年2个批次、湘阴县水厂、沿江环湖生态旅游廊道等32个项目的文物考古调查勘探工作，调查勘探面积达490万平方米</w:t>
      </w:r>
      <w:r>
        <w:rPr>
          <w:rFonts w:hint="eastAsia" w:cs="黑体" w:asciiTheme="minorEastAsia" w:hAnsiTheme="minorEastAsia"/>
          <w:color w:val="000000"/>
          <w:kern w:val="0"/>
          <w:sz w:val="32"/>
          <w:szCs w:val="32"/>
          <w:lang w:val="en-US" w:eastAsia="zh-CN"/>
        </w:rPr>
        <w:t>，加大“三建”工地前期文物调查勘探发掘服务性收费工作，全年完成财政非税收入565.67万元，超额完成165.67万元。完成率100%。</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岳阳市博物馆</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1276.91</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val="en-US" w:eastAsia="zh-CN"/>
        </w:rPr>
        <w:t>1、重大事项严格履行“三重一大”程序申报，重大项目均按流程邀请驻部纪检组和局机关纪委全程参与监督；截至目前为止，我馆已完成博物馆“白改黑”提质改造、“三供一业”分离改造项目；正实施的项目有4个，其中博物馆消防改造工程（二期）和预防性保护项目已基本完工，现正在验收和收尾阶段；青铜器、铁器文物修复项目已完成进度超75%</w:t>
      </w:r>
    </w:p>
    <w:p>
      <w:pPr>
        <w:autoSpaceDE w:val="0"/>
        <w:autoSpaceDN w:val="0"/>
        <w:adjustRightInd w:val="0"/>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w:t>
      </w:r>
      <w:r>
        <w:rPr>
          <w:rFonts w:hint="default" w:cs="黑体" w:asciiTheme="minorEastAsia" w:hAnsiTheme="minorEastAsia"/>
          <w:color w:val="000000"/>
          <w:kern w:val="0"/>
          <w:sz w:val="32"/>
          <w:szCs w:val="32"/>
          <w:lang w:val="en-US" w:eastAsia="zh-CN"/>
        </w:rPr>
        <w:t>“岳阳流动博物馆”以请进来、送出去的方式，开展活动8场次，将展览送至各县（市）区，各院校、社区，累计惠及公众达10余万人</w:t>
      </w:r>
      <w:r>
        <w:rPr>
          <w:rFonts w:hint="eastAsia" w:cs="黑体" w:asciiTheme="minorEastAsia" w:hAnsiTheme="minorEastAsia"/>
          <w:color w:val="000000"/>
          <w:kern w:val="0"/>
          <w:sz w:val="32"/>
          <w:szCs w:val="32"/>
          <w:lang w:val="en-US" w:eastAsia="zh-CN"/>
        </w:rPr>
        <w:t>；全年共计免费开放292天，接待游客35万人次</w:t>
      </w:r>
    </w:p>
    <w:p>
      <w:pPr>
        <w:autoSpaceDE w:val="0"/>
        <w:autoSpaceDN w:val="0"/>
        <w:adjustRightInd w:val="0"/>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3、</w:t>
      </w:r>
      <w:r>
        <w:rPr>
          <w:rFonts w:hint="default" w:cs="黑体" w:asciiTheme="minorEastAsia" w:hAnsiTheme="minorEastAsia"/>
          <w:color w:val="000000"/>
          <w:kern w:val="0"/>
          <w:sz w:val="32"/>
          <w:szCs w:val="32"/>
          <w:lang w:val="en-US" w:eastAsia="zh-CN"/>
        </w:rPr>
        <w:t>在文化志愿服务上深度合作，开展文化志愿者服务活动；</w:t>
      </w:r>
      <w:r>
        <w:rPr>
          <w:rFonts w:hint="eastAsia" w:cs="黑体" w:asciiTheme="minorEastAsia" w:hAnsiTheme="minorEastAsia"/>
          <w:color w:val="000000"/>
          <w:kern w:val="0"/>
          <w:sz w:val="32"/>
          <w:szCs w:val="32"/>
          <w:lang w:val="en-US" w:eastAsia="zh-CN"/>
        </w:rPr>
        <w:t>开展文化志愿者服务活动9场，全年吸收志愿者89人，志愿者服务时间311天，服务时间达2488小时。</w:t>
      </w:r>
      <w:r>
        <w:rPr>
          <w:rFonts w:hint="default" w:cs="黑体" w:asciiTheme="minorEastAsia" w:hAnsiTheme="minorEastAsia"/>
          <w:color w:val="000000"/>
          <w:kern w:val="0"/>
          <w:sz w:val="32"/>
          <w:szCs w:val="32"/>
          <w:lang w:val="en-US" w:eastAsia="zh-CN"/>
        </w:rPr>
        <w:t>举办非遗展</w:t>
      </w:r>
      <w:r>
        <w:rPr>
          <w:rFonts w:hint="eastAsia" w:cs="黑体" w:asciiTheme="minorEastAsia" w:hAnsiTheme="minorEastAsia"/>
          <w:color w:val="000000"/>
          <w:kern w:val="0"/>
          <w:sz w:val="32"/>
          <w:szCs w:val="32"/>
          <w:lang w:val="en-US" w:eastAsia="zh-CN"/>
        </w:rPr>
        <w:t>；举办了牛转乾坤—辛丑牛年新春生肖文物图片联展、指尖上的非遗—岳阳手工技艺类民俗类非遗展、岳阳文化创意产品展、“百年历程·红色印记”—岳阳市革命文物图片展等临时展览6个。</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严格按照《岳阳市博物馆新冠疫情期间开放方案》每天对展区及办公区域进行打扫卫生1次，消毒1次</w:t>
      </w:r>
      <w:r>
        <w:rPr>
          <w:rFonts w:hint="eastAsia" w:cs="黑体" w:asciiTheme="minorEastAsia" w:hAnsiTheme="minorEastAsia"/>
          <w:color w:val="000000"/>
          <w:kern w:val="0"/>
          <w:sz w:val="32"/>
          <w:szCs w:val="32"/>
          <w:lang w:val="en-US" w:eastAsia="zh-CN"/>
        </w:rPr>
        <w:t>;</w:t>
      </w:r>
    </w:p>
    <w:p>
      <w:pPr>
        <w:autoSpaceDE w:val="0"/>
        <w:autoSpaceDN w:val="0"/>
        <w:adjustRightInd w:val="0"/>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文物征集保管工作成效显著。为了让馆藏文物得到有效保护和合理利用，征集保管部全年共整理、修复陶瓷器文物标本100余件，新增入库文物达300余件</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7、收取的考古调查勘探发掘经费纳入非税管理，2021年非税预算任务400万元，实际完成任务565.67万；超额完成165.67万，完成率100%。全年涉及文物考古调查勘探的建设项目60余个，完成三荷机场改扩建、岳阳市中心医院、汨杨公路，平江县2021年5个批次、临湘市2021年2个批次、湘阴县水厂、沿江环湖生态旅游廊道等32个项目的文物考古调查勘探工作，调查勘探面积达490万平方米。</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spacing w:line="56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文物考古、学术研究</w:t>
      </w:r>
      <w:r>
        <w:rPr>
          <w:rFonts w:hint="eastAsia" w:cs="黑体" w:asciiTheme="minorEastAsia" w:hAnsiTheme="minorEastAsia"/>
          <w:color w:val="000000"/>
          <w:kern w:val="0"/>
          <w:sz w:val="32"/>
          <w:szCs w:val="32"/>
          <w:lang w:val="en-US" w:eastAsia="zh-CN"/>
        </w:rPr>
        <w:t>等非税收入</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400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565.67</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141.42</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按照省委、省政府对建设工程行政审批制度改革的相关要求，我馆配合市文旅广电局对涉及建设工程行政审批流程进行了梳理，规范了审批流程，并接入政府办证大厅湖南省工程建设项目审批管理系统进行统一管理。全年涉及文物考古调查勘探的建设项目60余个，完成三荷机场改扩建、岳阳市中心医院、汨杨公路，平江县2021年5个批次、临湘市2021年2个批次、湘阴县水厂、沿江环湖生态旅游廊道等32个项目的文物考古调查勘探工作，调查勘探面积达490万平方米。抢救性考古发掘宋至明清时期古墓葬7座，出土文物100余件。学术研究方面，在国家级、省级刊物上发表专业论文3篇，编辑正式出版《岳阳市博物馆藏文物精粹》一书，为研究岳阳本土的历史文化提供了详实了资料。</w:t>
      </w:r>
    </w:p>
    <w:p>
      <w:pPr>
        <w:spacing w:line="560" w:lineRule="exact"/>
        <w:ind w:firstLine="640" w:firstLineChars="200"/>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。发现的主要问题及原因：</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理论和业务学习不够深入</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需增加年度集中培训及考核，提高业务学习及理论知识。</w:t>
      </w:r>
    </w:p>
    <w:p>
      <w:pPr>
        <w:spacing w:line="56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创新意识有所欠缺</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应多向外优秀单位学习，激发创新意识。</w:t>
      </w:r>
    </w:p>
    <w:p>
      <w:pPr>
        <w:spacing w:line="56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。下一步改进措施：克服自身不足，认真学习，严格自律，为我市文化事业持续健康发展作出更大的贡献。</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pStyle w:val="11"/>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详细见附件</w:t>
      </w:r>
    </w:p>
    <w:p>
      <w:pPr>
        <w:pStyle w:val="11"/>
        <w:rPr>
          <w:sz w:val="72"/>
          <w:szCs w:val="72"/>
        </w:rPr>
      </w:pPr>
    </w:p>
    <w:p>
      <w:pPr>
        <w:pStyle w:val="11"/>
        <w:rPr>
          <w:sz w:val="72"/>
          <w:szCs w:val="72"/>
        </w:rPr>
      </w:pPr>
    </w:p>
    <w:p>
      <w:pPr>
        <w:pStyle w:val="11"/>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autoSpaceDE w:val="0"/>
        <w:autoSpaceDN w:val="0"/>
        <w:adjustRightInd w:val="0"/>
        <w:spacing w:line="600" w:lineRule="exact"/>
        <w:ind w:firstLine="640" w:firstLineChars="200"/>
        <w:jc w:val="left"/>
        <w:rPr>
          <w:rFonts w:hint="default" w:ascii="宋体" w:hAnsi="Times New Roman" w:eastAsia="宋体" w:cs="宋体"/>
          <w:color w:val="000000"/>
          <w:kern w:val="0"/>
          <w:sz w:val="32"/>
          <w:szCs w:val="32"/>
          <w:highlight w:val="white"/>
        </w:rPr>
      </w:pPr>
      <w:r>
        <w:rPr>
          <w:rFonts w:hint="eastAsia" w:cs="黑体" w:asciiTheme="minorEastAsia" w:hAnsiTheme="minorEastAsia"/>
          <w:color w:val="000000"/>
          <w:kern w:val="0"/>
          <w:sz w:val="32"/>
          <w:szCs w:val="32"/>
        </w:rPr>
        <w:t>三、</w:t>
      </w:r>
      <w:r>
        <w:rPr>
          <w:rFonts w:hint="default" w:ascii="宋体" w:hAnsi="Times New Roman" w:eastAsia="宋体" w:cs="宋体"/>
          <w:color w:val="000000"/>
          <w:kern w:val="0"/>
          <w:sz w:val="32"/>
          <w:szCs w:val="32"/>
          <w:highlight w:val="white"/>
        </w:rPr>
        <w:t>基本支出：指保障机构正常运转、完成支日常工作任务而发生的人员支出和公用支出。</w:t>
      </w:r>
    </w:p>
    <w:p>
      <w:pPr>
        <w:numPr>
          <w:ilvl w:val="0"/>
          <w:numId w:val="0"/>
        </w:numPr>
        <w:autoSpaceDE w:val="0"/>
        <w:autoSpaceDN w:val="0"/>
        <w:adjustRightInd w:val="0"/>
        <w:spacing w:line="600" w:lineRule="exact"/>
        <w:ind w:firstLine="640" w:firstLineChars="200"/>
        <w:jc w:val="left"/>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项目支出：指在基本支出之外为完成特定行政任务和事业发展目标所发生的支出。</w:t>
      </w:r>
    </w:p>
    <w:p>
      <w:pPr>
        <w:numPr>
          <w:ilvl w:val="0"/>
          <w:numId w:val="0"/>
        </w:numPr>
        <w:autoSpaceDE w:val="0"/>
        <w:autoSpaceDN w:val="0"/>
        <w:adjustRightInd w:val="0"/>
        <w:spacing w:line="600" w:lineRule="exact"/>
        <w:ind w:firstLine="640" w:firstLineChars="200"/>
        <w:jc w:val="left"/>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工资福利支出：反映单位开支的在职职工和编制外长期聘用人员的各类劳动报酬，以及为上述人员缴纳的各项社会保险费等。</w:t>
      </w:r>
    </w:p>
    <w:p>
      <w:pPr>
        <w:numPr>
          <w:ilvl w:val="0"/>
          <w:numId w:val="0"/>
        </w:numPr>
        <w:autoSpaceDE w:val="0"/>
        <w:autoSpaceDN w:val="0"/>
        <w:adjustRightInd w:val="0"/>
        <w:spacing w:line="600" w:lineRule="exact"/>
        <w:ind w:firstLine="640" w:firstLineChars="200"/>
        <w:jc w:val="left"/>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numPr>
          <w:ilvl w:val="0"/>
          <w:numId w:val="0"/>
        </w:numPr>
        <w:autoSpaceDE w:val="0"/>
        <w:autoSpaceDN w:val="0"/>
        <w:adjustRightInd w:val="0"/>
        <w:spacing w:line="600" w:lineRule="exact"/>
        <w:ind w:firstLine="640" w:firstLineChars="200"/>
        <w:jc w:val="left"/>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奖金：反映机关工作人员年终一次性奖金。</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机关事业单位基本养老保险缴费：反映机关事业单位缴纳的基本养老保险费。由单位代扣的工作人员基本养老保险缴费，不在此科目反映。</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职业年金缴费：反映机关事业单位实际缴纳的职业年金支出。由单位代扣的工作人员职业年金缴费，不在此科目反映。</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职工基本医疗保险缴费：反映单位为职工缴纳的基本医疗保险费。</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住房公积金：反映行政事业单位按人力资源和社会保障部、财政部规定的基本工资和津贴补贴以及规定比例为职工缴纳的住房公积金。</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医疗费：反映未参加医疗保险单位的医疗经费和单位按规定为职工支出的其他医疗费用。</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商品和服务支出：反映单位购买商品和服务的支出（不包括用于购置固定资产的支出、战略性和应急储备支出）。</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办公费：反映单位购买按财务会计制度规定不符合固定资产确认标准的日常办公用品、书报杂志等支出。</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印刷费：反映单位的印刷费支出。</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差旅费：反映单位工作人员出差发生的城市间交通费、住宿费、伙食补贴费和市内交通费。</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维修(护)费：反映单位日常开支的固定资产（不包括车船等交通工具）修理和维护费用，网络信息系统运行与维护费用，以及按规定提取的修购基金。</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培训费：反映除因公出国（境）培训费以外的各类培训支出。</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工会经费：反映单位按规定提取的工会经费。</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福利费：反映单位按规定提取的福利费。</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其他交通费用：反映单位除公务用车运行维护费以外的其他交通费用。如公务交通补贴，租车费用、出租车费用，飞机、船舶等的燃料费、维修费、保险费等。</w:t>
      </w:r>
    </w:p>
    <w:p>
      <w:pPr>
        <w:keepNext/>
        <w:keepLines/>
        <w:autoSpaceDE w:val="0"/>
        <w:autoSpaceDN w:val="0"/>
        <w:adjustRightInd w:val="0"/>
        <w:spacing w:line="600" w:lineRule="exact"/>
        <w:ind w:firstLine="641"/>
        <w:rPr>
          <w:rFonts w:hint="default" w:ascii="宋体" w:hAnsi="Times New Roman" w:eastAsia="宋体" w:cs="宋体"/>
          <w:color w:val="000000"/>
          <w:kern w:val="0"/>
          <w:sz w:val="32"/>
          <w:szCs w:val="32"/>
          <w:highlight w:val="white"/>
        </w:rPr>
      </w:pPr>
      <w:r>
        <w:rPr>
          <w:rFonts w:hint="default" w:ascii="宋体" w:hAnsi="Times New Roman" w:eastAsia="宋体" w:cs="宋体"/>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cs="黑体" w:asciiTheme="minorEastAsia" w:hAnsiTheme="minorEastAsia"/>
          <w:color w:val="000000"/>
          <w:kern w:val="0"/>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BE1E79"/>
    <w:rsid w:val="02F01961"/>
    <w:rsid w:val="050F5838"/>
    <w:rsid w:val="05633A58"/>
    <w:rsid w:val="06850DF8"/>
    <w:rsid w:val="06B411F0"/>
    <w:rsid w:val="06E03B01"/>
    <w:rsid w:val="07283BBC"/>
    <w:rsid w:val="072D6AFD"/>
    <w:rsid w:val="07BF4C25"/>
    <w:rsid w:val="07C60661"/>
    <w:rsid w:val="07CF5DE6"/>
    <w:rsid w:val="087403E0"/>
    <w:rsid w:val="0877618F"/>
    <w:rsid w:val="09D4256A"/>
    <w:rsid w:val="0BA23811"/>
    <w:rsid w:val="0BE56081"/>
    <w:rsid w:val="0DAB63F9"/>
    <w:rsid w:val="10E439D5"/>
    <w:rsid w:val="11263304"/>
    <w:rsid w:val="123D49DF"/>
    <w:rsid w:val="12647DA9"/>
    <w:rsid w:val="127001C5"/>
    <w:rsid w:val="128E2F96"/>
    <w:rsid w:val="12E71361"/>
    <w:rsid w:val="13BE003E"/>
    <w:rsid w:val="13D536DD"/>
    <w:rsid w:val="13DA694B"/>
    <w:rsid w:val="13F65052"/>
    <w:rsid w:val="14946AA9"/>
    <w:rsid w:val="14997B43"/>
    <w:rsid w:val="14C173FE"/>
    <w:rsid w:val="156D6570"/>
    <w:rsid w:val="16B03286"/>
    <w:rsid w:val="16B34B25"/>
    <w:rsid w:val="17A87124"/>
    <w:rsid w:val="17E256C1"/>
    <w:rsid w:val="18D50C0E"/>
    <w:rsid w:val="19616ABA"/>
    <w:rsid w:val="19EA7F0C"/>
    <w:rsid w:val="1C224C26"/>
    <w:rsid w:val="1CD5441E"/>
    <w:rsid w:val="1D395A93"/>
    <w:rsid w:val="1D4604A0"/>
    <w:rsid w:val="1D461794"/>
    <w:rsid w:val="1DBF2CDD"/>
    <w:rsid w:val="1DC1547F"/>
    <w:rsid w:val="1DD561B4"/>
    <w:rsid w:val="1E556174"/>
    <w:rsid w:val="2020322B"/>
    <w:rsid w:val="20A756FA"/>
    <w:rsid w:val="213D11C0"/>
    <w:rsid w:val="217F0425"/>
    <w:rsid w:val="21921F06"/>
    <w:rsid w:val="22D85858"/>
    <w:rsid w:val="239E2206"/>
    <w:rsid w:val="23AB72AF"/>
    <w:rsid w:val="24392625"/>
    <w:rsid w:val="24433CAE"/>
    <w:rsid w:val="24851ACF"/>
    <w:rsid w:val="24AE2F51"/>
    <w:rsid w:val="24D52F74"/>
    <w:rsid w:val="26023638"/>
    <w:rsid w:val="2680013C"/>
    <w:rsid w:val="27686A87"/>
    <w:rsid w:val="27D4036E"/>
    <w:rsid w:val="27DB542D"/>
    <w:rsid w:val="281F026C"/>
    <w:rsid w:val="28266B14"/>
    <w:rsid w:val="28D94270"/>
    <w:rsid w:val="2A554B7E"/>
    <w:rsid w:val="2CF9225E"/>
    <w:rsid w:val="2D5C786C"/>
    <w:rsid w:val="2D8A6187"/>
    <w:rsid w:val="2DEC5D5C"/>
    <w:rsid w:val="2E0806D4"/>
    <w:rsid w:val="2EB7753B"/>
    <w:rsid w:val="2EF83DF2"/>
    <w:rsid w:val="2F6A44C2"/>
    <w:rsid w:val="30E77E44"/>
    <w:rsid w:val="320504D2"/>
    <w:rsid w:val="323D144A"/>
    <w:rsid w:val="3342356A"/>
    <w:rsid w:val="33C3259F"/>
    <w:rsid w:val="34141E7E"/>
    <w:rsid w:val="366364DD"/>
    <w:rsid w:val="370B6762"/>
    <w:rsid w:val="37FC4DE7"/>
    <w:rsid w:val="387831BA"/>
    <w:rsid w:val="3971428B"/>
    <w:rsid w:val="3A7F2007"/>
    <w:rsid w:val="3AA567FC"/>
    <w:rsid w:val="3ADD1FEC"/>
    <w:rsid w:val="3BC1419E"/>
    <w:rsid w:val="3BF67102"/>
    <w:rsid w:val="3DB57251"/>
    <w:rsid w:val="3E027654"/>
    <w:rsid w:val="3F2A54AE"/>
    <w:rsid w:val="3FA3073A"/>
    <w:rsid w:val="3FD858C3"/>
    <w:rsid w:val="3FFA3463"/>
    <w:rsid w:val="41A97EC4"/>
    <w:rsid w:val="41E719A3"/>
    <w:rsid w:val="42276243"/>
    <w:rsid w:val="45714D11"/>
    <w:rsid w:val="45CC6904"/>
    <w:rsid w:val="45F9639D"/>
    <w:rsid w:val="460970F1"/>
    <w:rsid w:val="466D3240"/>
    <w:rsid w:val="48642F39"/>
    <w:rsid w:val="48745BFB"/>
    <w:rsid w:val="48ED43E7"/>
    <w:rsid w:val="49267254"/>
    <w:rsid w:val="49470F79"/>
    <w:rsid w:val="49C3134A"/>
    <w:rsid w:val="4A995804"/>
    <w:rsid w:val="4AD04E0C"/>
    <w:rsid w:val="4CD55219"/>
    <w:rsid w:val="4DD268C9"/>
    <w:rsid w:val="4DE57DA3"/>
    <w:rsid w:val="4F5D32A4"/>
    <w:rsid w:val="504D6EB3"/>
    <w:rsid w:val="50CE5E6C"/>
    <w:rsid w:val="50F804CD"/>
    <w:rsid w:val="516D593F"/>
    <w:rsid w:val="52923952"/>
    <w:rsid w:val="52926AF3"/>
    <w:rsid w:val="52C65B09"/>
    <w:rsid w:val="530428E9"/>
    <w:rsid w:val="53565BAC"/>
    <w:rsid w:val="53E144A4"/>
    <w:rsid w:val="55E764CE"/>
    <w:rsid w:val="56776674"/>
    <w:rsid w:val="571F4A05"/>
    <w:rsid w:val="576604EA"/>
    <w:rsid w:val="577B5FC5"/>
    <w:rsid w:val="58AB7726"/>
    <w:rsid w:val="597076EA"/>
    <w:rsid w:val="5AA47FD9"/>
    <w:rsid w:val="5C033856"/>
    <w:rsid w:val="5C0E6052"/>
    <w:rsid w:val="5D806784"/>
    <w:rsid w:val="5E9D551F"/>
    <w:rsid w:val="5EF86B45"/>
    <w:rsid w:val="5F122944"/>
    <w:rsid w:val="60A907EA"/>
    <w:rsid w:val="60C50CA9"/>
    <w:rsid w:val="6145544E"/>
    <w:rsid w:val="61826B9A"/>
    <w:rsid w:val="64191A38"/>
    <w:rsid w:val="648D7896"/>
    <w:rsid w:val="65425A30"/>
    <w:rsid w:val="65A91085"/>
    <w:rsid w:val="667271DD"/>
    <w:rsid w:val="676A43B3"/>
    <w:rsid w:val="68732E74"/>
    <w:rsid w:val="68A65864"/>
    <w:rsid w:val="694C76D3"/>
    <w:rsid w:val="6A3B6DD7"/>
    <w:rsid w:val="6B4504D3"/>
    <w:rsid w:val="6BA8032F"/>
    <w:rsid w:val="6C0F3F6C"/>
    <w:rsid w:val="6C755C79"/>
    <w:rsid w:val="6E8C2E06"/>
    <w:rsid w:val="6E9C0605"/>
    <w:rsid w:val="6F0C5745"/>
    <w:rsid w:val="6F987EF1"/>
    <w:rsid w:val="701E1AB7"/>
    <w:rsid w:val="70745860"/>
    <w:rsid w:val="7165298B"/>
    <w:rsid w:val="719E6112"/>
    <w:rsid w:val="71D64F71"/>
    <w:rsid w:val="727D7636"/>
    <w:rsid w:val="7501454E"/>
    <w:rsid w:val="75C775BD"/>
    <w:rsid w:val="766366F1"/>
    <w:rsid w:val="7696711C"/>
    <w:rsid w:val="76B37ACA"/>
    <w:rsid w:val="78550CB9"/>
    <w:rsid w:val="797B5EB9"/>
    <w:rsid w:val="79BE660A"/>
    <w:rsid w:val="7AF64429"/>
    <w:rsid w:val="7DB84BFD"/>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paragraph" w:customStyle="1" w:styleId="14">
    <w:name w:val="列出段落1"/>
    <w:basedOn w:val="1"/>
    <w:unhideWhenUsed/>
    <w:qFormat/>
    <w:uiPriority w:val="34"/>
    <w:pPr>
      <w:spacing w:line="360" w:lineRule="auto"/>
      <w:ind w:firstLine="420" w:firstLineChars="200"/>
    </w:pPr>
    <w:rPr>
      <w:rFonts w:hint="eastAsia" w:ascii="Calibri" w:eastAsia="仿宋_GB2312" w:cs="Calibr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11028</Words>
  <Characters>13000</Characters>
  <Lines>69</Lines>
  <Paragraphs>19</Paragraphs>
  <TotalTime>9</TotalTime>
  <ScaleCrop>false</ScaleCrop>
  <LinksUpToDate>false</LinksUpToDate>
  <CharactersWithSpaces>13237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2022-09-26T01:10:00Z</cp:lastPrinted>
  <dcterms:modified xsi:type="dcterms:W3CDTF">2023-09-22T06:58:59Z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