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rPr>
        <w:t>岳阳市君山岛文物管理所</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480" w:lineRule="exact"/>
        <w:jc w:val="center"/>
        <w:rPr>
          <w:b/>
          <w:sz w:val="36"/>
          <w:szCs w:val="28"/>
        </w:rPr>
      </w:pPr>
      <w:r>
        <w:rPr>
          <w:rFonts w:hint="eastAsia"/>
          <w:b/>
          <w:sz w:val="36"/>
          <w:szCs w:val="28"/>
        </w:rPr>
        <w:t>目录</w:t>
      </w:r>
    </w:p>
    <w:p>
      <w:pPr>
        <w:pStyle w:val="11"/>
        <w:spacing w:line="480" w:lineRule="exact"/>
        <w:rPr>
          <w:rFonts w:ascii="仿宋_GB2312" w:hAnsi="仿宋_GB2312" w:cs="仿宋_GB2312"/>
          <w:b/>
          <w:sz w:val="28"/>
          <w:szCs w:val="28"/>
        </w:rPr>
      </w:pPr>
      <w:r>
        <w:rPr>
          <w:rFonts w:hint="eastAsia"/>
          <w:b/>
          <w:sz w:val="28"/>
          <w:szCs w:val="28"/>
        </w:rPr>
        <w:t xml:space="preserve">第一部分 </w:t>
      </w:r>
      <w:r>
        <w:rPr>
          <w:b/>
          <w:sz w:val="28"/>
          <w:szCs w:val="28"/>
        </w:rPr>
        <w:t xml:space="preserve"> </w:t>
      </w:r>
      <w:r>
        <w:rPr>
          <w:rFonts w:hint="eastAsia"/>
          <w:b/>
          <w:sz w:val="28"/>
          <w:szCs w:val="28"/>
        </w:rPr>
        <w:t>岳阳市君山岛文物管理所单位概况</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11"/>
        <w:spacing w:line="480" w:lineRule="exact"/>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21年度部门决算表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48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21年度部门决算情况说明</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11"/>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1"/>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xml:space="preserve">  </w:t>
      </w:r>
      <w:r>
        <w:rPr>
          <w:rFonts w:ascii="黑体" w:hAnsi="黑体" w:eastAsia="黑体" w:cs="黑体"/>
          <w:b/>
          <w:color w:val="000000"/>
          <w:kern w:val="0"/>
          <w:sz w:val="28"/>
          <w:szCs w:val="28"/>
        </w:rPr>
        <w:t>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岳阳市君山岛文物管理所</w:t>
      </w:r>
    </w:p>
    <w:p>
      <w:pPr>
        <w:pStyle w:val="11"/>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2"/>
        <w:ind w:left="720" w:firstLine="0" w:firstLineChars="0"/>
        <w:textAlignment w:val="baseline"/>
        <w:rPr>
          <w:rFonts w:ascii="仿宋" w:hAnsi="仿宋" w:eastAsia="仿宋" w:cs="仿宋"/>
          <w:color w:val="000000"/>
          <w:sz w:val="32"/>
          <w:szCs w:val="32"/>
        </w:rPr>
      </w:pPr>
      <w:r>
        <w:rPr>
          <w:rFonts w:hint="eastAsia" w:ascii="仿宋" w:hAnsi="仿宋" w:eastAsia="仿宋" w:cs="仿宋"/>
          <w:color w:val="000000"/>
          <w:sz w:val="32"/>
          <w:szCs w:val="32"/>
        </w:rPr>
        <w:t>按照文物保护相关法律法规，君山岛文物管理所职能职责界定如下：</w:t>
      </w:r>
    </w:p>
    <w:p>
      <w:pPr>
        <w:pStyle w:val="12"/>
        <w:ind w:left="720" w:firstLine="0" w:firstLineChars="0"/>
        <w:textAlignment w:val="baseline"/>
        <w:rPr>
          <w:rFonts w:ascii="仿宋" w:hAnsi="仿宋" w:eastAsia="仿宋" w:cs="仿宋"/>
          <w:b/>
          <w:color w:val="000000"/>
          <w:sz w:val="32"/>
          <w:szCs w:val="32"/>
        </w:rPr>
      </w:pPr>
      <w:r>
        <w:rPr>
          <w:rFonts w:hint="eastAsia" w:ascii="仿宋" w:hAnsi="仿宋" w:eastAsia="仿宋" w:cs="仿宋"/>
          <w:b/>
          <w:color w:val="000000"/>
          <w:sz w:val="32"/>
          <w:szCs w:val="32"/>
        </w:rPr>
        <w:t>(1)安全管理职责</w:t>
      </w:r>
    </w:p>
    <w:p>
      <w:pPr>
        <w:pStyle w:val="12"/>
        <w:ind w:left="720" w:firstLine="0" w:firstLineChars="0"/>
        <w:textAlignment w:val="baseline"/>
        <w:rPr>
          <w:rFonts w:ascii="仿宋" w:hAnsi="仿宋" w:eastAsia="仿宋" w:cs="仿宋"/>
          <w:color w:val="000000"/>
          <w:sz w:val="32"/>
          <w:szCs w:val="32"/>
        </w:rPr>
      </w:pPr>
      <w:r>
        <w:rPr>
          <w:rFonts w:hint="eastAsia" w:ascii="仿宋" w:hAnsi="仿宋" w:eastAsia="仿宋" w:cs="仿宋"/>
          <w:color w:val="000000"/>
          <w:sz w:val="32"/>
          <w:szCs w:val="32"/>
        </w:rPr>
        <w:t>君山岛文物管理所负责对君山岛二妃墓、柳毅井、君山摩崖石刻3处省级文物保护单位和其他不可移动文物的日常保护、</w:t>
      </w:r>
      <w:r>
        <w:rPr>
          <w:rFonts w:hint="eastAsia" w:ascii="仿宋" w:hAnsi="仿宋" w:eastAsia="仿宋" w:cs="仿宋"/>
          <w:sz w:val="32"/>
          <w:szCs w:val="32"/>
        </w:rPr>
        <w:t>管理、研究、展示等职责。</w:t>
      </w:r>
    </w:p>
    <w:p>
      <w:pPr>
        <w:pStyle w:val="12"/>
        <w:ind w:left="720" w:firstLine="0" w:firstLineChars="0"/>
        <w:textAlignment w:val="baseline"/>
        <w:rPr>
          <w:rFonts w:ascii="仿宋" w:hAnsi="仿宋" w:eastAsia="仿宋" w:cs="仿宋"/>
          <w:b/>
          <w:color w:val="000000"/>
          <w:sz w:val="32"/>
          <w:szCs w:val="32"/>
        </w:rPr>
      </w:pPr>
      <w:r>
        <w:rPr>
          <w:rFonts w:hint="eastAsia" w:ascii="仿宋" w:hAnsi="仿宋" w:eastAsia="仿宋" w:cs="仿宋"/>
          <w:b/>
          <w:color w:val="000000"/>
          <w:sz w:val="32"/>
          <w:szCs w:val="32"/>
        </w:rPr>
        <w:t>(2)维修维护职责</w:t>
      </w:r>
    </w:p>
    <w:p>
      <w:pPr>
        <w:pStyle w:val="12"/>
        <w:ind w:left="720" w:firstLine="0" w:firstLineChars="0"/>
        <w:textAlignment w:val="baseline"/>
        <w:rPr>
          <w:rFonts w:ascii="仿宋" w:hAnsi="仿宋" w:eastAsia="仿宋" w:cs="仿宋"/>
          <w:color w:val="000000"/>
          <w:sz w:val="32"/>
          <w:szCs w:val="32"/>
        </w:rPr>
      </w:pPr>
      <w:r>
        <w:rPr>
          <w:rFonts w:hint="eastAsia" w:ascii="仿宋" w:hAnsi="仿宋" w:eastAsia="仿宋" w:cs="仿宋"/>
          <w:color w:val="000000"/>
          <w:sz w:val="32"/>
          <w:szCs w:val="32"/>
        </w:rPr>
        <w:t>君山岛文物管理所负责君山岛文物保护单位的日常维修维护和项目申报、实施。</w:t>
      </w:r>
    </w:p>
    <w:p>
      <w:pPr>
        <w:pStyle w:val="12"/>
        <w:ind w:left="720" w:firstLine="0" w:firstLineChars="0"/>
        <w:textAlignment w:val="baseline"/>
        <w:rPr>
          <w:rFonts w:ascii="仿宋" w:hAnsi="仿宋" w:eastAsia="仿宋" w:cs="仿宋"/>
          <w:b/>
          <w:bCs/>
          <w:color w:val="000000"/>
          <w:sz w:val="32"/>
          <w:szCs w:val="32"/>
        </w:rPr>
      </w:pPr>
      <w:r>
        <w:rPr>
          <w:rFonts w:hint="eastAsia" w:ascii="仿宋" w:hAnsi="仿宋" w:eastAsia="仿宋" w:cs="仿宋"/>
          <w:b/>
          <w:bCs/>
          <w:color w:val="000000"/>
          <w:sz w:val="32"/>
          <w:szCs w:val="32"/>
        </w:rPr>
        <w:t>(3)其他职责</w:t>
      </w:r>
    </w:p>
    <w:p>
      <w:pPr>
        <w:pStyle w:val="12"/>
        <w:ind w:left="720" w:firstLine="0" w:firstLineChars="0"/>
        <w:textAlignment w:val="baseline"/>
        <w:rPr>
          <w:rFonts w:ascii="仿宋" w:hAnsi="仿宋" w:eastAsia="仿宋" w:cs="仿宋"/>
          <w:b/>
          <w:bCs/>
          <w:color w:val="000000"/>
          <w:sz w:val="32"/>
          <w:szCs w:val="32"/>
        </w:rPr>
      </w:pPr>
      <w:r>
        <w:rPr>
          <w:rFonts w:hint="eastAsia" w:ascii="仿宋" w:hAnsi="仿宋" w:eastAsia="仿宋" w:cs="仿宋"/>
          <w:sz w:val="32"/>
          <w:szCs w:val="32"/>
        </w:rPr>
        <w:t>君山岛文物管理所负责转企离岗及退休人员的管理和服务工作。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960" w:firstLineChars="300"/>
        <w:rPr>
          <w:rFonts w:asciiTheme="minorEastAsia" w:hAnsiTheme="minorEastAsia"/>
          <w:i/>
          <w:iCs/>
          <w:color w:val="FF0000"/>
          <w:kern w:val="0"/>
          <w:sz w:val="32"/>
          <w:szCs w:val="32"/>
        </w:rPr>
      </w:pPr>
      <w:r>
        <w:rPr>
          <w:rFonts w:hint="eastAsia" w:ascii="仿宋" w:hAnsi="仿宋" w:eastAsia="仿宋"/>
          <w:kern w:val="0"/>
          <w:sz w:val="32"/>
          <w:szCs w:val="32"/>
        </w:rPr>
        <w:t>岳阳市君山岛文物管理所未设置内设机构。</w:t>
      </w:r>
    </w:p>
    <w:p>
      <w:pPr>
        <w:widowControl/>
        <w:numPr>
          <w:ilvl w:val="0"/>
          <w:numId w:val="2"/>
        </w:numPr>
        <w:spacing w:line="600" w:lineRule="exact"/>
        <w:rPr>
          <w:rFonts w:ascii="仿宋_GB2312" w:eastAsia="仿宋_GB2312" w:hAnsiTheme="minorEastAsia"/>
          <w:sz w:val="28"/>
          <w:szCs w:val="32"/>
        </w:rPr>
      </w:pPr>
      <w:r>
        <w:rPr>
          <w:rFonts w:hint="eastAsia" w:asciiTheme="minorEastAsia" w:hAnsiTheme="minorEastAsia"/>
          <w:bCs/>
          <w:kern w:val="0"/>
          <w:sz w:val="32"/>
          <w:szCs w:val="32"/>
        </w:rPr>
        <w:t>决算单位构成。</w:t>
      </w:r>
    </w:p>
    <w:p>
      <w:pPr>
        <w:pStyle w:val="12"/>
        <w:widowControl/>
        <w:spacing w:line="600" w:lineRule="exact"/>
        <w:ind w:left="420" w:firstLine="320" w:firstLineChars="100"/>
        <w:rPr>
          <w:rFonts w:ascii="仿宋" w:hAnsi="仿宋" w:eastAsia="仿宋"/>
          <w:kern w:val="0"/>
          <w:sz w:val="32"/>
          <w:szCs w:val="32"/>
        </w:rPr>
      </w:pPr>
      <w:r>
        <w:rPr>
          <w:rFonts w:hint="eastAsia" w:ascii="仿宋" w:hAnsi="仿宋" w:eastAsia="仿宋"/>
          <w:kern w:val="0"/>
          <w:sz w:val="32"/>
          <w:szCs w:val="32"/>
        </w:rPr>
        <w:t>岳阳市君山岛文物管理所只有本级，没有其他预算单位，因此本部门决算仅含本级决算。</w:t>
      </w:r>
    </w:p>
    <w:p>
      <w:pPr>
        <w:widowControl/>
        <w:spacing w:line="600" w:lineRule="exact"/>
        <w:rPr>
          <w:rFonts w:ascii="仿宋" w:hAnsi="仿宋" w:eastAsia="仿宋"/>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rPr>
          <w:rFonts w:ascii="黑体" w:hAnsi="黑体" w:eastAsia="黑体"/>
          <w:sz w:val="28"/>
          <w:szCs w:val="28"/>
        </w:rPr>
      </w:pPr>
    </w:p>
    <w:p>
      <w:pP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万元。本单位属新增单位，无上年数据对比。</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万元，主要为财政拨款收入</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100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万元，主要为基本支出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100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2021年度财政拨款收、支总计</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万元，本单位属新增单位，无上年数据对比。</w:t>
      </w:r>
    </w:p>
    <w:p>
      <w:pPr>
        <w:pStyle w:val="11"/>
        <w:rPr>
          <w:rFonts w:hAnsi="黑体"/>
          <w:b/>
          <w:sz w:val="32"/>
          <w:szCs w:val="32"/>
        </w:rPr>
      </w:pPr>
      <w:r>
        <w:rPr>
          <w:rFonts w:hint="eastAsia" w:hAnsi="黑体"/>
          <w:b/>
          <w:sz w:val="32"/>
          <w:szCs w:val="32"/>
        </w:rPr>
        <w:t>五、一般公共预算财政拨款支出决算情况说明</w:t>
      </w:r>
    </w:p>
    <w:p>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2021年度财政拨款支出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万元，占本年支出合计的</w:t>
      </w:r>
      <w:r>
        <w:rPr>
          <w:rFonts w:asciiTheme="minorEastAsia" w:hAnsiTheme="minorEastAsia" w:eastAsiaTheme="minorEastAsia"/>
          <w:sz w:val="32"/>
          <w:szCs w:val="32"/>
        </w:rPr>
        <w:t>100</w:t>
      </w:r>
      <w:r>
        <w:rPr>
          <w:rFonts w:hint="eastAsia" w:asciiTheme="minorEastAsia" w:hAnsiTheme="minorEastAsia" w:eastAsiaTheme="minorEastAsia"/>
          <w:sz w:val="32"/>
          <w:szCs w:val="32"/>
        </w:rPr>
        <w:t>%，本单位属新增单位，无上年数据对比。</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万元，主要用于文化旅游体育与传媒支出6</w:t>
      </w:r>
      <w:r>
        <w:rPr>
          <w:rFonts w:asciiTheme="minorEastAsia" w:hAnsiTheme="minorEastAsia" w:eastAsiaTheme="minorEastAsia"/>
          <w:sz w:val="32"/>
          <w:szCs w:val="32"/>
        </w:rPr>
        <w:t>26.63</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100</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元，支出决算数为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万元，完成年初预算的</w:t>
      </w:r>
      <w:r>
        <w:rPr>
          <w:rFonts w:asciiTheme="minorEastAsia" w:hAnsiTheme="minorEastAsia" w:eastAsiaTheme="minorEastAsia"/>
          <w:sz w:val="32"/>
          <w:szCs w:val="32"/>
        </w:rPr>
        <w:t>100</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1、文化旅游体育与传媒支出（类）文化和旅游（款）其他文化和旅游支出（项）。</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本单位属新增单位，无年初预算，支出决算为</w:t>
      </w:r>
      <w:r>
        <w:rPr>
          <w:rFonts w:asciiTheme="minorEastAsia" w:hAnsiTheme="minorEastAsia" w:eastAsiaTheme="minorEastAsia"/>
          <w:sz w:val="32"/>
          <w:szCs w:val="32"/>
        </w:rPr>
        <w:t>310.21</w:t>
      </w:r>
      <w:r>
        <w:rPr>
          <w:rFonts w:hint="eastAsia" w:asciiTheme="minorEastAsia" w:hAnsiTheme="minorEastAsia" w:eastAsiaTheme="minorEastAsia"/>
          <w:sz w:val="32"/>
          <w:szCs w:val="32"/>
        </w:rPr>
        <w:t>万元。</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2、文化旅游体育与传媒支出（类）文物（款）其他文物支出（项）。</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本单位属新增单位，无年初预算，支出决算为</w:t>
      </w:r>
      <w:r>
        <w:rPr>
          <w:rFonts w:asciiTheme="minorEastAsia" w:hAnsiTheme="minorEastAsia" w:eastAsiaTheme="minorEastAsia"/>
          <w:sz w:val="32"/>
          <w:szCs w:val="32"/>
        </w:rPr>
        <w:t>294.3</w:t>
      </w:r>
      <w:r>
        <w:rPr>
          <w:rFonts w:hint="eastAsia" w:asciiTheme="minorEastAsia" w:hAnsiTheme="minorEastAsia" w:eastAsiaTheme="minorEastAsia"/>
          <w:sz w:val="32"/>
          <w:szCs w:val="32"/>
        </w:rPr>
        <w:t>万元。</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3、文化旅游体育与传媒支出（类）其他文化旅游体育与传媒支出（款）  其他文化旅游体育与传媒支出（项）。</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本单位属新增单位，无年初预算，支出决算为</w:t>
      </w:r>
      <w:r>
        <w:rPr>
          <w:rFonts w:asciiTheme="minorEastAsia" w:hAnsiTheme="minorEastAsia" w:eastAsiaTheme="minorEastAsia"/>
          <w:sz w:val="32"/>
          <w:szCs w:val="32"/>
        </w:rPr>
        <w:t>22.11</w:t>
      </w:r>
      <w:r>
        <w:rPr>
          <w:rFonts w:hint="eastAsia" w:asciiTheme="minorEastAsia" w:hAnsiTheme="minorEastAsia" w:eastAsiaTheme="minorEastAsia"/>
          <w:sz w:val="32"/>
          <w:szCs w:val="32"/>
        </w:rPr>
        <w:t>万元。</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asciiTheme="minorEastAsia" w:hAnsiTheme="minorEastAsia" w:eastAsiaTheme="minorEastAsia"/>
          <w:sz w:val="32"/>
          <w:szCs w:val="32"/>
        </w:rPr>
        <w:t>626.63</w:t>
      </w:r>
      <w:r>
        <w:rPr>
          <w:rFonts w:hint="eastAsia" w:asciiTheme="minorEastAsia" w:hAnsiTheme="minorEastAsia" w:eastAsiaTheme="minorEastAsia"/>
          <w:sz w:val="32"/>
          <w:szCs w:val="32"/>
        </w:rPr>
        <w:t>万元，其中：人员经费</w:t>
      </w:r>
      <w:r>
        <w:rPr>
          <w:rFonts w:asciiTheme="minorEastAsia" w:hAnsiTheme="minorEastAsia" w:eastAsiaTheme="minorEastAsia"/>
          <w:sz w:val="32"/>
          <w:szCs w:val="32"/>
        </w:rPr>
        <w:t>523.94</w:t>
      </w:r>
      <w:r>
        <w:rPr>
          <w:rFonts w:hint="eastAsia" w:asciiTheme="minorEastAsia" w:hAnsiTheme="minorEastAsia" w:eastAsiaTheme="minorEastAsia"/>
          <w:sz w:val="32"/>
          <w:szCs w:val="32"/>
        </w:rPr>
        <w:t>万元，占基本支出的</w:t>
      </w:r>
      <w:r>
        <w:rPr>
          <w:rFonts w:asciiTheme="minorEastAsia" w:hAnsiTheme="minorEastAsia" w:eastAsiaTheme="minorEastAsia"/>
          <w:sz w:val="32"/>
          <w:szCs w:val="32"/>
        </w:rPr>
        <w:t>83.61</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伙食补助费、绩效工资、机关事业单位基本养老保险缴费、职业年金缴费、职工基本医疗保险缴费、其他社会保障缴费、住房公积金、医疗费、其他工资福利支出、生活补助</w:t>
      </w:r>
      <w:r>
        <w:rPr>
          <w:rFonts w:hint="eastAsia" w:asciiTheme="minorEastAsia" w:hAnsiTheme="minorEastAsia" w:eastAsiaTheme="minorEastAsia"/>
          <w:sz w:val="32"/>
          <w:szCs w:val="32"/>
        </w:rPr>
        <w:t>；公用经费</w:t>
      </w:r>
      <w:r>
        <w:rPr>
          <w:rFonts w:asciiTheme="minorEastAsia" w:hAnsiTheme="minorEastAsia" w:eastAsiaTheme="minorEastAsia"/>
          <w:sz w:val="32"/>
          <w:szCs w:val="32"/>
        </w:rPr>
        <w:t>102.69</w:t>
      </w:r>
      <w:r>
        <w:rPr>
          <w:rFonts w:hint="eastAsia" w:asciiTheme="minorEastAsia" w:hAnsiTheme="minorEastAsia" w:eastAsiaTheme="minorEastAsia"/>
          <w:sz w:val="32"/>
          <w:szCs w:val="32"/>
        </w:rPr>
        <w:t>万元，占基本支出的</w:t>
      </w:r>
      <w:r>
        <w:rPr>
          <w:rFonts w:asciiTheme="minorEastAsia" w:hAnsiTheme="minorEastAsia" w:eastAsiaTheme="minorEastAsia"/>
          <w:sz w:val="32"/>
          <w:szCs w:val="32"/>
        </w:rPr>
        <w:t>16.39</w:t>
      </w:r>
      <w:r>
        <w:rPr>
          <w:rFonts w:hint="eastAsia" w:asciiTheme="minorEastAsia" w:hAnsiTheme="minorEastAsia" w:eastAsiaTheme="minorEastAsia"/>
          <w:sz w:val="32"/>
          <w:szCs w:val="32"/>
        </w:rPr>
        <w:t>%，主要包括商品和服务支出、办公费、印刷费、咨询费、邮电费、维修（护）费、委托业务费、工会经费、其他交通费用、其他商品和服务支出、办公设备购置、其他资本性支出。</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万元，完成预算的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%，其中：</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因公出国（境）费支出预算为0万元，支出决算为0万元，由于预算数为0，无法计算百分比，主要原因为本年未安排因公出国（境）；与上年相比无变化，主要原因是未安排外事出访活动。</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公务接待费支出预算为0万元，支出决算为0万元，由于预算数为0，无法计算百分比，决算数为0，主要原因为本年未发生公务接待；与上年相比无变化，主要原因为本年未发生公务接待。</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公务用车购置费支出预算为0万元，支出决算为0万元，由于预算数为0，无法计算百分比，决算数为0，主要原因为本年未购置公务用车；与上年相比无变化，主要原因为本年未购置公务用车。</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公务用车运行维护费支出预算为0万元，支出决算为0万元，由于预算数为0，无法计算百分比，决算数为0，主要原因为本年未购置公务用车；与上年相比无变化，主要原因为本年未购置公务用车。</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0</w:t>
      </w:r>
      <w:r>
        <w:rPr>
          <w:rFonts w:hint="eastAsia" w:asciiTheme="minorEastAsia" w:hAnsiTheme="minorEastAsia" w:eastAsiaTheme="minorEastAsia"/>
          <w:sz w:val="32"/>
          <w:szCs w:val="32"/>
        </w:rPr>
        <w:t>%,因公出国（境）费支出决算</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0</w:t>
      </w:r>
      <w:r>
        <w:rPr>
          <w:rFonts w:hint="eastAsia" w:asciiTheme="minorEastAsia" w:hAnsiTheme="minorEastAsia" w:eastAsiaTheme="minorEastAsia"/>
          <w:sz w:val="32"/>
          <w:szCs w:val="32"/>
        </w:rPr>
        <w:t>%,公务用车购置费及运行维护费支出决算</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万元，占</w:t>
      </w:r>
      <w:r>
        <w:rPr>
          <w:rFonts w:asciiTheme="minorEastAsia" w:hAnsiTheme="minorEastAsia" w:eastAsiaTheme="minorEastAsia"/>
          <w:sz w:val="32"/>
          <w:szCs w:val="32"/>
        </w:rPr>
        <w:t>0</w:t>
      </w:r>
      <w:r>
        <w:rPr>
          <w:rFonts w:hint="eastAsia" w:asciiTheme="minorEastAsia" w:hAnsiTheme="minorEastAsia" w:eastAsiaTheme="minorEastAsia"/>
          <w:sz w:val="32"/>
          <w:szCs w:val="32"/>
        </w:rPr>
        <w:t>%。其中：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万元，全年安排因公出国（境）团组</w:t>
      </w:r>
      <w:r>
        <w:rPr>
          <w:rFonts w:asciiTheme="minorEastAsia" w:hAnsiTheme="minorEastAsia" w:eastAsiaTheme="minorEastAsia"/>
          <w:sz w:val="32"/>
          <w:szCs w:val="32"/>
        </w:rPr>
        <w:t>0</w:t>
      </w:r>
      <w:r>
        <w:rPr>
          <w:rFonts w:hint="eastAsia" w:asciiTheme="minorEastAsia" w:hAnsiTheme="minorEastAsia" w:eastAsiaTheme="minorEastAsia"/>
          <w:sz w:val="32"/>
          <w:szCs w:val="32"/>
        </w:rPr>
        <w:t>个，累计</w:t>
      </w:r>
      <w:r>
        <w:rPr>
          <w:rFonts w:asciiTheme="minorEastAsia" w:hAnsiTheme="minorEastAsia" w:eastAsiaTheme="minorEastAsia"/>
          <w:sz w:val="32"/>
          <w:szCs w:val="32"/>
        </w:rPr>
        <w:t>0</w:t>
      </w:r>
      <w:r>
        <w:rPr>
          <w:rFonts w:hint="eastAsia" w:asciiTheme="minorEastAsia" w:hAnsiTheme="minorEastAsia" w:eastAsiaTheme="minorEastAsia"/>
          <w:sz w:val="32"/>
          <w:szCs w:val="32"/>
        </w:rPr>
        <w:t>人次。</w:t>
      </w:r>
      <w:r>
        <w:rPr>
          <w:rFonts w:asciiTheme="minorEastAsia" w:hAnsiTheme="minorEastAsia" w:eastAsiaTheme="minorEastAsia"/>
          <w:sz w:val="32"/>
          <w:szCs w:val="32"/>
        </w:rPr>
        <w:t xml:space="preserve"> </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万元，全年共接待来访团组</w:t>
      </w:r>
      <w:r>
        <w:rPr>
          <w:rFonts w:asciiTheme="minorEastAsia" w:hAnsiTheme="minorEastAsia" w:eastAsiaTheme="minorEastAsia"/>
          <w:sz w:val="32"/>
          <w:szCs w:val="32"/>
        </w:rPr>
        <w:t>0</w:t>
      </w:r>
      <w:r>
        <w:rPr>
          <w:rFonts w:hint="eastAsia" w:asciiTheme="minorEastAsia" w:hAnsiTheme="minorEastAsia" w:eastAsiaTheme="minorEastAsia"/>
          <w:sz w:val="32"/>
          <w:szCs w:val="32"/>
        </w:rPr>
        <w:t>个、来宾</w:t>
      </w:r>
      <w:r>
        <w:rPr>
          <w:rFonts w:asciiTheme="minorEastAsia" w:hAnsiTheme="minorEastAsia" w:eastAsiaTheme="minorEastAsia"/>
          <w:sz w:val="32"/>
          <w:szCs w:val="32"/>
        </w:rPr>
        <w:t>0</w:t>
      </w:r>
      <w:r>
        <w:rPr>
          <w:rFonts w:hint="eastAsia" w:asciiTheme="minorEastAsia" w:hAnsiTheme="minorEastAsia" w:eastAsiaTheme="minorEastAsia"/>
          <w:sz w:val="32"/>
          <w:szCs w:val="32"/>
        </w:rPr>
        <w:t>人次。</w:t>
      </w:r>
    </w:p>
    <w:p>
      <w:pPr>
        <w:ind w:firstLine="800" w:firstLineChars="250"/>
        <w:rPr>
          <w:rFonts w:asciiTheme="minorEastAsia" w:hAnsiTheme="minorEastAsia"/>
          <w:sz w:val="32"/>
          <w:szCs w:val="32"/>
        </w:rPr>
      </w:pPr>
      <w:r>
        <w:rPr>
          <w:rFonts w:hint="eastAsia" w:asciiTheme="minorEastAsia" w:hAnsiTheme="minorEastAsia"/>
          <w:sz w:val="32"/>
          <w:szCs w:val="32"/>
        </w:rPr>
        <w:t>3、公务用车购置费及运行维护费支出决算为</w:t>
      </w:r>
      <w:r>
        <w:rPr>
          <w:rFonts w:asciiTheme="minorEastAsia" w:hAnsiTheme="minorEastAsia"/>
          <w:sz w:val="32"/>
          <w:szCs w:val="32"/>
        </w:rPr>
        <w:t>0</w:t>
      </w:r>
      <w:r>
        <w:rPr>
          <w:rFonts w:hint="eastAsia" w:asciiTheme="minorEastAsia" w:hAnsiTheme="minorEastAsia"/>
          <w:sz w:val="32"/>
          <w:szCs w:val="32"/>
        </w:rPr>
        <w:t>万元，其中：公务用车购置费</w:t>
      </w:r>
      <w:r>
        <w:rPr>
          <w:rFonts w:asciiTheme="minorEastAsia" w:hAnsiTheme="minorEastAsia"/>
          <w:sz w:val="32"/>
          <w:szCs w:val="32"/>
        </w:rPr>
        <w:t>0</w:t>
      </w:r>
      <w:r>
        <w:rPr>
          <w:rFonts w:hint="eastAsia" w:asciiTheme="minorEastAsia" w:hAnsiTheme="minorEastAsia"/>
          <w:sz w:val="32"/>
          <w:szCs w:val="32"/>
        </w:rPr>
        <w:t>万元。</w:t>
      </w:r>
    </w:p>
    <w:p>
      <w:pPr>
        <w:ind w:firstLine="800" w:firstLineChars="250"/>
        <w:rPr>
          <w:rFonts w:hint="eastAsia" w:asciiTheme="minorEastAsia" w:hAnsiTheme="minorEastAsia"/>
          <w:sz w:val="32"/>
          <w:szCs w:val="32"/>
        </w:rPr>
      </w:pPr>
      <w:r>
        <w:rPr>
          <w:rFonts w:hint="eastAsia" w:asciiTheme="minorEastAsia" w:hAnsiTheme="minorEastAsia"/>
          <w:sz w:val="32"/>
          <w:szCs w:val="32"/>
        </w:rPr>
        <w:t>公务用车购置运行费0万元，截止2021年12月31日，我单位开支财政拨款的公务用车保有量为0辆。</w:t>
      </w:r>
    </w:p>
    <w:p>
      <w:pPr>
        <w:pStyle w:val="11"/>
        <w:rPr>
          <w:rFonts w:hAnsi="黑体"/>
          <w:b/>
          <w:sz w:val="32"/>
          <w:szCs w:val="32"/>
        </w:rPr>
      </w:pPr>
      <w:r>
        <w:rPr>
          <w:rFonts w:hint="eastAsia" w:hAnsi="黑体"/>
          <w:b/>
          <w:sz w:val="32"/>
          <w:szCs w:val="32"/>
        </w:rPr>
        <w:t>八、政府性基金预算收入支出决算情况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2021年度本单位无政府性基金收支。</w:t>
      </w:r>
    </w:p>
    <w:p>
      <w:pPr>
        <w:pStyle w:val="11"/>
        <w:numPr>
          <w:ilvl w:val="0"/>
          <w:numId w:val="3"/>
        </w:numPr>
        <w:rPr>
          <w:rFonts w:hAnsi="黑体"/>
          <w:b/>
          <w:sz w:val="32"/>
          <w:szCs w:val="32"/>
        </w:rPr>
      </w:pPr>
      <w:r>
        <w:rPr>
          <w:rFonts w:hint="eastAsia" w:hAnsi="黑体"/>
          <w:b/>
          <w:sz w:val="32"/>
          <w:szCs w:val="32"/>
        </w:rPr>
        <w:t>国有资本经营预算财政拨款支出决算情况</w:t>
      </w:r>
    </w:p>
    <w:p>
      <w:pPr>
        <w:pStyle w:val="11"/>
        <w:ind w:firstLine="640" w:firstLineChars="200"/>
        <w:rPr>
          <w:rFonts w:hAnsi="黑体"/>
          <w:b/>
          <w:sz w:val="32"/>
          <w:szCs w:val="32"/>
        </w:rPr>
      </w:pPr>
      <w:r>
        <w:rPr>
          <w:rFonts w:hint="eastAsia" w:asciiTheme="minorEastAsia" w:hAnsiTheme="minorEastAsia" w:eastAsiaTheme="minorEastAsia"/>
          <w:sz w:val="32"/>
          <w:szCs w:val="32"/>
        </w:rPr>
        <w:t>2021年度本单位无国有资本经营预算财政拨款支出。</w:t>
      </w:r>
    </w:p>
    <w:p>
      <w:pPr>
        <w:pStyle w:val="11"/>
        <w:rPr>
          <w:rFonts w:hAnsi="黑体"/>
          <w:b/>
          <w:sz w:val="32"/>
          <w:szCs w:val="32"/>
        </w:rPr>
      </w:pPr>
      <w:r>
        <w:rPr>
          <w:rFonts w:hint="eastAsia" w:hAnsi="黑体"/>
          <w:b/>
          <w:sz w:val="32"/>
          <w:szCs w:val="32"/>
        </w:rPr>
        <w:t>十、机关运行经费支出说明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本单位2021年度机关运行经费支出1</w:t>
      </w:r>
      <w:r>
        <w:rPr>
          <w:rFonts w:asciiTheme="minorEastAsia" w:hAnsiTheme="minorEastAsia" w:eastAsiaTheme="minorEastAsia"/>
          <w:sz w:val="32"/>
          <w:szCs w:val="32"/>
        </w:rPr>
        <w:t>02.69</w:t>
      </w:r>
      <w:r>
        <w:rPr>
          <w:rFonts w:hint="eastAsia" w:asciiTheme="minorEastAsia" w:hAnsiTheme="minorEastAsia" w:eastAsiaTheme="minorEastAsia"/>
          <w:sz w:val="32"/>
          <w:szCs w:val="32"/>
        </w:rPr>
        <w:t>万元，本单位属新增单位，无上年数据对比。</w:t>
      </w:r>
    </w:p>
    <w:p>
      <w:pPr>
        <w:pStyle w:val="11"/>
        <w:rPr>
          <w:rFonts w:hAnsi="黑体"/>
          <w:b/>
          <w:sz w:val="32"/>
          <w:szCs w:val="32"/>
        </w:rPr>
      </w:pPr>
      <w:r>
        <w:rPr>
          <w:rFonts w:hint="eastAsia" w:hAnsi="黑体"/>
          <w:b/>
          <w:sz w:val="32"/>
          <w:szCs w:val="32"/>
        </w:rPr>
        <w:t>十一、一般性支出情况说明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2021年本单位开支会议费</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万元，；开支培训费</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万元，；举办……等节庆、晚会、论坛、赛事活动，开支</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w:t>
      </w: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万元，其中：政府采购货物支出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万元、政府采购工程支出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万元、政府采购服务支出</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万元。授予中小企业合同金额</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万元，占政府采购支出总额的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%，其中：授予小微企业合同金额</w:t>
      </w:r>
      <w:r>
        <w:rPr>
          <w:rFonts w:asciiTheme="minorEastAsia" w:hAnsiTheme="minorEastAsia" w:eastAsiaTheme="minorEastAsia"/>
          <w:sz w:val="32"/>
          <w:szCs w:val="32"/>
        </w:rPr>
        <w:t>0</w:t>
      </w:r>
      <w:r>
        <w:rPr>
          <w:rFonts w:hint="eastAsia" w:asciiTheme="minorEastAsia" w:hAnsiTheme="minorEastAsia" w:eastAsiaTheme="minorEastAsia"/>
          <w:sz w:val="32"/>
          <w:szCs w:val="32"/>
        </w:rPr>
        <w:t>万元，占授予中小企业合同金额的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%；货物采购授予中小企业合同金额占货物支出金额的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%，工程采购授予中小企业合同金额占工程支出金额的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%，服务采购授予中小企业合同金额占服务支出金额的</w:t>
      </w:r>
      <w:r>
        <w:rPr>
          <w:rFonts w:asciiTheme="minorEastAsia" w:hAnsiTheme="minorEastAsia" w:eastAsiaTheme="minorEastAsia"/>
          <w:sz w:val="32"/>
          <w:szCs w:val="32"/>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辆，其中，主要领导干部用车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辆，机要通信用车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辆、应急保障用车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辆、执法执勤用车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辆、特种专业技术用车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辆、其他用车</w:t>
      </w:r>
      <w:r>
        <w:rPr>
          <w:rFonts w:asciiTheme="minorEastAsia" w:hAnsiTheme="minorEastAsia" w:eastAsiaTheme="minorEastAsia"/>
          <w:sz w:val="32"/>
          <w:szCs w:val="32"/>
        </w:rPr>
        <w:t>0</w:t>
      </w:r>
      <w:r>
        <w:rPr>
          <w:rFonts w:hint="eastAsia" w:asciiTheme="minorEastAsia" w:hAnsiTheme="minorEastAsia" w:eastAsiaTheme="minorEastAsia"/>
          <w:sz w:val="32"/>
          <w:szCs w:val="32"/>
        </w:rPr>
        <w:t>辆；单位价值50万元以上通用设备</w:t>
      </w:r>
      <w:r>
        <w:rPr>
          <w:rFonts w:asciiTheme="minorEastAsia" w:hAnsiTheme="minorEastAsia" w:eastAsiaTheme="minorEastAsia"/>
          <w:sz w:val="32"/>
          <w:szCs w:val="32"/>
        </w:rPr>
        <w:t>0</w:t>
      </w:r>
      <w:r>
        <w:rPr>
          <w:rFonts w:hint="eastAsia" w:asciiTheme="minorEastAsia" w:hAnsiTheme="minorEastAsia" w:eastAsiaTheme="minorEastAsia"/>
          <w:sz w:val="32"/>
          <w:szCs w:val="32"/>
        </w:rPr>
        <w:t>台（套）；单位价值100万元以上专用设备</w:t>
      </w:r>
      <w:r>
        <w:rPr>
          <w:rFonts w:asciiTheme="minorEastAsia" w:hAnsiTheme="minorEastAsia" w:eastAsiaTheme="minorEastAsia"/>
          <w:sz w:val="32"/>
          <w:szCs w:val="32"/>
        </w:rPr>
        <w:t>0</w:t>
      </w:r>
      <w:r>
        <w:rPr>
          <w:rFonts w:hint="eastAsia" w:asciiTheme="minorEastAsia" w:hAnsiTheme="minorEastAsia" w:eastAsiaTheme="minorEastAsia"/>
          <w:sz w:val="32"/>
          <w:szCs w:val="32"/>
        </w:rPr>
        <w:t>台（套）。</w:t>
      </w:r>
    </w:p>
    <w:p>
      <w:pPr>
        <w:pStyle w:val="11"/>
        <w:rPr>
          <w:rFonts w:hAnsi="黑体"/>
          <w:b/>
          <w:sz w:val="32"/>
          <w:szCs w:val="32"/>
        </w:rPr>
      </w:pPr>
      <w:r>
        <w:rPr>
          <w:rFonts w:hint="eastAsia" w:hAnsi="黑体"/>
          <w:b/>
          <w:sz w:val="32"/>
          <w:szCs w:val="32"/>
        </w:rPr>
        <w:t>十四、2021年度预算绩效情况说明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单位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组织对0个项目开展了部门评价，涉及一般公共预算支出0万元，政府性基金预算支出0万元，国有资本经营预算支出0万元。从评价情况来看，未开展此项目部门评价。</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组织对岳阳市</w:t>
      </w:r>
      <w:r>
        <w:rPr>
          <w:rFonts w:hint="eastAsia" w:cs="黑体" w:asciiTheme="minorEastAsia" w:hAnsiTheme="minorEastAsia"/>
          <w:color w:val="000000"/>
          <w:kern w:val="0"/>
          <w:sz w:val="32"/>
          <w:szCs w:val="32"/>
          <w:lang w:val="en-US" w:eastAsia="zh-CN"/>
        </w:rPr>
        <w:t>君山岛文物管理所</w:t>
      </w:r>
      <w:r>
        <w:rPr>
          <w:rFonts w:hint="eastAsia" w:cs="黑体" w:asciiTheme="minorEastAsia" w:hAnsiTheme="minorEastAsia"/>
          <w:color w:val="000000"/>
          <w:kern w:val="0"/>
          <w:sz w:val="32"/>
          <w:szCs w:val="32"/>
        </w:rPr>
        <w:t>开展整体支出绩效评价，涉及一般公共预算支出93.62万元，政府性基金预算支出0万元。从评价情况来看，</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1、高度重视、及时部署；</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2、上下联动、推进有序；</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3、参与广泛、种类丰富；</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4、共同发力、反响热烈。</w:t>
      </w:r>
    </w:p>
    <w:p>
      <w:pPr>
        <w:pStyle w:val="2"/>
        <w:ind w:firstLine="640"/>
        <w:rPr>
          <w:rFonts w:hint="eastAsia" w:cs="黑体" w:asciiTheme="minorEastAsia" w:hAnsiTheme="minorEastAsia" w:eastAsiaTheme="minorEastAsia"/>
          <w:b/>
          <w:color w:val="000000"/>
          <w:kern w:val="0"/>
          <w:sz w:val="32"/>
          <w:szCs w:val="32"/>
          <w:lang w:val="en-US" w:eastAsia="zh-CN" w:bidi="ar-SA"/>
        </w:rPr>
      </w:pPr>
      <w:r>
        <w:rPr>
          <w:rFonts w:hint="eastAsia" w:cs="黑体" w:asciiTheme="minorEastAsia" w:hAnsiTheme="minorEastAsia" w:eastAsiaTheme="minorEastAsia"/>
          <w:b/>
          <w:color w:val="000000"/>
          <w:kern w:val="0"/>
          <w:sz w:val="32"/>
          <w:szCs w:val="32"/>
          <w:lang w:val="en-US" w:eastAsia="zh-CN" w:bidi="ar-SA"/>
        </w:rPr>
        <w:t>（2）部门决算中项目绩效自评结果（如有）。</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本单位项目</w:t>
      </w:r>
      <w:bookmarkStart w:id="0" w:name="_GoBack"/>
      <w:bookmarkEnd w:id="0"/>
      <w:r>
        <w:rPr>
          <w:rFonts w:hint="eastAsia" w:cs="黑体" w:asciiTheme="minorEastAsia" w:hAnsiTheme="minorEastAsia"/>
          <w:color w:val="000000"/>
          <w:kern w:val="0"/>
          <w:sz w:val="32"/>
          <w:szCs w:val="32"/>
        </w:rPr>
        <w:t>绩效自评综述：根据年初设定的绩效目标，项目绩效自评得分为0分。项目全年预算数为0万元，执行数为0万元，完成预算的0%。项目绩效目标完成情况：无。发现的主要问题及原因：未开展项目绩效自评。下一步改进措施：无。</w:t>
      </w:r>
    </w:p>
    <w:p>
      <w:pPr>
        <w:pStyle w:val="2"/>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本单位项目绩效自评综述：无。</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b/>
          <w:color w:val="000000"/>
          <w:kern w:val="0"/>
          <w:sz w:val="32"/>
          <w:szCs w:val="32"/>
        </w:rPr>
        <w:t>（3）部门评价项目绩效评价结果。</w:t>
      </w:r>
    </w:p>
    <w:p>
      <w:pPr>
        <w:pStyle w:val="2"/>
        <w:ind w:firstLine="640"/>
        <w:rPr>
          <w:rFonts w:asciiTheme="minorEastAsia" w:hAnsiTheme="minorEastAsia" w:cstheme="minorEastAsia"/>
          <w:color w:val="000000"/>
          <w:kern w:val="0"/>
          <w:sz w:val="32"/>
          <w:szCs w:val="32"/>
        </w:rPr>
      </w:pPr>
      <w:r>
        <w:rPr>
          <w:rFonts w:hint="eastAsia" w:cs="黑体" w:asciiTheme="minorEastAsia" w:hAnsiTheme="minorEastAsia"/>
          <w:color w:val="000000"/>
          <w:kern w:val="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号）中《项目支出绩效评价报告（参考提纲）》、《湖南省预算支出绩效评价管理办法》（湘财绩〔2020〕7号）。根据预算绩效管理要求，</w:t>
      </w:r>
      <w:r>
        <w:rPr>
          <w:rFonts w:hint="eastAsia" w:asciiTheme="minorEastAsia" w:hAnsiTheme="minorEastAsia" w:cstheme="minorEastAsia"/>
          <w:color w:val="333333"/>
          <w:sz w:val="32"/>
          <w:szCs w:val="32"/>
          <w:shd w:val="clear" w:color="auto" w:fill="FFFFFF"/>
        </w:rPr>
        <w:t>为全面推进部门整体绩效目标的实现，提升财政资金的使用效率，强化预算支出的责任和效率，我单位</w:t>
      </w:r>
      <w:r>
        <w:rPr>
          <w:rFonts w:hint="eastAsia" w:cs="黑体" w:asciiTheme="minorEastAsia" w:hAnsiTheme="minorEastAsia"/>
          <w:color w:val="000000"/>
          <w:kern w:val="0"/>
          <w:sz w:val="32"/>
          <w:szCs w:val="32"/>
          <w:u w:val="single"/>
        </w:rPr>
        <w:t>组织</w:t>
      </w:r>
      <w:r>
        <w:rPr>
          <w:rFonts w:hint="eastAsia" w:asciiTheme="minorEastAsia" w:hAnsiTheme="minorEastAsia" w:cstheme="minorEastAsia"/>
          <w:color w:val="333333"/>
          <w:sz w:val="32"/>
          <w:szCs w:val="32"/>
          <w:shd w:val="clear" w:color="auto" w:fill="FFFFFF"/>
        </w:rPr>
        <w:t>对2020年部门整体支出情况开展了绩效自评工作。</w:t>
      </w:r>
    </w:p>
    <w:p>
      <w:pPr>
        <w:autoSpaceDE w:val="0"/>
        <w:autoSpaceDN w:val="0"/>
        <w:adjustRightInd w:val="0"/>
        <w:ind w:firstLine="640" w:firstLineChars="200"/>
        <w:jc w:val="left"/>
        <w:rPr>
          <w:rFonts w:asciiTheme="minorEastAsia" w:hAnsiTheme="minorEastAsia" w:cstheme="minorEastAsia"/>
          <w:color w:val="333333"/>
          <w:sz w:val="32"/>
          <w:szCs w:val="32"/>
          <w:shd w:val="clear" w:color="auto" w:fill="FFFFFF"/>
        </w:rPr>
      </w:pPr>
      <w:r>
        <w:rPr>
          <w:rFonts w:hint="eastAsia" w:asciiTheme="minorEastAsia" w:hAnsiTheme="minorEastAsia" w:cstheme="minorEastAsia"/>
          <w:color w:val="333333"/>
          <w:sz w:val="32"/>
          <w:szCs w:val="32"/>
          <w:shd w:val="clear" w:color="auto" w:fill="FFFFFF"/>
        </w:rPr>
        <w:t>2021年岳阳市君山岛文物管理所以部门为主体的开展的重点绩效评价为2021年君山岛文物管理所整体支出绩效评价，经评价小组评定，报君山岛文物管理所班子会研究，整体支出绩效评价结果为“优”。</w:t>
      </w:r>
    </w:p>
    <w:p>
      <w:pPr>
        <w:pStyle w:val="11"/>
        <w:rPr>
          <w:sz w:val="72"/>
          <w:szCs w:val="72"/>
        </w:rPr>
      </w:pPr>
    </w:p>
    <w:p>
      <w:pPr>
        <w:pStyle w:val="11"/>
        <w:jc w:val="both"/>
        <w:rPr>
          <w:rFonts w:hint="eastAsia" w:eastAsia="黑体"/>
          <w:sz w:val="72"/>
          <w:szCs w:val="72"/>
          <w:lang w:val="en-US" w:eastAsia="zh-CN"/>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伙食补助费：反映单位发给职工的伙食补助费，如误餐补助等。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印刷费：反映单位的印刷费支出。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维修(护)费：反映单位日常开支的固定资产（不包括车船等交通工具）修理和维护费用，网络信息系统运行与维护费用，以及按规定提取的修购基金。</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p>
    <w:p>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1"/>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ascii="黑体" w:eastAsia="黑体" w:cs="黑体"/>
          <w:color w:val="000000"/>
          <w:kern w:val="0"/>
          <w:sz w:val="70"/>
          <w:szCs w:val="70"/>
        </w:rPr>
      </w:pPr>
    </w:p>
    <w:p>
      <w:pPr>
        <w:widowControl/>
        <w:ind w:firstLine="640" w:firstLineChars="200"/>
        <w:jc w:val="left"/>
        <w:rPr>
          <w:rFonts w:ascii="黑体" w:eastAsia="黑体" w:cs="黑体"/>
          <w:color w:val="000000"/>
          <w:kern w:val="0"/>
          <w:sz w:val="70"/>
          <w:szCs w:val="70"/>
        </w:rPr>
      </w:pPr>
      <w:r>
        <w:rPr>
          <w:rFonts w:hint="eastAsia" w:cs="黑体" w:asciiTheme="minorEastAsia" w:hAnsiTheme="minorEastAsia"/>
          <w:b/>
          <w:color w:val="000000"/>
          <w:kern w:val="0"/>
          <w:sz w:val="32"/>
          <w:szCs w:val="32"/>
        </w:rPr>
        <w:t>1、2021年度岳阳市君山岛文物管理所部门决算公开表格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2、2021年度岳阳市君山岛文物管理所部门整体支出绩效评价报告</w:t>
      </w: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FC5F40D2"/>
    <w:multiLevelType w:val="singleLevel"/>
    <w:tmpl w:val="FC5F40D2"/>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QxZjRjNWQ2YzBlZDQxNTc2NWYwZTRlMzBlYWUifQ=="/>
  </w:docVars>
  <w:rsids>
    <w:rsidRoot w:val="00172A27"/>
    <w:rsid w:val="000063B7"/>
    <w:rsid w:val="0002229B"/>
    <w:rsid w:val="000273BD"/>
    <w:rsid w:val="000415B7"/>
    <w:rsid w:val="00041E3F"/>
    <w:rsid w:val="00055DAA"/>
    <w:rsid w:val="00061F7B"/>
    <w:rsid w:val="000658A3"/>
    <w:rsid w:val="00074155"/>
    <w:rsid w:val="000873EF"/>
    <w:rsid w:val="000A3F69"/>
    <w:rsid w:val="00103957"/>
    <w:rsid w:val="001151AD"/>
    <w:rsid w:val="00124A1F"/>
    <w:rsid w:val="00141DEE"/>
    <w:rsid w:val="00144749"/>
    <w:rsid w:val="00152C6D"/>
    <w:rsid w:val="00157A73"/>
    <w:rsid w:val="00162D39"/>
    <w:rsid w:val="001678BD"/>
    <w:rsid w:val="00172A27"/>
    <w:rsid w:val="00182373"/>
    <w:rsid w:val="001A67DB"/>
    <w:rsid w:val="001B2B61"/>
    <w:rsid w:val="001C3C29"/>
    <w:rsid w:val="001D51E5"/>
    <w:rsid w:val="001E080D"/>
    <w:rsid w:val="001E53D0"/>
    <w:rsid w:val="001F0C3B"/>
    <w:rsid w:val="00202C14"/>
    <w:rsid w:val="00202C82"/>
    <w:rsid w:val="002109C1"/>
    <w:rsid w:val="00214427"/>
    <w:rsid w:val="00217C18"/>
    <w:rsid w:val="00226CB7"/>
    <w:rsid w:val="00232CB3"/>
    <w:rsid w:val="00264552"/>
    <w:rsid w:val="00264EF9"/>
    <w:rsid w:val="00265724"/>
    <w:rsid w:val="0027426B"/>
    <w:rsid w:val="0027773E"/>
    <w:rsid w:val="002E0A30"/>
    <w:rsid w:val="002F19CA"/>
    <w:rsid w:val="003130C4"/>
    <w:rsid w:val="00316C4B"/>
    <w:rsid w:val="0032192B"/>
    <w:rsid w:val="003479BD"/>
    <w:rsid w:val="0037197D"/>
    <w:rsid w:val="003768D5"/>
    <w:rsid w:val="003C4197"/>
    <w:rsid w:val="003C47E6"/>
    <w:rsid w:val="003C4FC2"/>
    <w:rsid w:val="003E2331"/>
    <w:rsid w:val="003E52F9"/>
    <w:rsid w:val="00416E61"/>
    <w:rsid w:val="0042790C"/>
    <w:rsid w:val="004506F9"/>
    <w:rsid w:val="004717A2"/>
    <w:rsid w:val="00473DF3"/>
    <w:rsid w:val="00487911"/>
    <w:rsid w:val="00491741"/>
    <w:rsid w:val="004B0CEE"/>
    <w:rsid w:val="004D4CA2"/>
    <w:rsid w:val="00500E5F"/>
    <w:rsid w:val="005122EF"/>
    <w:rsid w:val="0051441A"/>
    <w:rsid w:val="00517C33"/>
    <w:rsid w:val="00517D5F"/>
    <w:rsid w:val="00521AF2"/>
    <w:rsid w:val="00523644"/>
    <w:rsid w:val="00534CA6"/>
    <w:rsid w:val="0054069E"/>
    <w:rsid w:val="00544866"/>
    <w:rsid w:val="005767CC"/>
    <w:rsid w:val="00590D9F"/>
    <w:rsid w:val="00595D26"/>
    <w:rsid w:val="005A74E6"/>
    <w:rsid w:val="005B404E"/>
    <w:rsid w:val="005D4D55"/>
    <w:rsid w:val="005E2CFB"/>
    <w:rsid w:val="005F2103"/>
    <w:rsid w:val="005F3D1C"/>
    <w:rsid w:val="00606805"/>
    <w:rsid w:val="0062378F"/>
    <w:rsid w:val="00641842"/>
    <w:rsid w:val="00651EEC"/>
    <w:rsid w:val="00686673"/>
    <w:rsid w:val="00691E8C"/>
    <w:rsid w:val="006A22C4"/>
    <w:rsid w:val="006A348B"/>
    <w:rsid w:val="006A351B"/>
    <w:rsid w:val="006A4063"/>
    <w:rsid w:val="006B0422"/>
    <w:rsid w:val="006C1B53"/>
    <w:rsid w:val="006D7730"/>
    <w:rsid w:val="006E5284"/>
    <w:rsid w:val="006F3EB5"/>
    <w:rsid w:val="00702E34"/>
    <w:rsid w:val="00704395"/>
    <w:rsid w:val="00710FE7"/>
    <w:rsid w:val="00717621"/>
    <w:rsid w:val="00720FF1"/>
    <w:rsid w:val="00727A53"/>
    <w:rsid w:val="00753474"/>
    <w:rsid w:val="00765D8D"/>
    <w:rsid w:val="00787B42"/>
    <w:rsid w:val="007C43E2"/>
    <w:rsid w:val="007C4539"/>
    <w:rsid w:val="007F3657"/>
    <w:rsid w:val="00812ED5"/>
    <w:rsid w:val="008277D9"/>
    <w:rsid w:val="00830A97"/>
    <w:rsid w:val="0084478C"/>
    <w:rsid w:val="008541CB"/>
    <w:rsid w:val="0086638C"/>
    <w:rsid w:val="00870E44"/>
    <w:rsid w:val="008A3E8D"/>
    <w:rsid w:val="008F4778"/>
    <w:rsid w:val="008F7582"/>
    <w:rsid w:val="009237C4"/>
    <w:rsid w:val="00944C48"/>
    <w:rsid w:val="00950252"/>
    <w:rsid w:val="00967F5D"/>
    <w:rsid w:val="009963B7"/>
    <w:rsid w:val="009A0F95"/>
    <w:rsid w:val="009B3ADF"/>
    <w:rsid w:val="009C3B52"/>
    <w:rsid w:val="009E6817"/>
    <w:rsid w:val="009E6E9A"/>
    <w:rsid w:val="009F58CB"/>
    <w:rsid w:val="00A01D2B"/>
    <w:rsid w:val="00A42218"/>
    <w:rsid w:val="00A651ED"/>
    <w:rsid w:val="00A70249"/>
    <w:rsid w:val="00A70B02"/>
    <w:rsid w:val="00A71D9F"/>
    <w:rsid w:val="00A92E9F"/>
    <w:rsid w:val="00AB5D44"/>
    <w:rsid w:val="00AF0FC1"/>
    <w:rsid w:val="00B33BEA"/>
    <w:rsid w:val="00B57C9F"/>
    <w:rsid w:val="00B63572"/>
    <w:rsid w:val="00B845B3"/>
    <w:rsid w:val="00B85D8B"/>
    <w:rsid w:val="00B87ED5"/>
    <w:rsid w:val="00BB4A40"/>
    <w:rsid w:val="00BD6C3E"/>
    <w:rsid w:val="00BE3674"/>
    <w:rsid w:val="00C10681"/>
    <w:rsid w:val="00C3049A"/>
    <w:rsid w:val="00C31B1E"/>
    <w:rsid w:val="00C77645"/>
    <w:rsid w:val="00CA6A63"/>
    <w:rsid w:val="00CB12E0"/>
    <w:rsid w:val="00CE04C3"/>
    <w:rsid w:val="00CE76A0"/>
    <w:rsid w:val="00D03336"/>
    <w:rsid w:val="00D148C6"/>
    <w:rsid w:val="00D17A8A"/>
    <w:rsid w:val="00D415BA"/>
    <w:rsid w:val="00D63780"/>
    <w:rsid w:val="00D644EE"/>
    <w:rsid w:val="00D75489"/>
    <w:rsid w:val="00D86436"/>
    <w:rsid w:val="00DC31F1"/>
    <w:rsid w:val="00DD06FF"/>
    <w:rsid w:val="00DD5FE9"/>
    <w:rsid w:val="00E00C7A"/>
    <w:rsid w:val="00E209CF"/>
    <w:rsid w:val="00E26719"/>
    <w:rsid w:val="00E37D6C"/>
    <w:rsid w:val="00E4238D"/>
    <w:rsid w:val="00E50307"/>
    <w:rsid w:val="00E55B68"/>
    <w:rsid w:val="00E67BE6"/>
    <w:rsid w:val="00E753E5"/>
    <w:rsid w:val="00E86196"/>
    <w:rsid w:val="00E8683C"/>
    <w:rsid w:val="00EA2B72"/>
    <w:rsid w:val="00F74360"/>
    <w:rsid w:val="00F74495"/>
    <w:rsid w:val="00FB462F"/>
    <w:rsid w:val="00FE16FA"/>
    <w:rsid w:val="00FE328A"/>
    <w:rsid w:val="00FE6269"/>
    <w:rsid w:val="00FF4588"/>
    <w:rsid w:val="00FF5CD6"/>
    <w:rsid w:val="05633A58"/>
    <w:rsid w:val="06B411F0"/>
    <w:rsid w:val="087403E0"/>
    <w:rsid w:val="0BE56081"/>
    <w:rsid w:val="132E0264"/>
    <w:rsid w:val="13BE003E"/>
    <w:rsid w:val="17A87124"/>
    <w:rsid w:val="27DB542D"/>
    <w:rsid w:val="366364DD"/>
    <w:rsid w:val="370B6762"/>
    <w:rsid w:val="45F9639D"/>
    <w:rsid w:val="48ED43E7"/>
    <w:rsid w:val="60A907EA"/>
    <w:rsid w:val="6145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cs="Times New Roman"/>
      <w:szCs w:val="24"/>
    </w:r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760</Words>
  <Characters>4333</Characters>
  <Lines>36</Lines>
  <Paragraphs>10</Paragraphs>
  <TotalTime>1</TotalTime>
  <ScaleCrop>false</ScaleCrop>
  <LinksUpToDate>false</LinksUpToDate>
  <CharactersWithSpaces>5083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2023-09-07T09:00:00Z</dcterms:created>
  <dc:creator>李航 null</dc:creator>
  <cp:lastModifiedBy>Administrator</cp:lastModifiedBy>
  <cp:lastPrinted>2022-07-27T12:55:00Z</cp:lastPrinted>
  <dcterms:modified xsi:type="dcterms:W3CDTF">2023-09-22T07:26:29Z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