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lang w:val="en-US" w:eastAsia="zh-CN"/>
        </w:rPr>
        <w:t>岳阳市美术馆</w:t>
      </w: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rPr>
        <w:t>XX单位概况</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lang w:val="en-US" w:eastAsia="zh-CN"/>
        </w:rPr>
        <w:t>岳阳市美术馆</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default" w:asciiTheme="minorEastAsia" w:hAnsiTheme="minorEastAsia" w:eastAsiaTheme="minorEastAsia"/>
          <w:sz w:val="32"/>
          <w:szCs w:val="32"/>
          <w:lang w:val="en-US" w:eastAsia="zh-CN"/>
        </w:rPr>
      </w:pPr>
      <w:r>
        <w:rPr>
          <w:rFonts w:hint="eastAsia" w:asciiTheme="minorEastAsia" w:hAnsiTheme="minorEastAsia"/>
          <w:sz w:val="32"/>
          <w:szCs w:val="32"/>
        </w:rPr>
        <w:t>（一）</w:t>
      </w:r>
      <w:r>
        <w:rPr>
          <w:rFonts w:hint="eastAsia" w:asciiTheme="minorEastAsia" w:hAnsiTheme="minorEastAsia"/>
          <w:sz w:val="32"/>
          <w:szCs w:val="32"/>
          <w:lang w:val="en-US" w:eastAsia="zh-CN"/>
        </w:rPr>
        <w:t>创作研究艺术、促进艺术繁荣；</w:t>
      </w:r>
    </w:p>
    <w:p>
      <w:pPr>
        <w:ind w:firstLine="800" w:firstLineChars="250"/>
        <w:jc w:val="left"/>
        <w:rPr>
          <w:rFonts w:asciiTheme="minorEastAsia" w:hAnsiTheme="minorEastAsia"/>
          <w:i/>
          <w:iCs/>
          <w:sz w:val="32"/>
          <w:szCs w:val="32"/>
        </w:rPr>
      </w:pPr>
      <w:r>
        <w:rPr>
          <w:rFonts w:hint="eastAsia" w:asciiTheme="minorEastAsia" w:hAnsiTheme="minorEastAsia"/>
          <w:sz w:val="32"/>
          <w:szCs w:val="32"/>
        </w:rPr>
        <w:t>（二）</w:t>
      </w:r>
      <w:r>
        <w:rPr>
          <w:rFonts w:hint="eastAsia" w:asciiTheme="minorEastAsia" w:hAnsiTheme="minorEastAsia"/>
          <w:sz w:val="32"/>
          <w:szCs w:val="32"/>
          <w:lang w:val="en-US" w:eastAsia="zh-CN"/>
        </w:rPr>
        <w:t>开展书法、美术、摄影创作，展览、教育以及艺术品收藏研究</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default" w:asciiTheme="minorEastAsia" w:hAnsiTheme="minorEastAsia"/>
          <w:bCs/>
          <w:kern w:val="0"/>
          <w:sz w:val="32"/>
          <w:szCs w:val="32"/>
          <w:lang w:val="en-US"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岳阳市美术馆</w:t>
      </w:r>
      <w:r>
        <w:rPr>
          <w:rFonts w:hint="eastAsia" w:asciiTheme="minorEastAsia" w:hAnsiTheme="minorEastAsia"/>
          <w:bCs/>
          <w:kern w:val="0"/>
          <w:sz w:val="32"/>
          <w:szCs w:val="32"/>
        </w:rPr>
        <w:t>内设机构包括：</w:t>
      </w:r>
      <w:r>
        <w:rPr>
          <w:rFonts w:hint="eastAsia" w:asciiTheme="minorEastAsia" w:hAnsiTheme="minorEastAsia"/>
          <w:bCs/>
          <w:kern w:val="0"/>
          <w:sz w:val="32"/>
          <w:szCs w:val="32"/>
          <w:lang w:val="en-US" w:eastAsia="zh-CN"/>
        </w:rPr>
        <w:t>办公室、展览策划部、学术研究部、典藏部、宣传推广部、公共教育部、信息技术部。馆内1-3层为展厅，并设置公共教育室、会议室、体验室、临摹室、图书资料室、休闲区等多种配套服务设施，为公众提供不同形式的文化及美育服务。</w:t>
      </w:r>
    </w:p>
    <w:p>
      <w:pPr>
        <w:widowControl/>
        <w:spacing w:line="600" w:lineRule="exact"/>
        <w:rPr>
          <w:rFonts w:hint="eastAsia" w:asciiTheme="minorEastAsia" w:hAnsiTheme="minorEastAsia" w:eastAsiaTheme="minorEastAsia"/>
          <w:bCs/>
          <w:i/>
          <w:iCs/>
          <w:color w:val="FF0000"/>
          <w:kern w:val="0"/>
          <w:sz w:val="32"/>
          <w:szCs w:val="32"/>
          <w:lang w:eastAsia="zh-CN"/>
        </w:rPr>
      </w:pPr>
    </w:p>
    <w:p>
      <w:pPr>
        <w:widowControl/>
        <w:numPr>
          <w:ilvl w:val="0"/>
          <w:numId w:val="2"/>
        </w:numPr>
        <w:spacing w:line="600" w:lineRule="exact"/>
        <w:rPr>
          <w:rFonts w:asciiTheme="minorEastAsia" w:hAnsiTheme="minorEastAsia"/>
          <w:bCs/>
          <w:kern w:val="0"/>
          <w:sz w:val="32"/>
          <w:szCs w:val="32"/>
        </w:rPr>
      </w:pPr>
      <w:r>
        <w:rPr>
          <w:rFonts w:hint="eastAsia" w:asciiTheme="minorEastAsia" w:hAnsiTheme="minorEastAsia"/>
          <w:bCs/>
          <w:kern w:val="0"/>
          <w:sz w:val="32"/>
          <w:szCs w:val="32"/>
        </w:rPr>
        <w:t>决算单位构成。</w:t>
      </w:r>
      <w:r>
        <w:rPr>
          <w:rFonts w:hint="eastAsia" w:asciiTheme="minorEastAsia" w:hAnsiTheme="minorEastAsia"/>
          <w:bCs/>
          <w:kern w:val="0"/>
          <w:sz w:val="32"/>
          <w:szCs w:val="32"/>
          <w:lang w:val="en-US" w:eastAsia="zh-CN"/>
        </w:rPr>
        <w:t>岳阳市美术馆</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w:t>
      </w:r>
      <w:r>
        <w:rPr>
          <w:rFonts w:hint="eastAsia" w:asciiTheme="minorEastAsia" w:hAnsiTheme="minorEastAsia"/>
          <w:bCs/>
          <w:kern w:val="0"/>
          <w:sz w:val="32"/>
          <w:szCs w:val="32"/>
          <w:lang w:val="en-US" w:eastAsia="zh-CN"/>
        </w:rPr>
        <w:t>岳阳市美术馆</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widowControl/>
        <w:numPr>
          <w:ilvl w:val="0"/>
          <w:numId w:val="0"/>
        </w:numPr>
        <w:spacing w:line="600" w:lineRule="exact"/>
        <w:ind w:firstLine="640" w:firstLineChars="200"/>
        <w:rPr>
          <w:rFonts w:asciiTheme="minorEastAsia" w:hAnsiTheme="minorEastAsia"/>
          <w:bCs/>
          <w:i/>
          <w:i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1"/>
        <w:jc w:val="both"/>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200.55</w:t>
      </w:r>
      <w:r>
        <w:rPr>
          <w:rFonts w:hint="eastAsia" w:asciiTheme="minorEastAsia" w:hAnsiTheme="minorEastAsia" w:eastAsiaTheme="minorEastAsia"/>
          <w:sz w:val="32"/>
          <w:szCs w:val="32"/>
        </w:rPr>
        <w:t>万元。与上年</w:t>
      </w:r>
      <w:r>
        <w:rPr>
          <w:rFonts w:hint="eastAsia" w:asciiTheme="minorEastAsia" w:hAnsiTheme="minorEastAsia" w:eastAsiaTheme="minorEastAsia"/>
          <w:sz w:val="32"/>
          <w:szCs w:val="32"/>
          <w:lang w:val="en-US" w:eastAsia="zh-CN"/>
        </w:rPr>
        <w:t>245.33万元</w:t>
      </w:r>
      <w:r>
        <w:rPr>
          <w:rFonts w:hint="eastAsia" w:asciiTheme="minorEastAsia" w:hAnsiTheme="minorEastAsia" w:eastAsiaTheme="minorEastAsia"/>
          <w:sz w:val="32"/>
          <w:szCs w:val="32"/>
        </w:rPr>
        <w:t>相比，减少</w:t>
      </w:r>
      <w:r>
        <w:rPr>
          <w:rFonts w:hint="eastAsia" w:asciiTheme="minorEastAsia" w:hAnsiTheme="minorEastAsia" w:eastAsiaTheme="minorEastAsia"/>
          <w:sz w:val="32"/>
          <w:szCs w:val="32"/>
          <w:lang w:val="en-US" w:eastAsia="zh-CN"/>
        </w:rPr>
        <w:t>44.77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18.25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2020年年初结转结余和其他收入大于2021年年初结转结余和其他收入。</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188.7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154.6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81.93</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34.10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18.07</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200.54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131.55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65.6</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69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34.40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160.52</w:t>
      </w:r>
      <w:r>
        <w:rPr>
          <w:rFonts w:hint="eastAsia" w:asciiTheme="minorEastAsia" w:hAnsiTheme="minorEastAsia" w:eastAsiaTheme="minorEastAsia"/>
          <w:sz w:val="32"/>
          <w:szCs w:val="32"/>
        </w:rPr>
        <w:t>万元，与上年</w:t>
      </w:r>
      <w:r>
        <w:rPr>
          <w:rFonts w:hint="eastAsia" w:asciiTheme="minorEastAsia" w:hAnsiTheme="minorEastAsia" w:eastAsiaTheme="minorEastAsia"/>
          <w:sz w:val="32"/>
          <w:szCs w:val="32"/>
          <w:lang w:val="en-US" w:eastAsia="zh-CN"/>
        </w:rPr>
        <w:t>177.42万元</w:t>
      </w:r>
      <w:r>
        <w:rPr>
          <w:rFonts w:hint="eastAsia" w:asciiTheme="minorEastAsia" w:hAnsiTheme="minorEastAsia" w:eastAsiaTheme="minorEastAsia"/>
          <w:sz w:val="32"/>
          <w:szCs w:val="32"/>
        </w:rPr>
        <w:t>相比，减少</w:t>
      </w:r>
      <w:r>
        <w:rPr>
          <w:rFonts w:hint="eastAsia" w:asciiTheme="minorEastAsia" w:hAnsiTheme="minorEastAsia" w:eastAsiaTheme="minorEastAsia"/>
          <w:sz w:val="32"/>
          <w:szCs w:val="32"/>
          <w:lang w:val="en-US" w:eastAsia="zh-CN"/>
        </w:rPr>
        <w:t>16.9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9.53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2020年年初结转结余和其他收入大于2021年年初结转结余和其他收入。</w:t>
      </w: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160.53</w:t>
      </w:r>
      <w:r>
        <w:rPr>
          <w:rFonts w:hint="eastAsia" w:asciiTheme="minorEastAsia" w:hAnsiTheme="minorEastAsia" w:eastAsiaTheme="minorEastAsia"/>
          <w:sz w:val="32"/>
          <w:szCs w:val="32"/>
        </w:rPr>
        <w:t>万元，占本年支出</w:t>
      </w:r>
      <w:r>
        <w:rPr>
          <w:rFonts w:hint="eastAsia" w:asciiTheme="minorEastAsia" w:hAnsiTheme="minorEastAsia" w:eastAsiaTheme="minorEastAsia"/>
          <w:sz w:val="32"/>
          <w:szCs w:val="32"/>
          <w:lang w:val="en-US" w:eastAsia="zh-CN"/>
        </w:rPr>
        <w:t>200.55万元</w:t>
      </w:r>
      <w:r>
        <w:rPr>
          <w:rFonts w:hint="eastAsia" w:asciiTheme="minorEastAsia" w:hAnsiTheme="minorEastAsia" w:eastAsiaTheme="minorEastAsia"/>
          <w:sz w:val="32"/>
          <w:szCs w:val="32"/>
        </w:rPr>
        <w:t>合计的</w:t>
      </w:r>
      <w:r>
        <w:rPr>
          <w:rFonts w:hint="eastAsia" w:asciiTheme="minorEastAsia" w:hAnsiTheme="minorEastAsia" w:eastAsiaTheme="minorEastAsia"/>
          <w:sz w:val="32"/>
          <w:szCs w:val="32"/>
          <w:lang w:val="en-US" w:eastAsia="zh-CN"/>
        </w:rPr>
        <w:t>80.04</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171.49万元</w:t>
      </w:r>
      <w:r>
        <w:rPr>
          <w:rFonts w:hint="eastAsia" w:asciiTheme="minorEastAsia" w:hAnsiTheme="minorEastAsia" w:eastAsiaTheme="minorEastAsia"/>
          <w:sz w:val="32"/>
          <w:szCs w:val="32"/>
        </w:rPr>
        <w:t>相比，财政拨款支出减少</w:t>
      </w:r>
      <w:r>
        <w:rPr>
          <w:rFonts w:hint="eastAsia" w:asciiTheme="minorEastAsia" w:hAnsiTheme="minorEastAsia" w:eastAsiaTheme="minorEastAsia"/>
          <w:sz w:val="32"/>
          <w:szCs w:val="32"/>
          <w:lang w:val="en-US" w:eastAsia="zh-CN"/>
        </w:rPr>
        <w:t>10.96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6.39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收入减少，人员增加。</w:t>
      </w:r>
    </w:p>
    <w:p>
      <w:pPr>
        <w:pStyle w:val="11"/>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160.53</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文化旅游体育与传媒（类）支出146.4万元，占91.2%；社会保障和就业（类）支出9.67万元，占6.02%；卫生健康（类）支出4.46万元，占2.78%；</w:t>
      </w:r>
    </w:p>
    <w:p>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93.62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160.53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171.46</w:t>
      </w:r>
      <w:r>
        <w:rPr>
          <w:rFonts w:hint="eastAsia" w:asciiTheme="minorEastAsia" w:hAnsiTheme="minorEastAsia" w:eastAsiaTheme="minorEastAsia"/>
          <w:sz w:val="32"/>
          <w:szCs w:val="32"/>
        </w:rPr>
        <w:t>%，其中：</w:t>
      </w:r>
    </w:p>
    <w:p>
      <w:pPr>
        <w:pStyle w:val="11"/>
        <w:numPr>
          <w:ilvl w:val="0"/>
          <w:numId w:val="3"/>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文化旅游体育与传媒支出（类）文化和旅游（款）一般行政管理事务（项）文化展示及纪念机构（项）</w:t>
      </w:r>
    </w:p>
    <w:p>
      <w:pPr>
        <w:pStyle w:val="11"/>
        <w:numPr>
          <w:ilvl w:val="0"/>
          <w:numId w:val="0"/>
        </w:numP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年初预算93.62万元，支出决算为146.40万元，完成年初预算的156.38%，决算数大于年初数的主要原因是：年中项目经费较上年增加。</w:t>
      </w:r>
    </w:p>
    <w:p>
      <w:pPr>
        <w:pStyle w:val="11"/>
        <w:numPr>
          <w:ilvl w:val="0"/>
          <w:numId w:val="3"/>
        </w:numPr>
        <w:ind w:left="0" w:leftChars="0"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社会保障和就业支出（类）行政事业单位养老支出（款）机关事业单位基本养老保险缴费支出（项）</w:t>
      </w:r>
    </w:p>
    <w:p>
      <w:pPr>
        <w:pStyle w:val="11"/>
        <w:numPr>
          <w:ilvl w:val="0"/>
          <w:numId w:val="0"/>
        </w:numPr>
        <w:ind w:leftChars="250"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年初预算93.62万元，支出决算为9.67万元，完成预算的10.33%，决算数小于年初数的主要原因是：人员费用的变化。</w:t>
      </w:r>
    </w:p>
    <w:p>
      <w:pPr>
        <w:pStyle w:val="11"/>
        <w:numPr>
          <w:ilvl w:val="0"/>
          <w:numId w:val="3"/>
        </w:numPr>
        <w:ind w:left="0" w:leftChars="0"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卫生健康支出（类）行政事业单位医疗（款）事业单位医疗（项）</w:t>
      </w:r>
    </w:p>
    <w:p>
      <w:pPr>
        <w:pStyle w:val="11"/>
        <w:numPr>
          <w:ilvl w:val="0"/>
          <w:numId w:val="0"/>
        </w:numPr>
        <w:ind w:left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年初预算93.62万元，支出决算4.46万元，完成预算的4.76%，决算数小于年初数的主要原因是：人员费用的变化。</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160.53</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87.76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54.67</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28.50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17.75</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1"/>
        <w:ind w:firstLine="320" w:firstLineChars="100"/>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，其中：</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因公出国（境）费支出预算为0万元，支出决算为0万元，由于预算数为0，无法计算百分比，主要原因为本年未安排因公出国（境）；与上年相比无变化，主要原因是未安排外事出访活动。</w:t>
      </w:r>
    </w:p>
    <w:p>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公务接待费支出预算为0万元，支出决算为0万元，由于预算数为0，无法计算百分比，决算数为0，主要原因为本年</w:t>
      </w:r>
      <w:r>
        <w:rPr>
          <w:rFonts w:hint="eastAsia" w:asciiTheme="minorEastAsia" w:hAnsiTheme="minorEastAsia" w:eastAsiaTheme="minorEastAsia"/>
          <w:sz w:val="32"/>
          <w:szCs w:val="32"/>
          <w:lang w:val="en-US" w:eastAsia="zh-CN"/>
        </w:rPr>
        <w:t>未发生公务接待</w:t>
      </w:r>
      <w:r>
        <w:rPr>
          <w:rFonts w:hint="eastAsia" w:asciiTheme="minorEastAsia" w:hAnsiTheme="minorEastAsia" w:eastAsiaTheme="minorEastAsia"/>
          <w:sz w:val="32"/>
          <w:szCs w:val="32"/>
        </w:rPr>
        <w:t>；与上年相比无变化，主要原因为本年未</w:t>
      </w:r>
      <w:r>
        <w:rPr>
          <w:rFonts w:hint="eastAsia" w:asciiTheme="minorEastAsia" w:hAnsiTheme="minorEastAsia" w:eastAsiaTheme="minorEastAsia"/>
          <w:sz w:val="32"/>
          <w:szCs w:val="32"/>
          <w:lang w:val="en-US" w:eastAsia="zh-CN"/>
        </w:rPr>
        <w:t>发生公务接待</w:t>
      </w:r>
      <w:r>
        <w:rPr>
          <w:rFonts w:hint="eastAsia" w:asciiTheme="minorEastAsia" w:hAnsiTheme="minorEastAsia" w:eastAsiaTheme="minorEastAsia"/>
          <w:sz w:val="32"/>
          <w:szCs w:val="32"/>
        </w:rPr>
        <w:t>。</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公务用车购置费支出预算为0万元，支出决算为0万元，由于预算数为0，无法计算百分比，决算数为0，主要原因为本年未购置公务用车；与上年相比无变化，主要原因为本年未购置公务用车。</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公务用车运行维护费支出预算为0万元，支出决算为0万元，由于预算数为0，无法计算百分比，决算数为0，主要原因为本年未购置公务用车；与上年相比无变化，主要原因为本年未购置公务用车。</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万元，全年安排因公出国（境）团组XX个，累计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开支内容</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：我</w:t>
      </w:r>
      <w:r>
        <w:rPr>
          <w:rFonts w:hint="eastAsia" w:asciiTheme="minorEastAsia" w:hAnsiTheme="minorEastAsia" w:eastAsiaTheme="minorEastAsia"/>
          <w:sz w:val="32"/>
          <w:szCs w:val="32"/>
          <w:lang w:val="en-US" w:eastAsia="zh-CN"/>
        </w:rPr>
        <w:t>单位没有公务接待费用开支。</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岳阳市美术馆</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我单位没有公务用车，所以，没有公务用车维护费</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1"/>
        <w:rPr>
          <w:rFonts w:hAnsi="黑体"/>
          <w:b/>
          <w:sz w:val="32"/>
          <w:szCs w:val="32"/>
        </w:rPr>
      </w:pPr>
      <w:r>
        <w:rPr>
          <w:rFonts w:hint="eastAsia" w:hAnsi="黑体"/>
          <w:b/>
          <w:sz w:val="32"/>
          <w:szCs w:val="32"/>
        </w:rPr>
        <w:t>八、政府性基金预算收入支出决算情况</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11"/>
        <w:ind w:firstLine="640" w:firstLineChars="200"/>
        <w:rPr>
          <w:rFonts w:hint="default" w:asciiTheme="minorEastAsia" w:hAnsiTheme="minorEastAsia" w:eastAsiaTheme="minorEastAsia"/>
          <w:i/>
          <w:color w:val="auto"/>
          <w:sz w:val="32"/>
          <w:szCs w:val="32"/>
          <w:lang w:val="en-US" w:eastAsia="zh-CN"/>
        </w:rPr>
      </w:pPr>
      <w:r>
        <w:rPr>
          <w:rFonts w:hint="eastAsia" w:asciiTheme="minorEastAsia" w:hAnsiTheme="minorEastAsia" w:eastAsiaTheme="minorEastAsia"/>
          <w:sz w:val="32"/>
          <w:szCs w:val="32"/>
          <w:lang w:eastAsia="zh-CN"/>
        </w:rPr>
        <w:t>岳阳市美术馆</w:t>
      </w:r>
      <w:r>
        <w:rPr>
          <w:rFonts w:hint="eastAsia" w:asciiTheme="minorEastAsia" w:hAnsiTheme="minorEastAsia" w:eastAsiaTheme="minorEastAsia"/>
          <w:sz w:val="32"/>
          <w:szCs w:val="32"/>
          <w:lang w:val="en-US" w:eastAsia="zh-CN"/>
        </w:rPr>
        <w:t>无政府性基金收支。</w:t>
      </w:r>
    </w:p>
    <w:p>
      <w:pPr>
        <w:pStyle w:val="11"/>
        <w:numPr>
          <w:ilvl w:val="0"/>
          <w:numId w:val="4"/>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2021年度国有资本经营预算财政拨款</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岳阳市美术馆无国有资本经营预算财政拨款支出。</w:t>
      </w:r>
    </w:p>
    <w:p>
      <w:pPr>
        <w:pStyle w:val="11"/>
        <w:numPr>
          <w:ilvl w:val="0"/>
          <w:numId w:val="4"/>
        </w:numPr>
        <w:ind w:left="0" w:leftChars="0" w:firstLine="0" w:firstLineChars="0"/>
        <w:rPr>
          <w:rFonts w:hint="eastAsia" w:hAnsi="黑体"/>
          <w:b/>
          <w:sz w:val="32"/>
          <w:szCs w:val="32"/>
        </w:rPr>
      </w:pPr>
      <w:r>
        <w:rPr>
          <w:rFonts w:hint="eastAsia" w:hAnsi="黑体"/>
          <w:b/>
          <w:sz w:val="32"/>
          <w:szCs w:val="32"/>
        </w:rPr>
        <w:t>机关运行经费支出说明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万元，比年初预算数（或者上年决算数）增加（减少）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万元，增长（降低）</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%。主要原因是：</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1年</w:t>
      </w:r>
      <w:r>
        <w:rPr>
          <w:rFonts w:hint="eastAsia" w:asciiTheme="minorEastAsia" w:hAnsiTheme="minorEastAsia" w:eastAsiaTheme="minorEastAsia"/>
          <w:sz w:val="32"/>
          <w:szCs w:val="32"/>
        </w:rPr>
        <w:t>度无机关运行经费支出。</w:t>
      </w:r>
    </w:p>
    <w:p>
      <w:pPr>
        <w:pStyle w:val="11"/>
        <w:numPr>
          <w:ilvl w:val="0"/>
          <w:numId w:val="0"/>
        </w:numPr>
        <w:ind w:leftChars="0"/>
        <w:rPr>
          <w:rFonts w:hint="eastAsia" w:hAnsi="黑体"/>
          <w:b/>
          <w:sz w:val="32"/>
          <w:szCs w:val="32"/>
        </w:rPr>
      </w:pPr>
    </w:p>
    <w:p>
      <w:pPr>
        <w:pStyle w:val="11"/>
        <w:rPr>
          <w:rFonts w:hAnsi="黑体"/>
          <w:b/>
          <w:sz w:val="32"/>
          <w:szCs w:val="32"/>
        </w:rPr>
      </w:pPr>
      <w:r>
        <w:rPr>
          <w:rFonts w:hint="eastAsia" w:hAnsi="黑体"/>
          <w:b/>
          <w:sz w:val="32"/>
          <w:szCs w:val="32"/>
        </w:rPr>
        <w:t>十一、一般性支出情况说明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1年度</w:t>
      </w: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未开支会议费。202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年度未举办节庆、晚会、论坛、赛事活动。</w:t>
      </w:r>
    </w:p>
    <w:p>
      <w:pPr>
        <w:pStyle w:val="11"/>
        <w:rPr>
          <w:rFonts w:hAnsi="黑体"/>
          <w:b/>
          <w:sz w:val="32"/>
          <w:szCs w:val="32"/>
        </w:rPr>
      </w:pPr>
      <w:r>
        <w:rPr>
          <w:rFonts w:hint="eastAsia" w:hAnsi="黑体"/>
          <w:b/>
          <w:sz w:val="32"/>
          <w:szCs w:val="32"/>
        </w:rPr>
        <w:t>十二、政府采购支出说明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年度无政府采购支出。</w:t>
      </w:r>
    </w:p>
    <w:p>
      <w:pPr>
        <w:pStyle w:val="11"/>
        <w:rPr>
          <w:rFonts w:hAnsi="黑体"/>
          <w:b/>
          <w:sz w:val="32"/>
          <w:szCs w:val="32"/>
        </w:rPr>
      </w:pPr>
      <w:r>
        <w:rPr>
          <w:rFonts w:hint="eastAsia" w:hAnsi="黑体"/>
          <w:b/>
          <w:sz w:val="32"/>
          <w:szCs w:val="32"/>
        </w:rPr>
        <w:t>十三、国有资产占用情况说明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asciiTheme="minorEastAsia" w:hAnsiTheme="minorEastAsia" w:eastAsiaTheme="minorEastAsia"/>
          <w:sz w:val="32"/>
          <w:szCs w:val="32"/>
          <w:lang w:eastAsia="zh-CN"/>
        </w:rPr>
        <w:t>岳阳市美术馆</w:t>
      </w:r>
      <w:r>
        <w:rPr>
          <w:rFonts w:hint="eastAsia" w:asciiTheme="minorEastAsia" w:hAnsiTheme="minorEastAsia" w:eastAsiaTheme="minorEastAsia"/>
          <w:sz w:val="32"/>
          <w:szCs w:val="32"/>
        </w:rPr>
        <w:t>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bookmarkStart w:id="0" w:name="_GoBack"/>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w:t>
      </w:r>
      <w:r>
        <w:rPr>
          <w:rFonts w:hint="eastAsia" w:cs="黑体" w:asciiTheme="minorEastAsia" w:hAnsiTheme="minorEastAsia"/>
          <w:color w:val="000000"/>
          <w:kern w:val="0"/>
          <w:sz w:val="32"/>
          <w:szCs w:val="32"/>
          <w:lang w:eastAsia="zh-CN"/>
        </w:rPr>
        <w:t>单位</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eastAsia="zh-CN"/>
        </w:rPr>
        <w:t>未开展此项目部门评价。</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岳阳市美术馆</w:t>
      </w:r>
      <w:r>
        <w:rPr>
          <w:rFonts w:hint="eastAsia" w:cs="黑体" w:asciiTheme="minorEastAsia" w:hAnsiTheme="minorEastAsia"/>
          <w:color w:val="000000"/>
          <w:kern w:val="0"/>
          <w:sz w:val="32"/>
          <w:szCs w:val="32"/>
        </w:rPr>
        <w:t>开展整体支出绩效评价，涉及一般公共预算支出</w:t>
      </w:r>
      <w:r>
        <w:rPr>
          <w:rFonts w:hint="eastAsia" w:cs="黑体" w:asciiTheme="minorEastAsia" w:hAnsiTheme="minorEastAsia"/>
          <w:color w:val="000000"/>
          <w:kern w:val="0"/>
          <w:sz w:val="32"/>
          <w:szCs w:val="32"/>
          <w:lang w:val="en-US" w:eastAsia="zh-CN"/>
        </w:rPr>
        <w:t>93.62</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p>
    <w:p>
      <w:pPr>
        <w:numPr>
          <w:ilvl w:val="0"/>
          <w:numId w:val="5"/>
        </w:num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高度重视、及时部署；</w:t>
      </w:r>
    </w:p>
    <w:p>
      <w:pPr>
        <w:numPr>
          <w:ilvl w:val="0"/>
          <w:numId w:val="5"/>
        </w:num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上下联动、推进有序；</w:t>
      </w:r>
    </w:p>
    <w:p>
      <w:pPr>
        <w:numPr>
          <w:ilvl w:val="0"/>
          <w:numId w:val="5"/>
        </w:num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参与广泛、种类丰富；</w:t>
      </w:r>
    </w:p>
    <w:p>
      <w:pPr>
        <w:numPr>
          <w:ilvl w:val="0"/>
          <w:numId w:val="5"/>
        </w:num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共同发力、反响热烈。</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（2）部门决算中项目绩效自评结果（如有）。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本单位</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。发现的主要问题及原因：</w:t>
      </w:r>
      <w:r>
        <w:rPr>
          <w:rFonts w:hint="eastAsia" w:cs="黑体" w:asciiTheme="minorEastAsia" w:hAnsiTheme="minorEastAsia"/>
          <w:color w:val="000000"/>
          <w:kern w:val="0"/>
          <w:sz w:val="32"/>
          <w:szCs w:val="32"/>
          <w:lang w:eastAsia="zh-CN"/>
        </w:rPr>
        <w:t>未开展项目绩效自评</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本单位</w:t>
      </w:r>
      <w:r>
        <w:rPr>
          <w:rFonts w:hint="eastAsia" w:cs="黑体" w:asciiTheme="minorEastAsia" w:hAnsiTheme="minorEastAsia"/>
          <w:color w:val="000000"/>
          <w:kern w:val="0"/>
          <w:sz w:val="32"/>
          <w:szCs w:val="32"/>
        </w:rPr>
        <w:t>项目绩效自评综述：</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1</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2</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bookmarkEnd w:id="0"/>
    <w:p>
      <w:pPr>
        <w:pStyle w:val="11"/>
        <w:jc w:val="both"/>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sz w:val="72"/>
          <w:szCs w:val="72"/>
        </w:rPr>
      </w:pPr>
      <w:r>
        <w:rPr>
          <w:rFonts w:hint="eastAsia"/>
          <w:sz w:val="72"/>
          <w:szCs w:val="72"/>
        </w:rPr>
        <w:t>第四部分</w:t>
      </w: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pStyle w:val="2"/>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rPr>
          <w:rFonts w:hint="eastAsia"/>
          <w:lang w:eastAsia="zh-CN"/>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财政拨款收入：指市级财政当年拨付的资金。</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四</w:t>
      </w:r>
      <w:r>
        <w:rPr>
          <w:rFonts w:hint="eastAsia" w:cs="黑体" w:asciiTheme="minorEastAsia" w:hAnsiTheme="minorEastAsia"/>
          <w:color w:val="000000"/>
          <w:kern w:val="0"/>
          <w:sz w:val="32"/>
          <w:szCs w:val="32"/>
        </w:rPr>
        <w:t>、上级补助收入：指单位从主管部门和上级单位取得的非财政性补助收入。</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五</w:t>
      </w:r>
      <w:r>
        <w:rPr>
          <w:rFonts w:hint="eastAsia" w:cs="黑体" w:asciiTheme="minorEastAsia" w:hAnsiTheme="minorEastAsia"/>
          <w:color w:val="000000"/>
          <w:kern w:val="0"/>
          <w:sz w:val="32"/>
          <w:szCs w:val="32"/>
        </w:rPr>
        <w:t>、其他收入：指除上述“财政拨款收入”、“上级补助收入”、“事业收入”、“经营收入”、“附属单位上缴收入”等以外的收入。</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六</w:t>
      </w:r>
      <w:r>
        <w:rPr>
          <w:rFonts w:hint="eastAsia" w:cs="黑体" w:asciiTheme="minorEastAsia" w:hAnsiTheme="minorEastAsia"/>
          <w:color w:val="000000"/>
          <w:kern w:val="0"/>
          <w:sz w:val="32"/>
          <w:szCs w:val="32"/>
        </w:rPr>
        <w:t>、上年结转和结余：指以前年度尚未完成、结转到本年按有关规定继续使用的资金。</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七</w:t>
      </w:r>
      <w:r>
        <w:rPr>
          <w:rFonts w:hint="eastAsia" w:cs="黑体" w:asciiTheme="minorEastAsia" w:hAnsiTheme="minorEastAsia"/>
          <w:color w:val="000000"/>
          <w:kern w:val="0"/>
          <w:sz w:val="32"/>
          <w:szCs w:val="32"/>
        </w:rPr>
        <w:t>、基本支出：指保障机构正常运转、完成日常工作任务而发生的人员支出和公用支出。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八</w:t>
      </w:r>
      <w:r>
        <w:rPr>
          <w:rFonts w:hint="eastAsia" w:cs="黑体" w:asciiTheme="minorEastAsia" w:hAnsiTheme="minorEastAsia"/>
          <w:color w:val="000000"/>
          <w:kern w:val="0"/>
          <w:sz w:val="32"/>
          <w:szCs w:val="32"/>
        </w:rPr>
        <w:t>、项目支出：指在基本支出之外为完成特定行政任务和事业发展目标所发生的支出。</w:t>
      </w: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pStyle w:val="2"/>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rPr>
          <w:rFonts w:hint="eastAsia"/>
        </w:rPr>
      </w:pPr>
    </w:p>
    <w:p>
      <w:pPr>
        <w:pStyle w:val="2"/>
        <w:rPr>
          <w:rFonts w:hint="eastAsia"/>
        </w:rPr>
      </w:pPr>
    </w:p>
    <w:p>
      <w:pPr>
        <w:ind w:firstLine="640" w:firstLineChars="200"/>
        <w:jc w:val="left"/>
        <w:rPr>
          <w:rFonts w:hint="eastAsia" w:cs="黑体" w:asciiTheme="minorEastAsia" w:hAnsi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widowControl/>
        <w:jc w:val="left"/>
        <w:rPr>
          <w:rFonts w:ascii="黑体" w:eastAsia="黑体" w:cs="黑体"/>
          <w:color w:val="000000"/>
          <w:kern w:val="0"/>
          <w:sz w:val="70"/>
          <w:szCs w:val="70"/>
        </w:rPr>
      </w:pPr>
    </w:p>
    <w:p>
      <w:pPr>
        <w:ind w:firstLine="640" w:firstLineChars="200"/>
        <w:jc w:val="left"/>
        <w:rPr>
          <w:rFonts w:cs="黑体" w:asciiTheme="minorEastAsia" w:hAnsiTheme="minorEastAsia"/>
          <w:color w:val="000000"/>
          <w:kern w:val="0"/>
          <w:sz w:val="32"/>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EF18D"/>
    <w:multiLevelType w:val="singleLevel"/>
    <w:tmpl w:val="9A9EF18D"/>
    <w:lvl w:ilvl="0" w:tentative="0">
      <w:start w:val="1"/>
      <w:numFmt w:val="decimal"/>
      <w:suff w:val="nothing"/>
      <w:lvlText w:val="%1、"/>
      <w:lvlJc w:val="left"/>
    </w:lvl>
  </w:abstractNum>
  <w:abstractNum w:abstractNumId="1">
    <w:nsid w:val="B16A298D"/>
    <w:multiLevelType w:val="singleLevel"/>
    <w:tmpl w:val="B16A298D"/>
    <w:lvl w:ilvl="0" w:tentative="0">
      <w:start w:val="9"/>
      <w:numFmt w:val="chineseCounting"/>
      <w:suff w:val="nothing"/>
      <w:lvlText w:val="%1、"/>
      <w:lvlJc w:val="left"/>
      <w:rPr>
        <w:rFonts w:hint="eastAsia"/>
      </w:rPr>
    </w:lvl>
  </w:abstractNum>
  <w:abstractNum w:abstractNumId="2">
    <w:nsid w:val="FC5F40D2"/>
    <w:multiLevelType w:val="singleLevel"/>
    <w:tmpl w:val="FC5F40D2"/>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2DA4E8"/>
    <w:multiLevelType w:val="singleLevel"/>
    <w:tmpl w:val="472DA4E8"/>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QxZjRjNWQ2YzBlZDQxNTc2NWYwZTRlMzBlYWUifQ=="/>
  </w:docVars>
  <w:rsids>
    <w:rsidRoot w:val="00172A27"/>
    <w:rsid w:val="0002229B"/>
    <w:rsid w:val="000273BD"/>
    <w:rsid w:val="000415B7"/>
    <w:rsid w:val="00041E3F"/>
    <w:rsid w:val="00055DAA"/>
    <w:rsid w:val="00061F7B"/>
    <w:rsid w:val="000658A3"/>
    <w:rsid w:val="00074155"/>
    <w:rsid w:val="000873EF"/>
    <w:rsid w:val="00092CD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C25065"/>
    <w:rsid w:val="037E3FB0"/>
    <w:rsid w:val="05633A58"/>
    <w:rsid w:val="06B411F0"/>
    <w:rsid w:val="08081531"/>
    <w:rsid w:val="087403E0"/>
    <w:rsid w:val="0A075A45"/>
    <w:rsid w:val="0A1F2D6F"/>
    <w:rsid w:val="0BE56081"/>
    <w:rsid w:val="11AB14C1"/>
    <w:rsid w:val="12584A6B"/>
    <w:rsid w:val="13BE003E"/>
    <w:rsid w:val="16293A15"/>
    <w:rsid w:val="17A87124"/>
    <w:rsid w:val="17B13B7F"/>
    <w:rsid w:val="1E750486"/>
    <w:rsid w:val="239F445E"/>
    <w:rsid w:val="26477050"/>
    <w:rsid w:val="27DB542D"/>
    <w:rsid w:val="2B0D7FB9"/>
    <w:rsid w:val="2DBE38E1"/>
    <w:rsid w:val="327F7C6B"/>
    <w:rsid w:val="366364DD"/>
    <w:rsid w:val="370B6762"/>
    <w:rsid w:val="3AA61CBD"/>
    <w:rsid w:val="3C553206"/>
    <w:rsid w:val="3D15626C"/>
    <w:rsid w:val="3F2D33A4"/>
    <w:rsid w:val="45F9639D"/>
    <w:rsid w:val="46390FD6"/>
    <w:rsid w:val="48ED43E7"/>
    <w:rsid w:val="4AB07339"/>
    <w:rsid w:val="4ECB75BB"/>
    <w:rsid w:val="52C578AE"/>
    <w:rsid w:val="5466733F"/>
    <w:rsid w:val="5507306C"/>
    <w:rsid w:val="58543E45"/>
    <w:rsid w:val="59D13FFF"/>
    <w:rsid w:val="5A9475C2"/>
    <w:rsid w:val="60A907EA"/>
    <w:rsid w:val="6145544E"/>
    <w:rsid w:val="62FD0BCE"/>
    <w:rsid w:val="636F130E"/>
    <w:rsid w:val="650F71D6"/>
    <w:rsid w:val="65B8469B"/>
    <w:rsid w:val="697E5585"/>
    <w:rsid w:val="6A3465E2"/>
    <w:rsid w:val="6B8754EE"/>
    <w:rsid w:val="73EA381B"/>
    <w:rsid w:val="74DF0E23"/>
    <w:rsid w:val="759B3DFC"/>
    <w:rsid w:val="77FA34D6"/>
    <w:rsid w:val="791C0941"/>
    <w:rsid w:val="7A371254"/>
    <w:rsid w:val="7B2E061D"/>
    <w:rsid w:val="7B3D7962"/>
    <w:rsid w:val="7CEE3140"/>
    <w:rsid w:val="7D967088"/>
    <w:rsid w:val="7FE7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4769</Words>
  <Characters>5149</Characters>
  <Lines>69</Lines>
  <Paragraphs>19</Paragraphs>
  <TotalTime>1</TotalTime>
  <ScaleCrop>false</ScaleCrop>
  <LinksUpToDate>false</LinksUpToDate>
  <CharactersWithSpaces>5177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2023-09-22T07:18:33Z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C02081F76A1C414C807C3137DC2EA958</vt:lpwstr>
  </property>
</Properties>
</file>