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w:t>
      </w:r>
      <w:r>
        <w:rPr>
          <w:rFonts w:eastAsia="方正小标宋简体"/>
          <w:bCs/>
          <w:sz w:val="46"/>
          <w:szCs w:val="46"/>
        </w:rPr>
        <w:t>202</w:t>
      </w:r>
      <w:r>
        <w:rPr>
          <w:rFonts w:hint="eastAsia" w:eastAsia="方正小标宋简体"/>
          <w:bCs/>
          <w:sz w:val="46"/>
          <w:szCs w:val="46"/>
          <w:lang w:val="en-US" w:eastAsia="zh-CN"/>
        </w:rPr>
        <w:t>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rPr>
        <w:t>岳阳市</w:t>
      </w:r>
      <w:r>
        <w:rPr>
          <w:rFonts w:hint="eastAsia" w:eastAsia="仿宋_GB2312"/>
          <w:sz w:val="32"/>
          <w:szCs w:val="32"/>
          <w:u w:val="single"/>
          <w:lang w:eastAsia="zh-CN"/>
        </w:rPr>
        <w:t>群众艺术馆</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501002</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202</w:t>
      </w:r>
      <w:r>
        <w:rPr>
          <w:rFonts w:hint="eastAsia" w:eastAsia="仿宋_GB2312"/>
          <w:sz w:val="32"/>
          <w:lang w:val="en-US" w:eastAsia="zh-CN"/>
        </w:rPr>
        <w:t>2</w:t>
      </w:r>
      <w:r>
        <w:rPr>
          <w:rFonts w:hint="eastAsia" w:eastAsia="仿宋_GB2312"/>
          <w:sz w:val="32"/>
        </w:rPr>
        <w:t>年</w:t>
      </w:r>
      <w:r>
        <w:rPr>
          <w:rFonts w:eastAsia="仿宋_GB2312"/>
          <w:sz w:val="32"/>
        </w:rPr>
        <w:t xml:space="preserve"> 6 </w:t>
      </w:r>
      <w:r>
        <w:rPr>
          <w:rFonts w:hint="eastAsia" w:eastAsia="仿宋_GB2312"/>
          <w:sz w:val="32"/>
        </w:rPr>
        <w:t>月</w:t>
      </w:r>
      <w:r>
        <w:rPr>
          <w:rFonts w:eastAsia="仿宋_GB2312"/>
          <w:sz w:val="32"/>
        </w:rPr>
        <w:t>10</w:t>
      </w:r>
      <w:r>
        <w:rPr>
          <w:rFonts w:hint="eastAsia" w:eastAsia="仿宋_GB2312"/>
          <w:sz w:val="32"/>
        </w:rPr>
        <w:t>日</w:t>
      </w:r>
    </w:p>
    <w:p>
      <w:pPr>
        <w:autoSpaceDN w:val="0"/>
        <w:jc w:val="center"/>
        <w:textAlignment w:val="center"/>
        <w:rPr>
          <w:rFonts w:eastAsia="仿宋_GB2312"/>
          <w:sz w:val="32"/>
          <w:szCs w:val="32"/>
        </w:rPr>
        <w:sectPr>
          <w:headerReference r:id="rId3" w:type="default"/>
          <w:footerReference r:id="rId4" w:type="default"/>
          <w:footerReference r:id="rId5"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256"/>
        <w:gridCol w:w="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李燕</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8331797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3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组织群众文化活动、繁荣群众文化事业、文化宣传、文艺活动组织、业余创作团体管理、业余文艺创作组织、群众文艺理论研究、文化交流、民族民间文化艺术遗产收集整理与保护、编辑出版综合性文艺刊物、组织相关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numPr>
                <w:ilvl w:val="0"/>
                <w:numId w:val="2"/>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_GB2312" w:hAnsi="仿宋" w:eastAsia="仿宋_GB2312" w:cs="仿宋"/>
                <w:sz w:val="24"/>
                <w:lang w:val="en-US" w:eastAsia="zh-CN"/>
              </w:rPr>
              <w:t>组织开展庆祝建党100周年“百年颂歌献给党”系列活动；选拔优秀团队参加省厅举办的比赛活动；重点做好场馆“疫情”期间开放的防控工作；</w:t>
            </w:r>
          </w:p>
          <w:p>
            <w:pPr>
              <w:numPr>
                <w:ilvl w:val="0"/>
                <w:numId w:val="2"/>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rPr>
              <w:t>组织我市群众文艺创作优秀作品参加</w:t>
            </w:r>
            <w:r>
              <w:rPr>
                <w:rFonts w:hint="eastAsia" w:ascii="仿宋" w:hAnsi="仿宋" w:eastAsia="仿宋" w:cs="仿宋"/>
                <w:sz w:val="24"/>
                <w:lang w:eastAsia="zh-CN"/>
              </w:rPr>
              <w:t>湖南省</w:t>
            </w:r>
            <w:r>
              <w:rPr>
                <w:rFonts w:hint="eastAsia" w:ascii="仿宋" w:hAnsi="仿宋" w:eastAsia="仿宋" w:cs="仿宋"/>
                <w:sz w:val="24"/>
              </w:rPr>
              <w:t>第</w:t>
            </w:r>
            <w:r>
              <w:rPr>
                <w:rFonts w:hint="eastAsia" w:ascii="仿宋" w:hAnsi="仿宋" w:eastAsia="仿宋" w:cs="仿宋"/>
                <w:sz w:val="24"/>
                <w:lang w:eastAsia="zh-CN"/>
              </w:rPr>
              <w:t>七</w:t>
            </w:r>
            <w:r>
              <w:rPr>
                <w:rFonts w:hint="eastAsia" w:ascii="仿宋" w:hAnsi="仿宋" w:eastAsia="仿宋" w:cs="仿宋"/>
                <w:sz w:val="24"/>
              </w:rPr>
              <w:t>届艺术节</w:t>
            </w:r>
            <w:r>
              <w:rPr>
                <w:rFonts w:hint="eastAsia" w:ascii="仿宋" w:hAnsi="仿宋" w:eastAsia="仿宋" w:cs="仿宋"/>
                <w:sz w:val="24"/>
                <w:lang w:eastAsia="zh-CN"/>
              </w:rPr>
              <w:t>；开展社会主义核心价值观广场舞培训和赛事工作；</w:t>
            </w:r>
            <w:r>
              <w:rPr>
                <w:rFonts w:hint="eastAsia" w:ascii="仿宋" w:hAnsi="仿宋" w:eastAsia="仿宋" w:cs="仿宋"/>
                <w:sz w:val="24"/>
              </w:rPr>
              <w:t>完成全省“欢乐潇湘”群众文艺优秀作品展演及拍摄报送工作</w:t>
            </w:r>
            <w:r>
              <w:rPr>
                <w:rFonts w:hint="eastAsia" w:ascii="仿宋" w:hAnsi="仿宋" w:eastAsia="仿宋" w:cs="仿宋"/>
                <w:sz w:val="24"/>
                <w:lang w:eastAsia="zh-CN"/>
              </w:rPr>
              <w:t>。</w:t>
            </w:r>
          </w:p>
          <w:p>
            <w:pPr>
              <w:numPr>
                <w:ilvl w:val="0"/>
                <w:numId w:val="2"/>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rPr>
              <w:t>继续开展文化志愿服务工作，组织我市文化志愿者送文化进基层活动。</w:t>
            </w:r>
          </w:p>
          <w:p>
            <w:pPr>
              <w:numPr>
                <w:ilvl w:val="0"/>
                <w:numId w:val="2"/>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rPr>
              <w:t>完成“艺术课堂”手工达人艺术节</w:t>
            </w:r>
            <w:r>
              <w:rPr>
                <w:rFonts w:hint="eastAsia" w:ascii="仿宋" w:hAnsi="仿宋" w:eastAsia="仿宋" w:cs="仿宋"/>
                <w:sz w:val="24"/>
                <w:lang w:val="en-US" w:eastAsia="zh-CN"/>
              </w:rPr>
              <w:t>5</w:t>
            </w:r>
            <w:r>
              <w:rPr>
                <w:rFonts w:hint="eastAsia" w:ascii="仿宋" w:hAnsi="仿宋" w:eastAsia="仿宋" w:cs="仿宋"/>
                <w:sz w:val="24"/>
              </w:rPr>
              <w:t>节微视频的拍摄制作上报工作；继续开展数字化培训工作。举办面向县级文化馆、乡镇文化站、基层文艺团队、文化志愿者专题培训。</w:t>
            </w:r>
          </w:p>
          <w:p>
            <w:pPr>
              <w:numPr>
                <w:ilvl w:val="0"/>
                <w:numId w:val="2"/>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rPr>
              <w:t>《艺术岳阳》全年编辑出版2至4期。完成群众文艺理论调研论文2篇。</w:t>
            </w:r>
          </w:p>
          <w:p>
            <w:pPr>
              <w:numPr>
                <w:ilvl w:val="0"/>
                <w:numId w:val="2"/>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rPr>
              <w:t>数字文化馆开展数字化服务，全年采编、发布、上传群文信息，制作整理群文数字化资源。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ind w:firstLine="482" w:firstLineChars="20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rPr>
              <w:t>一、群文活动及培训：</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2月15日（正月初四），“我们的中国梦”——文化进万家活动岳阳市群艺馆送文化进基层在汴河街岳舞台隆重上演，组织群众文艺志愿者50余名，现场流动观众近万人。</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4月30日，“百年颂歌献给党”岳阳市庆祝建党100周年歌会活动正式启动。十余支群众合唱团队、2000余名群众在活动现场共唱红歌，在激昂嘹亮的歌声中热烈庆祝中国共产党建党100周年。</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月4日，为纪念五四青年运动102周年，组织全市七个县（市、区）文化馆青年骨干在华容县兔湖垸分馆举行了“五四”青年联谊活动。各馆业务专干“以文会友”，纷纷献上精彩节目，台上台下互动不断，气氛活跃。</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月份以来，市群艺馆各业务专干深入基层开展“我为群众办实事”主题活动，立足本职工作、服务群众需求，开创群众文化事业新局面。市群众艺术馆多名艺术专干深入县市区、企业、学校，指导群众文艺团队编排文艺节目，进基层辅导《社会主义核心价值观》广场舞及广播体操教学工作，面向基层文化馆站和群众文艺团队进行推广，以实际行动迎接中国共产党成立100周年。</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月24日，为备战第七届湖南艺术节，省文化和旅游厅公共服务处处长龚铁军率专家组一行来我市调研指导群文创作精品节目。我市推荐的花鼓小戏《风吹稻花香》、云溪区创作的花鼓小戏《学藤编》、湖南理工学院创作的舞蹈《楚韵·龙魂》进行了现场展演并开展专题研讨活动。</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5月31日，由市群艺馆承办的岳阳市“百年颂歌献给党”歌会市直群文团队专场活动在螺丝岛举行。13支市直群文合唱团队相聚岛上，把颂歌献给敬爱的党。</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月23日至6月30日，由我馆执行的庆祝建党100周年《百年颂歌献给党》大型歌会在会展中心进行了四场展演和一场大型汇演晚会。市委书记、市人大常委会主任王一鸥，市委副书记、市长李爱武等领导同志，同现场观众一起观看演出，感悟中国共产党历经百年始终不渝的初心使命，共同抒发在党的坚强领导下奋进新时代的壮志豪情。整台演出倾情演绎15首歌曲，演出大气磅礴、精彩纷呈、激荡人心。晚会取得圆满成功，现场得到了市委王一鸥书记和宣传部马娜部长对活动举办工作的肯定和表扬。</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月17日，由市文化旅游广电局指导、市群众艺术馆主办、南湖新区文旅招商局协办的“我们的节日·中秋”：“月是故乡明”第二届岳阳市“街头文化艺术节”中秋特别活动在茶博城和南湖广场举办。文化志愿者们走上街头，把优秀的文艺节目送到群众身边，与市民朋友共迎中秋佳节。</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9月28日，我馆配合局公服科举办了2021年全市公共文化服务体系高质量发展培训班，各县（市、区）文化馆馆长共计60人参加培训。 </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月29日，由岳阳市文化旅游广电局指导、岳阳市群众艺术馆主办、汨罗市文化馆协办的“我和我的祖国”第二届岳阳市“街头文化艺术节”国庆特别活动在汨罗市屈子公园举办。活动现场的市民、游客兴致高涨、积极参与，通过“汨语歌唱”直播间线上参与活动的观众热情互动，在直播间评论、点歌，整场活动收获线上点赞超过18万次。线上线下精彩联动，屈子公园成为了歌声的海洋，“街头文化艺术节”再次深入群众，共同庆祝国庆佳节到来。</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10月９日，根据第七届湖南艺术节“三湘群星奖”组委会的要求，岳阳地区节目选拔暨现场录制在岳阳文化艺术会展中心拉开帷幕，来自全市各县（市、区）的15个精品群文节目参与选拔录制。</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月20日上午，由岳阳市群众艺术馆、岳阳楼区文旅广体局主办，岳阳楼区文化馆承办，市、区两级美术、书法、摄影协会协办的“庆祝中国共产党成立100周年美术、书法、摄影精品邀请展”在我馆展厅进行展览。</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月3日，岳阳市群众艺术馆“书法进学校公益行”活动在郭镇中学举行，我馆副馆长徐驰与多位书法家现场挥毫泼墨，为老师和同学们创作出一幅幅精品，旨在弘扬中华优秀传统文化，加强青少年对中华优秀艺术文化认知，培养艺术赏析能力，提高美学素养。</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11月19日至12月9日，市群众艺术馆深入开展党史学习教育,扎实推进“我为群众办实事”实践活动,由副馆长蔡芳领队，深入社区、学校，指导群文团队编排文艺节目。</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12月3日，完成“岳阳市手工达人艺术节微视频”项目全部拍摄，现已进入后期制作环节，预计很快就能通过网络平台向全网群众进行推广，进一步提升我馆数字文化优质服务内容的传播覆盖面，</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月5日上午，由湖南省文化和旅游厅、湖南省文明办、湖南省民政厅、共青团湖南省委、湖南省妇女联合会主办，省文化和旅游厅文化志愿服务总队、岳阳市文化旅游广电局、岳阳市文明办、岳阳市民政局、共青团岳阳市委、岳阳市妇女联合会承办，岳阳市巴陵戏传承研究院、岳阳市群众艺术馆、汨罗市文化旅游广电局、汨罗市文明办、共青团汨罗市委、汨罗市妇女联合会执行的【到群众最需要的地方去】“锦绣湘村”——文旅志愿服务走进乡村旅游目的地活动岳阳·汨罗专场在汨罗市白水镇西长村举行。我馆组织二十多名文旅志愿者现场开展送文艺节目、送春联、送《艺术岳阳》等文化活动。</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12月15日至24日，第七届湖南艺术节群众文化活动在益阳举行，我市选送的8个优秀节目将亮相本届艺术节与其他市州的节目同台绽放，为全省人民奉上一道精神的文化盛宴。</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今年，我馆常态化开设了“全民艺术普及培训班”，共开设了舞蹈、声乐、合唱等专业班，参与群众积极性高，取得了较好的社会影响。</w:t>
            </w:r>
          </w:p>
          <w:p>
            <w:pPr>
              <w:autoSpaceDN w:val="0"/>
              <w:spacing w:line="320" w:lineRule="exact"/>
              <w:ind w:firstLine="482" w:firstLineChars="20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lang w:eastAsia="zh-CN"/>
              </w:rPr>
              <w:t>二</w:t>
            </w:r>
            <w:r>
              <w:rPr>
                <w:rFonts w:hint="eastAsia" w:ascii="仿宋_GB2312" w:hAnsi="仿宋_GB2312" w:eastAsia="仿宋_GB2312" w:cs="仿宋_GB2312"/>
                <w:b/>
                <w:bCs/>
                <w:color w:val="000000"/>
                <w:sz w:val="24"/>
              </w:rPr>
              <w:t>、数字文化馆及信息工作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今年我们在微信公众平台、数字化信息平台、湖南公共文旅云、市文旅广电局官网等各类数字化服务平台编辑发布各类信息资讯200余条，上传数字资源近100G，获评文旅广系统宣传信息工作先进单位，手工达人艺术节活动”被评为岳阳市文化旅游广电工作优秀案例。</w:t>
            </w:r>
          </w:p>
          <w:p>
            <w:pPr>
              <w:autoSpaceDN w:val="0"/>
              <w:spacing w:line="320" w:lineRule="exact"/>
              <w:ind w:firstLine="482" w:firstLineChars="200"/>
              <w:jc w:val="left"/>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b/>
                <w:bCs/>
                <w:color w:val="000000"/>
                <w:sz w:val="24"/>
                <w:lang w:eastAsia="zh-CN"/>
              </w:rPr>
              <w:t>三</w:t>
            </w:r>
            <w:r>
              <w:rPr>
                <w:rFonts w:hint="eastAsia" w:ascii="仿宋_GB2312" w:hAnsi="仿宋_GB2312" w:eastAsia="仿宋_GB2312" w:cs="仿宋_GB2312"/>
                <w:b/>
                <w:bCs/>
                <w:color w:val="000000"/>
                <w:sz w:val="24"/>
              </w:rPr>
              <w:t>、《艺术岳阳》及群文理论调研工作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今年11月份，由中国文化馆协会期刊与知识服务委员举办的第四届全国文化（群艺）馆期刊交流展示结果公布，我馆主办的期刊《艺术岳阳》荣膺入围全国文化馆期刊展示，袁雄斌被推荐为“2021年度编辑”。《艺术岳阳》2021年按时完成了出刊二期任务。</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岳阳市群艺馆</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392.67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7.33</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323.84</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660" w:type="dxa"/>
            <w:gridSpan w:val="3"/>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85" w:type="dxa"/>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60" w:type="dxa"/>
            <w:gridSpan w:val="3"/>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8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岳阳市群艺馆</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392.67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237.12</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212.80</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24.32</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140.42</w:t>
            </w:r>
          </w:p>
        </w:tc>
        <w:tc>
          <w:tcPr>
            <w:tcW w:w="66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15.13</w:t>
            </w:r>
          </w:p>
        </w:tc>
        <w:tc>
          <w:tcPr>
            <w:tcW w:w="685" w:type="dxa"/>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岳阳市群艺馆</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0.6</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0.6</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岳阳市美术馆</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214.88</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214.88</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3774" w:type="dxa"/>
            <w:gridSpan w:val="7"/>
            <w:vAlign w:val="center"/>
          </w:tcPr>
          <w:p>
            <w:pPr>
              <w:numPr>
                <w:ilvl w:val="0"/>
                <w:numId w:val="0"/>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_GB2312" w:hAnsi="仿宋" w:eastAsia="仿宋_GB2312" w:cs="仿宋"/>
                <w:sz w:val="24"/>
                <w:lang w:val="en-US" w:eastAsia="zh-CN"/>
              </w:rPr>
              <w:t>1、组织开展庆祝建党100周年“百年颂歌献给党”系列活动；选拔优秀团队参加省厅举办的比赛活动；重点做好场馆“疫情”期间开放的防控工作；</w:t>
            </w:r>
          </w:p>
          <w:p>
            <w:pPr>
              <w:numPr>
                <w:ilvl w:val="0"/>
                <w:numId w:val="0"/>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lang w:val="en-US" w:eastAsia="zh-CN"/>
              </w:rPr>
              <w:t>2、</w:t>
            </w:r>
            <w:r>
              <w:rPr>
                <w:rFonts w:hint="eastAsia" w:ascii="仿宋" w:hAnsi="仿宋" w:eastAsia="仿宋" w:cs="仿宋"/>
                <w:sz w:val="24"/>
              </w:rPr>
              <w:t>组织我市群众文艺创作优秀作品参加</w:t>
            </w:r>
            <w:r>
              <w:rPr>
                <w:rFonts w:hint="eastAsia" w:ascii="仿宋" w:hAnsi="仿宋" w:eastAsia="仿宋" w:cs="仿宋"/>
                <w:sz w:val="24"/>
                <w:lang w:eastAsia="zh-CN"/>
              </w:rPr>
              <w:t>湖南省</w:t>
            </w:r>
            <w:r>
              <w:rPr>
                <w:rFonts w:hint="eastAsia" w:ascii="仿宋" w:hAnsi="仿宋" w:eastAsia="仿宋" w:cs="仿宋"/>
                <w:sz w:val="24"/>
              </w:rPr>
              <w:t>第</w:t>
            </w:r>
            <w:r>
              <w:rPr>
                <w:rFonts w:hint="eastAsia" w:ascii="仿宋" w:hAnsi="仿宋" w:eastAsia="仿宋" w:cs="仿宋"/>
                <w:sz w:val="24"/>
                <w:lang w:eastAsia="zh-CN"/>
              </w:rPr>
              <w:t>七</w:t>
            </w:r>
            <w:r>
              <w:rPr>
                <w:rFonts w:hint="eastAsia" w:ascii="仿宋" w:hAnsi="仿宋" w:eastAsia="仿宋" w:cs="仿宋"/>
                <w:sz w:val="24"/>
              </w:rPr>
              <w:t>届艺术节</w:t>
            </w:r>
            <w:r>
              <w:rPr>
                <w:rFonts w:hint="eastAsia" w:ascii="仿宋" w:hAnsi="仿宋" w:eastAsia="仿宋" w:cs="仿宋"/>
                <w:sz w:val="24"/>
                <w:lang w:eastAsia="zh-CN"/>
              </w:rPr>
              <w:t>；开展社会主义核心价值观广场舞培训和赛事工作；</w:t>
            </w:r>
            <w:r>
              <w:rPr>
                <w:rFonts w:hint="eastAsia" w:ascii="仿宋" w:hAnsi="仿宋" w:eastAsia="仿宋" w:cs="仿宋"/>
                <w:sz w:val="24"/>
              </w:rPr>
              <w:t>完成全省“欢乐潇湘”群众文艺优秀作品展演及拍摄报送工作</w:t>
            </w:r>
            <w:r>
              <w:rPr>
                <w:rFonts w:hint="eastAsia" w:ascii="仿宋" w:hAnsi="仿宋" w:eastAsia="仿宋" w:cs="仿宋"/>
                <w:sz w:val="24"/>
                <w:lang w:eastAsia="zh-CN"/>
              </w:rPr>
              <w:t>。</w:t>
            </w:r>
          </w:p>
          <w:p>
            <w:pPr>
              <w:numPr>
                <w:ilvl w:val="0"/>
                <w:numId w:val="0"/>
              </w:numPr>
              <w:autoSpaceDN w:val="0"/>
              <w:spacing w:line="320" w:lineRule="exact"/>
              <w:jc w:val="left"/>
              <w:textAlignment w:val="cente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继续开展文化志愿服务工作，组织我市文化志愿者送文化进基层活动。</w:t>
            </w:r>
          </w:p>
          <w:p>
            <w:pPr>
              <w:numPr>
                <w:ilvl w:val="0"/>
                <w:numId w:val="0"/>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lang w:val="en-US" w:eastAsia="zh-CN"/>
              </w:rPr>
              <w:t>4、</w:t>
            </w:r>
            <w:r>
              <w:rPr>
                <w:rFonts w:hint="eastAsia" w:ascii="仿宋" w:hAnsi="仿宋" w:eastAsia="仿宋" w:cs="仿宋"/>
                <w:sz w:val="24"/>
              </w:rPr>
              <w:t>完成“艺术课堂”手工达人艺术节</w:t>
            </w:r>
            <w:r>
              <w:rPr>
                <w:rFonts w:hint="eastAsia" w:ascii="仿宋" w:hAnsi="仿宋" w:eastAsia="仿宋" w:cs="仿宋"/>
                <w:sz w:val="24"/>
                <w:lang w:val="en-US" w:eastAsia="zh-CN"/>
              </w:rPr>
              <w:t>5</w:t>
            </w:r>
            <w:r>
              <w:rPr>
                <w:rFonts w:hint="eastAsia" w:ascii="仿宋" w:hAnsi="仿宋" w:eastAsia="仿宋" w:cs="仿宋"/>
                <w:sz w:val="24"/>
              </w:rPr>
              <w:t>节微视频的拍摄制作上报工作；继续开展数字化培训工作。举办面向县级文化馆、乡镇文化站、基层文艺团队、文化志愿者专题培训。</w:t>
            </w:r>
          </w:p>
          <w:p>
            <w:pPr>
              <w:numPr>
                <w:ilvl w:val="0"/>
                <w:numId w:val="0"/>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lang w:val="en-US" w:eastAsia="zh-CN"/>
              </w:rPr>
              <w:t>5、</w:t>
            </w:r>
            <w:r>
              <w:rPr>
                <w:rFonts w:hint="eastAsia" w:ascii="仿宋" w:hAnsi="仿宋" w:eastAsia="仿宋" w:cs="仿宋"/>
                <w:sz w:val="24"/>
              </w:rPr>
              <w:t>《艺术岳阳》全年编辑出版2至4期。完成群众文艺理论调研论文2篇。</w:t>
            </w:r>
          </w:p>
          <w:p>
            <w:pPr>
              <w:numPr>
                <w:ilvl w:val="0"/>
                <w:numId w:val="0"/>
              </w:numPr>
              <w:autoSpaceDN w:val="0"/>
              <w:spacing w:line="320" w:lineRule="exact"/>
              <w:jc w:val="left"/>
              <w:textAlignment w:val="center"/>
              <w:rPr>
                <w:rFonts w:hint="eastAsia" w:ascii="仿宋_GB2312" w:hAnsi="仿宋" w:eastAsia="仿宋_GB2312" w:cs="仿宋"/>
                <w:kern w:val="2"/>
                <w:sz w:val="24"/>
                <w:szCs w:val="24"/>
                <w:lang w:val="en-US" w:eastAsia="zh-CN" w:bidi="ar-SA"/>
              </w:rPr>
            </w:pPr>
            <w:r>
              <w:rPr>
                <w:rFonts w:hint="eastAsia" w:ascii="仿宋" w:hAnsi="仿宋" w:eastAsia="仿宋" w:cs="仿宋"/>
                <w:sz w:val="24"/>
                <w:lang w:val="en-US" w:eastAsia="zh-CN"/>
              </w:rPr>
              <w:t>6、</w:t>
            </w:r>
            <w:r>
              <w:rPr>
                <w:rFonts w:hint="eastAsia" w:ascii="仿宋" w:hAnsi="仿宋" w:eastAsia="仿宋" w:cs="仿宋"/>
                <w:sz w:val="24"/>
              </w:rPr>
              <w:t>数字文化馆开展数字化服务，全年采编、发布、上传群文信息，制作整理群文数字化资源。</w:t>
            </w:r>
          </w:p>
        </w:tc>
        <w:tc>
          <w:tcPr>
            <w:tcW w:w="4585" w:type="dxa"/>
            <w:gridSpan w:val="9"/>
            <w:vAlign w:val="center"/>
          </w:tcPr>
          <w:p>
            <w:pPr>
              <w:numPr>
                <w:ilvl w:val="0"/>
                <w:numId w:val="0"/>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_GB2312" w:hAnsi="仿宋" w:eastAsia="仿宋_GB2312" w:cs="仿宋"/>
                <w:sz w:val="24"/>
                <w:lang w:val="en-US" w:eastAsia="zh-CN"/>
              </w:rPr>
              <w:t>1、完成了庆祝建党100周年“百年颂歌献给党”系列活动；选拔优秀团队参加省厅举办的比赛活动；按要求做好了场馆“疫情”期间开放的防控工作；</w:t>
            </w:r>
          </w:p>
          <w:p>
            <w:pPr>
              <w:numPr>
                <w:ilvl w:val="0"/>
                <w:numId w:val="0"/>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lang w:val="en-US" w:eastAsia="zh-CN"/>
              </w:rPr>
              <w:t>2、完成了</w:t>
            </w:r>
            <w:r>
              <w:rPr>
                <w:rFonts w:hint="eastAsia" w:ascii="仿宋" w:hAnsi="仿宋" w:eastAsia="仿宋" w:cs="仿宋"/>
                <w:sz w:val="24"/>
              </w:rPr>
              <w:t>组织我市群众文艺创作优秀作品参加</w:t>
            </w:r>
            <w:r>
              <w:rPr>
                <w:rFonts w:hint="eastAsia" w:ascii="仿宋" w:hAnsi="仿宋" w:eastAsia="仿宋" w:cs="仿宋"/>
                <w:sz w:val="24"/>
                <w:lang w:eastAsia="zh-CN"/>
              </w:rPr>
              <w:t>湖南省</w:t>
            </w:r>
            <w:r>
              <w:rPr>
                <w:rFonts w:hint="eastAsia" w:ascii="仿宋" w:hAnsi="仿宋" w:eastAsia="仿宋" w:cs="仿宋"/>
                <w:sz w:val="24"/>
              </w:rPr>
              <w:t>第</w:t>
            </w:r>
            <w:r>
              <w:rPr>
                <w:rFonts w:hint="eastAsia" w:ascii="仿宋" w:hAnsi="仿宋" w:eastAsia="仿宋" w:cs="仿宋"/>
                <w:sz w:val="24"/>
                <w:lang w:eastAsia="zh-CN"/>
              </w:rPr>
              <w:t>七</w:t>
            </w:r>
            <w:r>
              <w:rPr>
                <w:rFonts w:hint="eastAsia" w:ascii="仿宋" w:hAnsi="仿宋" w:eastAsia="仿宋" w:cs="仿宋"/>
                <w:sz w:val="24"/>
              </w:rPr>
              <w:t>届艺术节</w:t>
            </w:r>
            <w:r>
              <w:rPr>
                <w:rFonts w:hint="eastAsia" w:ascii="仿宋" w:hAnsi="仿宋" w:eastAsia="仿宋" w:cs="仿宋"/>
                <w:sz w:val="24"/>
                <w:lang w:eastAsia="zh-CN"/>
              </w:rPr>
              <w:t>；开展社会主义核心价值观广场舞培训和赛事工作；</w:t>
            </w:r>
            <w:r>
              <w:rPr>
                <w:rFonts w:hint="eastAsia" w:ascii="仿宋" w:hAnsi="仿宋" w:eastAsia="仿宋" w:cs="仿宋"/>
                <w:sz w:val="24"/>
              </w:rPr>
              <w:t>完成</w:t>
            </w:r>
            <w:r>
              <w:rPr>
                <w:rFonts w:hint="eastAsia" w:ascii="仿宋" w:hAnsi="仿宋" w:eastAsia="仿宋" w:cs="仿宋"/>
                <w:sz w:val="24"/>
                <w:lang w:eastAsia="zh-CN"/>
              </w:rPr>
              <w:t>了</w:t>
            </w:r>
            <w:r>
              <w:rPr>
                <w:rFonts w:hint="eastAsia" w:ascii="仿宋" w:hAnsi="仿宋" w:eastAsia="仿宋" w:cs="仿宋"/>
                <w:sz w:val="24"/>
              </w:rPr>
              <w:t>全省“欢乐潇湘”群众文艺优秀作品展演及拍摄报送工作</w:t>
            </w:r>
            <w:r>
              <w:rPr>
                <w:rFonts w:hint="eastAsia" w:ascii="仿宋" w:hAnsi="仿宋" w:eastAsia="仿宋" w:cs="仿宋"/>
                <w:sz w:val="24"/>
                <w:lang w:eastAsia="zh-CN"/>
              </w:rPr>
              <w:t>。</w:t>
            </w:r>
          </w:p>
          <w:p>
            <w:pPr>
              <w:numPr>
                <w:ilvl w:val="0"/>
                <w:numId w:val="0"/>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lang w:val="en-US" w:eastAsia="zh-CN"/>
              </w:rPr>
              <w:t>3、完成了</w:t>
            </w:r>
            <w:r>
              <w:rPr>
                <w:rFonts w:hint="eastAsia" w:ascii="仿宋" w:hAnsi="仿宋" w:eastAsia="仿宋" w:cs="仿宋"/>
                <w:sz w:val="24"/>
              </w:rPr>
              <w:t>文化志愿服务工作，组织</w:t>
            </w:r>
            <w:r>
              <w:rPr>
                <w:rFonts w:hint="eastAsia" w:ascii="仿宋" w:hAnsi="仿宋" w:eastAsia="仿宋" w:cs="仿宋"/>
                <w:sz w:val="24"/>
                <w:lang w:eastAsia="zh-CN"/>
              </w:rPr>
              <w:t>开展了</w:t>
            </w:r>
            <w:r>
              <w:rPr>
                <w:rFonts w:hint="eastAsia" w:ascii="仿宋" w:hAnsi="仿宋" w:eastAsia="仿宋" w:cs="仿宋"/>
                <w:sz w:val="24"/>
              </w:rPr>
              <w:t>我市文化志愿者送文化进基层活动。</w:t>
            </w:r>
          </w:p>
          <w:p>
            <w:pPr>
              <w:numPr>
                <w:ilvl w:val="0"/>
                <w:numId w:val="0"/>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lang w:val="en-US" w:eastAsia="zh-CN"/>
              </w:rPr>
              <w:t>4、按目标任务</w:t>
            </w:r>
            <w:r>
              <w:rPr>
                <w:rFonts w:hint="eastAsia" w:ascii="仿宋" w:hAnsi="仿宋" w:eastAsia="仿宋" w:cs="仿宋"/>
                <w:sz w:val="24"/>
              </w:rPr>
              <w:t>完成</w:t>
            </w:r>
            <w:r>
              <w:rPr>
                <w:rFonts w:hint="eastAsia" w:ascii="仿宋" w:hAnsi="仿宋" w:eastAsia="仿宋" w:cs="仿宋"/>
                <w:sz w:val="24"/>
                <w:lang w:eastAsia="zh-CN"/>
              </w:rPr>
              <w:t>了</w:t>
            </w:r>
            <w:r>
              <w:rPr>
                <w:rFonts w:hint="eastAsia" w:ascii="仿宋" w:hAnsi="仿宋" w:eastAsia="仿宋" w:cs="仿宋"/>
                <w:sz w:val="24"/>
              </w:rPr>
              <w:t>“艺术课堂”手工达人艺术节</w:t>
            </w:r>
            <w:r>
              <w:rPr>
                <w:rFonts w:hint="eastAsia" w:ascii="仿宋" w:hAnsi="仿宋" w:eastAsia="仿宋" w:cs="仿宋"/>
                <w:sz w:val="24"/>
                <w:lang w:val="en-US" w:eastAsia="zh-CN"/>
              </w:rPr>
              <w:t>5</w:t>
            </w:r>
            <w:r>
              <w:rPr>
                <w:rFonts w:hint="eastAsia" w:ascii="仿宋" w:hAnsi="仿宋" w:eastAsia="仿宋" w:cs="仿宋"/>
                <w:sz w:val="24"/>
              </w:rPr>
              <w:t>节微视频的拍摄制作上报工作；开展</w:t>
            </w:r>
            <w:r>
              <w:rPr>
                <w:rFonts w:hint="eastAsia" w:ascii="仿宋" w:hAnsi="仿宋" w:eastAsia="仿宋" w:cs="仿宋"/>
                <w:sz w:val="24"/>
                <w:lang w:eastAsia="zh-CN"/>
              </w:rPr>
              <w:t>了</w:t>
            </w:r>
            <w:r>
              <w:rPr>
                <w:rFonts w:hint="eastAsia" w:ascii="仿宋" w:hAnsi="仿宋" w:eastAsia="仿宋" w:cs="仿宋"/>
                <w:sz w:val="24"/>
              </w:rPr>
              <w:t>数字化培训工作。举办</w:t>
            </w:r>
            <w:r>
              <w:rPr>
                <w:rFonts w:hint="eastAsia" w:ascii="仿宋" w:hAnsi="仿宋" w:eastAsia="仿宋" w:cs="仿宋"/>
                <w:sz w:val="24"/>
                <w:lang w:eastAsia="zh-CN"/>
              </w:rPr>
              <w:t>了一期</w:t>
            </w:r>
            <w:r>
              <w:rPr>
                <w:rFonts w:hint="eastAsia" w:ascii="仿宋" w:hAnsi="仿宋" w:eastAsia="仿宋" w:cs="仿宋"/>
                <w:sz w:val="24"/>
              </w:rPr>
              <w:t>面向县级文化馆、乡镇文化站、基层文艺团队、文化志愿者专题培训。</w:t>
            </w:r>
          </w:p>
          <w:p>
            <w:pPr>
              <w:numPr>
                <w:ilvl w:val="0"/>
                <w:numId w:val="0"/>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lang w:val="en-US" w:eastAsia="zh-CN"/>
              </w:rPr>
              <w:t>5、</w:t>
            </w:r>
            <w:r>
              <w:rPr>
                <w:rFonts w:hint="eastAsia" w:ascii="仿宋" w:hAnsi="仿宋" w:eastAsia="仿宋" w:cs="仿宋"/>
                <w:sz w:val="24"/>
              </w:rPr>
              <w:t>《艺术岳阳》全年编辑出版2</w:t>
            </w:r>
            <w:r>
              <w:rPr>
                <w:rFonts w:hint="eastAsia" w:ascii="仿宋" w:hAnsi="仿宋" w:eastAsia="仿宋" w:cs="仿宋"/>
                <w:sz w:val="24"/>
                <w:lang w:eastAsia="zh-CN"/>
              </w:rPr>
              <w:t>期</w:t>
            </w:r>
            <w:r>
              <w:rPr>
                <w:rFonts w:hint="eastAsia" w:ascii="仿宋" w:hAnsi="仿宋" w:eastAsia="仿宋" w:cs="仿宋"/>
                <w:sz w:val="24"/>
              </w:rPr>
              <w:t>。完成群众文艺理论调研论文</w:t>
            </w:r>
            <w:r>
              <w:rPr>
                <w:rFonts w:hint="eastAsia" w:ascii="仿宋" w:hAnsi="仿宋" w:eastAsia="仿宋" w:cs="仿宋"/>
                <w:sz w:val="24"/>
                <w:lang w:val="en-US" w:eastAsia="zh-CN"/>
              </w:rPr>
              <w:t>3</w:t>
            </w:r>
            <w:r>
              <w:rPr>
                <w:rFonts w:hint="eastAsia" w:ascii="仿宋" w:hAnsi="仿宋" w:eastAsia="仿宋" w:cs="仿宋"/>
                <w:sz w:val="24"/>
              </w:rPr>
              <w:t>篇。</w:t>
            </w:r>
          </w:p>
          <w:p>
            <w:pPr>
              <w:numPr>
                <w:ilvl w:val="0"/>
                <w:numId w:val="0"/>
              </w:numPr>
              <w:autoSpaceDN w:val="0"/>
              <w:spacing w:line="320" w:lineRule="exact"/>
              <w:jc w:val="left"/>
              <w:textAlignment w:val="center"/>
              <w:rPr>
                <w:rFonts w:hint="eastAsia" w:ascii="仿宋_GB2312" w:hAnsi="仿宋" w:eastAsia="仿宋_GB2312" w:cs="仿宋"/>
                <w:kern w:val="2"/>
                <w:sz w:val="24"/>
                <w:szCs w:val="24"/>
                <w:lang w:val="en-US" w:eastAsia="zh-CN" w:bidi="ar-SA"/>
              </w:rPr>
            </w:pPr>
            <w:r>
              <w:rPr>
                <w:rFonts w:hint="eastAsia" w:ascii="仿宋" w:hAnsi="仿宋" w:eastAsia="仿宋" w:cs="仿宋"/>
                <w:sz w:val="24"/>
                <w:lang w:val="en-US" w:eastAsia="zh-CN"/>
              </w:rPr>
              <w:t>6、完成了</w:t>
            </w:r>
            <w:r>
              <w:rPr>
                <w:rFonts w:hint="eastAsia" w:ascii="仿宋" w:hAnsi="仿宋" w:eastAsia="仿宋" w:cs="仿宋"/>
                <w:sz w:val="24"/>
              </w:rPr>
              <w:t>数字文化馆开展数字化服务，编辑发布各类信息资讯200余条，上传数字资源近100G，获评文旅广系统宣传信息工作先进单位，手工达人艺术节活动”被评为岳阳市文化旅游广电工作优秀案例。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已完成全年目标管理任务</w:t>
            </w:r>
          </w:p>
        </w:tc>
        <w:tc>
          <w:tcPr>
            <w:tcW w:w="2684" w:type="dxa"/>
            <w:gridSpan w:val="6"/>
            <w:vAlign w:val="center"/>
          </w:tcPr>
          <w:p>
            <w:pPr>
              <w:autoSpaceDN w:val="0"/>
              <w:spacing w:line="320" w:lineRule="exac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spacing w:line="320" w:lineRule="exact"/>
              <w:rPr>
                <w:rFonts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20" w:lineRule="exact"/>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4"/>
            <w:vAlign w:val="center"/>
          </w:tcPr>
          <w:p>
            <w:pPr>
              <w:numPr>
                <w:ilvl w:val="0"/>
                <w:numId w:val="0"/>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_GB2312" w:hAnsi="仿宋" w:eastAsia="仿宋_GB2312" w:cs="仿宋"/>
                <w:sz w:val="24"/>
                <w:lang w:val="en-US" w:eastAsia="zh-CN"/>
              </w:rPr>
              <w:t>1、完成了庆祝建党100周年“百年颂歌献给党”系列活动十多场；</w:t>
            </w:r>
          </w:p>
          <w:p>
            <w:pPr>
              <w:numPr>
                <w:ilvl w:val="0"/>
                <w:numId w:val="0"/>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lang w:val="en-US" w:eastAsia="zh-CN"/>
              </w:rPr>
              <w:t>2、完成了</w:t>
            </w:r>
            <w:r>
              <w:rPr>
                <w:rFonts w:hint="eastAsia" w:ascii="仿宋" w:hAnsi="仿宋" w:eastAsia="仿宋" w:cs="仿宋"/>
                <w:sz w:val="24"/>
              </w:rPr>
              <w:t>组织我市群众文艺创作</w:t>
            </w:r>
            <w:r>
              <w:rPr>
                <w:rFonts w:hint="eastAsia" w:ascii="仿宋" w:hAnsi="仿宋" w:eastAsia="仿宋" w:cs="仿宋"/>
                <w:sz w:val="24"/>
                <w:lang w:val="en-US" w:eastAsia="zh-CN"/>
              </w:rPr>
              <w:t>10多个</w:t>
            </w:r>
            <w:r>
              <w:rPr>
                <w:rFonts w:hint="eastAsia" w:ascii="仿宋" w:hAnsi="仿宋" w:eastAsia="仿宋" w:cs="仿宋"/>
                <w:sz w:val="24"/>
              </w:rPr>
              <w:t>优秀作品参加</w:t>
            </w:r>
            <w:r>
              <w:rPr>
                <w:rFonts w:hint="eastAsia" w:ascii="仿宋" w:hAnsi="仿宋" w:eastAsia="仿宋" w:cs="仿宋"/>
                <w:sz w:val="24"/>
                <w:lang w:eastAsia="zh-CN"/>
              </w:rPr>
              <w:t>湖南省</w:t>
            </w:r>
            <w:r>
              <w:rPr>
                <w:rFonts w:hint="eastAsia" w:ascii="仿宋" w:hAnsi="仿宋" w:eastAsia="仿宋" w:cs="仿宋"/>
                <w:sz w:val="24"/>
              </w:rPr>
              <w:t>第</w:t>
            </w:r>
            <w:r>
              <w:rPr>
                <w:rFonts w:hint="eastAsia" w:ascii="仿宋" w:hAnsi="仿宋" w:eastAsia="仿宋" w:cs="仿宋"/>
                <w:sz w:val="24"/>
                <w:lang w:eastAsia="zh-CN"/>
              </w:rPr>
              <w:t>七</w:t>
            </w:r>
            <w:r>
              <w:rPr>
                <w:rFonts w:hint="eastAsia" w:ascii="仿宋" w:hAnsi="仿宋" w:eastAsia="仿宋" w:cs="仿宋"/>
                <w:sz w:val="24"/>
              </w:rPr>
              <w:t>届艺术节</w:t>
            </w:r>
            <w:r>
              <w:rPr>
                <w:rFonts w:hint="eastAsia" w:ascii="仿宋" w:hAnsi="仿宋" w:eastAsia="仿宋" w:cs="仿宋"/>
                <w:sz w:val="24"/>
                <w:lang w:eastAsia="zh-CN"/>
              </w:rPr>
              <w:t>；开展社会主义核心价值观广场舞培训和赛事工作</w:t>
            </w:r>
            <w:r>
              <w:rPr>
                <w:rFonts w:hint="eastAsia" w:ascii="仿宋" w:hAnsi="仿宋" w:eastAsia="仿宋" w:cs="仿宋"/>
                <w:sz w:val="24"/>
                <w:lang w:val="en-US" w:eastAsia="zh-CN"/>
              </w:rPr>
              <w:t>5场次</w:t>
            </w:r>
            <w:r>
              <w:rPr>
                <w:rFonts w:hint="eastAsia" w:ascii="仿宋" w:hAnsi="仿宋" w:eastAsia="仿宋" w:cs="仿宋"/>
                <w:sz w:val="24"/>
                <w:lang w:eastAsia="zh-CN"/>
              </w:rPr>
              <w:t>。</w:t>
            </w:r>
          </w:p>
          <w:p>
            <w:pPr>
              <w:numPr>
                <w:ilvl w:val="0"/>
                <w:numId w:val="0"/>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lang w:val="en-US" w:eastAsia="zh-CN"/>
              </w:rPr>
              <w:t>3、完成了</w:t>
            </w:r>
            <w:r>
              <w:rPr>
                <w:rFonts w:hint="eastAsia" w:ascii="仿宋" w:hAnsi="仿宋" w:eastAsia="仿宋" w:cs="仿宋"/>
                <w:sz w:val="24"/>
              </w:rPr>
              <w:t>文化志愿服务工作，组织</w:t>
            </w:r>
            <w:r>
              <w:rPr>
                <w:rFonts w:hint="eastAsia" w:ascii="仿宋" w:hAnsi="仿宋" w:eastAsia="仿宋" w:cs="仿宋"/>
                <w:sz w:val="24"/>
                <w:lang w:eastAsia="zh-CN"/>
              </w:rPr>
              <w:t>开展了</w:t>
            </w:r>
            <w:r>
              <w:rPr>
                <w:rFonts w:hint="eastAsia" w:ascii="仿宋" w:hAnsi="仿宋" w:eastAsia="仿宋" w:cs="仿宋"/>
                <w:sz w:val="24"/>
              </w:rPr>
              <w:t>我市文化志愿者送文化进基层活动</w:t>
            </w:r>
            <w:r>
              <w:rPr>
                <w:rFonts w:hint="eastAsia" w:ascii="仿宋" w:hAnsi="仿宋" w:eastAsia="仿宋" w:cs="仿宋"/>
                <w:sz w:val="24"/>
                <w:lang w:val="en-US" w:eastAsia="zh-CN"/>
              </w:rPr>
              <w:t>10场次</w:t>
            </w:r>
            <w:r>
              <w:rPr>
                <w:rFonts w:hint="eastAsia" w:ascii="仿宋" w:hAnsi="仿宋" w:eastAsia="仿宋" w:cs="仿宋"/>
                <w:sz w:val="24"/>
              </w:rPr>
              <w:t>。</w:t>
            </w:r>
          </w:p>
          <w:p>
            <w:pPr>
              <w:numPr>
                <w:ilvl w:val="0"/>
                <w:numId w:val="0"/>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lang w:val="en-US" w:eastAsia="zh-CN"/>
              </w:rPr>
              <w:t>4、按目标任务</w:t>
            </w:r>
            <w:r>
              <w:rPr>
                <w:rFonts w:hint="eastAsia" w:ascii="仿宋" w:hAnsi="仿宋" w:eastAsia="仿宋" w:cs="仿宋"/>
                <w:sz w:val="24"/>
              </w:rPr>
              <w:t>完成</w:t>
            </w:r>
            <w:r>
              <w:rPr>
                <w:rFonts w:hint="eastAsia" w:ascii="仿宋" w:hAnsi="仿宋" w:eastAsia="仿宋" w:cs="仿宋"/>
                <w:sz w:val="24"/>
                <w:lang w:eastAsia="zh-CN"/>
              </w:rPr>
              <w:t>了</w:t>
            </w:r>
            <w:r>
              <w:rPr>
                <w:rFonts w:hint="eastAsia" w:ascii="仿宋" w:hAnsi="仿宋" w:eastAsia="仿宋" w:cs="仿宋"/>
                <w:sz w:val="24"/>
              </w:rPr>
              <w:t>“艺术课堂”手工达人艺术节</w:t>
            </w:r>
            <w:r>
              <w:rPr>
                <w:rFonts w:hint="eastAsia" w:ascii="仿宋" w:hAnsi="仿宋" w:eastAsia="仿宋" w:cs="仿宋"/>
                <w:sz w:val="24"/>
                <w:lang w:val="en-US" w:eastAsia="zh-CN"/>
              </w:rPr>
              <w:t>5</w:t>
            </w:r>
            <w:r>
              <w:rPr>
                <w:rFonts w:hint="eastAsia" w:ascii="仿宋" w:hAnsi="仿宋" w:eastAsia="仿宋" w:cs="仿宋"/>
                <w:sz w:val="24"/>
              </w:rPr>
              <w:t>节微视频的拍摄制作上报工作；举办</w:t>
            </w:r>
            <w:r>
              <w:rPr>
                <w:rFonts w:hint="eastAsia" w:ascii="仿宋" w:hAnsi="仿宋" w:eastAsia="仿宋" w:cs="仿宋"/>
                <w:sz w:val="24"/>
                <w:lang w:eastAsia="zh-CN"/>
              </w:rPr>
              <w:t>了一期</w:t>
            </w:r>
            <w:r>
              <w:rPr>
                <w:rFonts w:hint="eastAsia" w:ascii="仿宋" w:hAnsi="仿宋" w:eastAsia="仿宋" w:cs="仿宋"/>
                <w:sz w:val="24"/>
              </w:rPr>
              <w:t>面向县级文化馆、乡镇文化站、基层文艺团队、文化志愿者专题培训。</w:t>
            </w:r>
          </w:p>
          <w:p>
            <w:pPr>
              <w:numPr>
                <w:ilvl w:val="0"/>
                <w:numId w:val="0"/>
              </w:numPr>
              <w:autoSpaceDN w:val="0"/>
              <w:spacing w:line="320" w:lineRule="exact"/>
              <w:jc w:val="left"/>
              <w:textAlignment w:val="center"/>
              <w:rPr>
                <w:rFonts w:hint="eastAsia" w:ascii="仿宋_GB2312" w:hAnsi="仿宋" w:eastAsia="仿宋_GB2312" w:cs="仿宋"/>
                <w:sz w:val="24"/>
                <w:lang w:val="en-US" w:eastAsia="zh-CN"/>
              </w:rPr>
            </w:pPr>
            <w:r>
              <w:rPr>
                <w:rFonts w:hint="eastAsia" w:ascii="仿宋" w:hAnsi="仿宋" w:eastAsia="仿宋" w:cs="仿宋"/>
                <w:sz w:val="24"/>
                <w:lang w:val="en-US" w:eastAsia="zh-CN"/>
              </w:rPr>
              <w:t>5、</w:t>
            </w:r>
            <w:r>
              <w:rPr>
                <w:rFonts w:hint="eastAsia" w:ascii="仿宋" w:hAnsi="仿宋" w:eastAsia="仿宋" w:cs="仿宋"/>
                <w:sz w:val="24"/>
              </w:rPr>
              <w:t>《艺术岳阳》全年编辑出版2</w:t>
            </w:r>
            <w:r>
              <w:rPr>
                <w:rFonts w:hint="eastAsia" w:ascii="仿宋" w:hAnsi="仿宋" w:eastAsia="仿宋" w:cs="仿宋"/>
                <w:sz w:val="24"/>
                <w:lang w:eastAsia="zh-CN"/>
              </w:rPr>
              <w:t>期</w:t>
            </w:r>
            <w:r>
              <w:rPr>
                <w:rFonts w:hint="eastAsia" w:ascii="仿宋" w:hAnsi="仿宋" w:eastAsia="仿宋" w:cs="仿宋"/>
                <w:sz w:val="24"/>
              </w:rPr>
              <w:t>。完成群众文艺理论调研论文</w:t>
            </w:r>
            <w:r>
              <w:rPr>
                <w:rFonts w:hint="eastAsia" w:ascii="仿宋" w:hAnsi="仿宋" w:eastAsia="仿宋" w:cs="仿宋"/>
                <w:sz w:val="24"/>
                <w:lang w:val="en-US" w:eastAsia="zh-CN"/>
              </w:rPr>
              <w:t>3</w:t>
            </w:r>
            <w:r>
              <w:rPr>
                <w:rFonts w:hint="eastAsia" w:ascii="仿宋" w:hAnsi="仿宋" w:eastAsia="仿宋" w:cs="仿宋"/>
                <w:sz w:val="24"/>
              </w:rPr>
              <w:t>篇。</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 w:hAnsi="仿宋" w:eastAsia="仿宋" w:cs="仿宋"/>
                <w:sz w:val="24"/>
                <w:lang w:val="en-US" w:eastAsia="zh-CN"/>
              </w:rPr>
              <w:t>6、完成了</w:t>
            </w:r>
            <w:r>
              <w:rPr>
                <w:rFonts w:hint="eastAsia" w:ascii="仿宋" w:hAnsi="仿宋" w:eastAsia="仿宋" w:cs="仿宋"/>
                <w:sz w:val="24"/>
              </w:rPr>
              <w:t>数字文化馆开展数字化服务，编辑发布各类信息资讯200余条，上传数字资源近100G。</w:t>
            </w:r>
          </w:p>
        </w:tc>
        <w:tc>
          <w:tcPr>
            <w:tcW w:w="2684" w:type="dxa"/>
            <w:gridSpan w:val="6"/>
            <w:vAlign w:val="center"/>
          </w:tcPr>
          <w:p>
            <w:pPr>
              <w:autoSpaceDN w:val="0"/>
              <w:spacing w:line="320" w:lineRule="exact"/>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6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举办庆祝建党</w:t>
            </w:r>
            <w:r>
              <w:rPr>
                <w:rFonts w:hint="eastAsia" w:ascii="仿宋_GB2312" w:hAnsi="仿宋_GB2312" w:eastAsia="仿宋_GB2312" w:cs="仿宋_GB2312"/>
                <w:color w:val="000000"/>
                <w:sz w:val="24"/>
                <w:lang w:val="en-US" w:eastAsia="zh-CN"/>
              </w:rPr>
              <w:t>100周年系列活动</w:t>
            </w:r>
          </w:p>
        </w:tc>
        <w:tc>
          <w:tcPr>
            <w:tcW w:w="2684" w:type="dxa"/>
            <w:gridSpan w:val="6"/>
            <w:vAlign w:val="center"/>
          </w:tcPr>
          <w:p>
            <w:pPr>
              <w:autoSpaceDN w:val="0"/>
              <w:spacing w:line="36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取得了较好的社会效益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sz w:val="24"/>
              </w:rPr>
            </w:pPr>
          </w:p>
        </w:tc>
        <w:tc>
          <w:tcPr>
            <w:tcW w:w="1549" w:type="dxa"/>
            <w:gridSpan w:val="4"/>
            <w:vMerge w:val="continue"/>
            <w:vAlign w:val="center"/>
          </w:tcPr>
          <w:p>
            <w:pPr>
              <w:autoSpaceDN w:val="0"/>
              <w:spacing w:line="320" w:lineRule="exact"/>
              <w:rPr>
                <w:rFonts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60" w:lineRule="exact"/>
              <w:jc w:val="left"/>
              <w:textAlignment w:val="center"/>
              <w:rPr>
                <w:rFonts w:ascii="仿宋_GB2312" w:hAnsi="仿宋_GB2312" w:eastAsia="仿宋_GB2312" w:cs="仿宋_GB2312"/>
                <w:color w:val="000000"/>
                <w:sz w:val="24"/>
              </w:rPr>
            </w:pPr>
          </w:p>
        </w:tc>
        <w:tc>
          <w:tcPr>
            <w:tcW w:w="2684" w:type="dxa"/>
            <w:gridSpan w:val="6"/>
            <w:vAlign w:val="center"/>
          </w:tcPr>
          <w:p>
            <w:pPr>
              <w:autoSpaceDN w:val="0"/>
              <w:spacing w:line="360" w:lineRule="exac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名</w:t>
            </w: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w:t>
            </w:r>
            <w:r>
              <w:rPr>
                <w:rFonts w:ascii="仿宋_GB2312" w:hAnsi="仿宋_GB2312" w:eastAsia="仿宋_GB2312" w:cs="仿宋_GB2312"/>
                <w:color w:val="000000"/>
                <w:sz w:val="24"/>
              </w:rPr>
              <w:t>/</w:t>
            </w:r>
            <w:r>
              <w:rPr>
                <w:rFonts w:hint="eastAsia" w:ascii="仿宋_GB2312" w:hAnsi="仿宋_GB2312" w:eastAsia="仿宋_GB2312" w:cs="仿宋_GB2312"/>
                <w:color w:val="000000"/>
                <w:sz w:val="24"/>
              </w:rPr>
              <w:t>职称</w:t>
            </w: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位</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袁雄斌</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办公室主任</w:t>
            </w:r>
          </w:p>
        </w:tc>
        <w:tc>
          <w:tcPr>
            <w:tcW w:w="1479"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岳阳市群众艺术馆</w:t>
            </w: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61" w:type="dxa"/>
            <w:gridSpan w:val="6"/>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479" w:type="dxa"/>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106" w:type="dxa"/>
            <w:gridSpan w:val="8"/>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年</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月</w:t>
            </w:r>
            <w:r>
              <w:rPr>
                <w:rFonts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eastAsia="仿宋_GB2312"/>
                <w:sz w:val="24"/>
              </w:rPr>
              <w:t xml:space="preserve">                                  </w:t>
            </w: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填报人（签名）：李</w:t>
      </w:r>
      <w:r>
        <w:rPr>
          <w:rFonts w:hint="eastAsia" w:eastAsia="仿宋_GB2312" w:cs="仿宋_GB2312"/>
          <w:bCs/>
          <w:sz w:val="28"/>
          <w:szCs w:val="28"/>
          <w:lang w:val="en-US" w:eastAsia="zh-CN"/>
        </w:rPr>
        <w:t>燕</w:t>
      </w:r>
      <w:r>
        <w:rPr>
          <w:rFonts w:eastAsia="仿宋_GB2312" w:cs="仿宋_GB2312"/>
          <w:bCs/>
          <w:sz w:val="28"/>
          <w:szCs w:val="28"/>
        </w:rPr>
        <w:t xml:space="preserve">                       </w:t>
      </w:r>
      <w:r>
        <w:rPr>
          <w:rFonts w:hint="eastAsia" w:eastAsia="仿宋_GB2312" w:cs="仿宋_GB2312"/>
          <w:bCs/>
          <w:sz w:val="28"/>
          <w:szCs w:val="28"/>
        </w:rPr>
        <w:t>联系电话：</w:t>
      </w:r>
      <w:r>
        <w:rPr>
          <w:rFonts w:eastAsia="仿宋_GB2312" w:cs="仿宋_GB2312"/>
          <w:bCs/>
          <w:sz w:val="28"/>
          <w:szCs w:val="28"/>
        </w:rPr>
        <w:t>8</w:t>
      </w:r>
      <w:r>
        <w:rPr>
          <w:rFonts w:hint="eastAsia" w:eastAsia="仿宋_GB2312" w:cs="仿宋_GB2312"/>
          <w:bCs/>
          <w:sz w:val="28"/>
          <w:szCs w:val="28"/>
          <w:lang w:val="en-US" w:eastAsia="zh-CN"/>
        </w:rPr>
        <w:t>853075</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default" w:ascii="仿宋_GB2312" w:hAnsi="仿宋_GB2312" w:eastAsia="仿宋_GB2312" w:cs="仿宋_GB2312"/>
                <w:bCs/>
                <w:sz w:val="28"/>
                <w:szCs w:val="28"/>
                <w:lang w:val="en-US"/>
              </w:rPr>
            </w:pPr>
            <w:r>
              <w:rPr>
                <w:rFonts w:hint="eastAsia" w:ascii="仿宋_GB2312" w:hAnsi="仿宋_GB2312" w:eastAsia="仿宋_GB2312" w:cs="仿宋_GB2312"/>
                <w:bCs/>
                <w:sz w:val="28"/>
                <w:szCs w:val="28"/>
              </w:rPr>
              <w:t>岳阳市</w:t>
            </w:r>
            <w:r>
              <w:rPr>
                <w:rFonts w:hint="eastAsia" w:ascii="仿宋_GB2312" w:hAnsi="仿宋_GB2312" w:eastAsia="仿宋_GB2312" w:cs="仿宋_GB2312"/>
                <w:bCs/>
                <w:sz w:val="28"/>
                <w:szCs w:val="28"/>
                <w:lang w:eastAsia="zh-CN"/>
              </w:rPr>
              <w:t>群众艺术馆是岳阳市人民政府设立的公益性文化事业机构</w:t>
            </w:r>
            <w:r>
              <w:rPr>
                <w:rFonts w:hint="eastAsia" w:ascii="仿宋_GB2312" w:hAnsi="仿宋_GB2312" w:eastAsia="仿宋_GB2312" w:cs="仿宋_GB2312"/>
                <w:bCs/>
                <w:sz w:val="28"/>
                <w:szCs w:val="28"/>
                <w:lang w:val="en-US" w:eastAsia="zh-CN"/>
              </w:rPr>
              <w:t>。</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w:t>
            </w:r>
            <w:r>
              <w:rPr>
                <w:rFonts w:ascii="仿宋_GB2312" w:hAnsi="仿宋_GB2312" w:eastAsia="仿宋_GB2312" w:cs="仿宋_GB2312"/>
                <w:bCs/>
                <w:sz w:val="28"/>
                <w:szCs w:val="28"/>
              </w:rPr>
              <w:t>12</w:t>
            </w:r>
            <w:r>
              <w:rPr>
                <w:rFonts w:hint="eastAsia" w:ascii="仿宋_GB2312" w:hAnsi="仿宋_GB2312" w:eastAsia="仿宋_GB2312" w:cs="仿宋_GB2312"/>
                <w:bCs/>
                <w:sz w:val="28"/>
                <w:szCs w:val="28"/>
              </w:rPr>
              <w:t>月</w:t>
            </w:r>
            <w:r>
              <w:rPr>
                <w:rFonts w:ascii="仿宋_GB2312" w:hAnsi="仿宋_GB2312" w:eastAsia="仿宋_GB2312" w:cs="仿宋_GB2312"/>
                <w:bCs/>
                <w:sz w:val="28"/>
                <w:szCs w:val="28"/>
              </w:rPr>
              <w:t>31</w:t>
            </w:r>
            <w:r>
              <w:rPr>
                <w:rFonts w:hint="eastAsia" w:ascii="仿宋_GB2312" w:hAnsi="仿宋_GB2312" w:eastAsia="仿宋_GB2312" w:cs="仿宋_GB2312"/>
                <w:bCs/>
                <w:sz w:val="28"/>
                <w:szCs w:val="28"/>
              </w:rPr>
              <w:t>日，实际在编在岗干部职工共有</w:t>
            </w:r>
            <w:r>
              <w:rPr>
                <w:rFonts w:hint="eastAsia" w:ascii="仿宋_GB2312" w:hAnsi="仿宋_GB2312" w:eastAsia="仿宋_GB2312" w:cs="仿宋_GB2312"/>
                <w:bCs/>
                <w:sz w:val="28"/>
                <w:szCs w:val="28"/>
                <w:lang w:val="en-US" w:eastAsia="zh-CN"/>
              </w:rPr>
              <w:t>15</w:t>
            </w:r>
            <w:r>
              <w:rPr>
                <w:rFonts w:hint="eastAsia" w:ascii="仿宋_GB2312" w:hAnsi="仿宋_GB2312" w:eastAsia="仿宋_GB2312" w:cs="仿宋_GB2312"/>
                <w:bCs/>
                <w:sz w:val="28"/>
                <w:szCs w:val="28"/>
              </w:rPr>
              <w:t>人，其中：事业编</w:t>
            </w:r>
            <w:r>
              <w:rPr>
                <w:rFonts w:hint="eastAsia" w:ascii="仿宋_GB2312" w:hAnsi="仿宋_GB2312" w:eastAsia="仿宋_GB2312" w:cs="仿宋_GB2312"/>
                <w:bCs/>
                <w:sz w:val="28"/>
                <w:szCs w:val="28"/>
                <w:lang w:val="en-US" w:eastAsia="zh-CN"/>
              </w:rPr>
              <w:t>16人。</w:t>
            </w:r>
            <w:r>
              <w:rPr>
                <w:rFonts w:hint="eastAsia" w:ascii="仿宋_GB2312" w:hAnsi="仿宋_GB2312" w:eastAsia="仿宋_GB2312" w:cs="仿宋_GB2312"/>
                <w:bCs/>
                <w:sz w:val="28"/>
                <w:szCs w:val="28"/>
                <w:lang w:eastAsia="zh-CN"/>
              </w:rPr>
              <w:t>离退休人员</w:t>
            </w:r>
            <w:r>
              <w:rPr>
                <w:rFonts w:hint="eastAsia" w:ascii="仿宋_GB2312" w:hAnsi="仿宋_GB2312" w:eastAsia="仿宋_GB2312" w:cs="仿宋_GB2312"/>
                <w:bCs/>
                <w:sz w:val="28"/>
                <w:szCs w:val="28"/>
                <w:lang w:val="en-US" w:eastAsia="zh-CN"/>
              </w:rPr>
              <w:t>23人，其中离休1人，退休22人。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年市本级部门预算批复，纳入</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年部门预算编制范围：</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具体情况如下：单位：万元</w:t>
            </w:r>
          </w:p>
          <w:tbl>
            <w:tblPr>
              <w:tblStyle w:val="7"/>
              <w:tblW w:w="77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3113"/>
              <w:gridCol w:w="2818"/>
              <w:gridCol w:w="1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6" w:hRule="exact"/>
                <w:jc w:val="center"/>
              </w:trPr>
              <w:tc>
                <w:tcPr>
                  <w:tcW w:w="3113" w:type="dxa"/>
                  <w:tcBorders>
                    <w:top w:val="single" w:color="000000" w:sz="4" w:space="0"/>
                    <w:left w:val="single" w:color="000000" w:sz="4" w:space="0"/>
                    <w:bottom w:val="single" w:color="000000" w:sz="4" w:space="0"/>
                    <w:right w:val="single" w:color="auto" w:sz="4" w:space="0"/>
                  </w:tcBorders>
                  <w:vAlign w:val="center"/>
                </w:tcPr>
                <w:p>
                  <w:pPr>
                    <w:spacing w:line="560" w:lineRule="exact"/>
                    <w:ind w:firstLine="560" w:firstLineChars="200"/>
                    <w:rPr>
                      <w:rFonts w:ascii="仿宋_GB2312" w:hAnsi="仿宋_GB2312" w:eastAsia="仿宋_GB2312" w:cs="仿宋_GB2312"/>
                      <w:bCs/>
                      <w:sz w:val="28"/>
                      <w:szCs w:val="28"/>
                    </w:rPr>
                  </w:pPr>
                </w:p>
              </w:tc>
              <w:tc>
                <w:tcPr>
                  <w:tcW w:w="2818" w:type="dxa"/>
                  <w:tcBorders>
                    <w:top w:val="single" w:color="000000" w:sz="4" w:space="0"/>
                    <w:left w:val="single" w:color="auto" w:sz="4" w:space="0"/>
                    <w:bottom w:val="single" w:color="000000" w:sz="4" w:space="0"/>
                    <w:right w:val="single" w:color="000000" w:sz="4" w:space="0"/>
                  </w:tcBorders>
                  <w:vAlign w:val="center"/>
                </w:tcPr>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收入</w:t>
                  </w:r>
                </w:p>
              </w:tc>
              <w:tc>
                <w:tcPr>
                  <w:tcW w:w="180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6" w:hRule="exact"/>
                <w:jc w:val="center"/>
              </w:trPr>
              <w:tc>
                <w:tcPr>
                  <w:tcW w:w="3113" w:type="dxa"/>
                  <w:tcBorders>
                    <w:top w:val="single" w:color="000000" w:sz="4" w:space="0"/>
                    <w:left w:val="single" w:color="000000" w:sz="4" w:space="0"/>
                    <w:bottom w:val="single" w:color="000000" w:sz="4" w:space="0"/>
                    <w:right w:val="single" w:color="auto" w:sz="4" w:space="0"/>
                  </w:tcBorders>
                  <w:vAlign w:val="center"/>
                </w:tcPr>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岳阳市群众艺术馆</w:t>
                  </w:r>
                </w:p>
              </w:tc>
              <w:tc>
                <w:tcPr>
                  <w:tcW w:w="2818" w:type="dxa"/>
                  <w:tcBorders>
                    <w:top w:val="single" w:color="000000" w:sz="4" w:space="0"/>
                    <w:left w:val="single" w:color="auto" w:sz="4" w:space="0"/>
                    <w:bottom w:val="single" w:color="000000" w:sz="4" w:space="0"/>
                    <w:right w:val="single" w:color="000000" w:sz="4" w:space="0"/>
                  </w:tcBorders>
                  <w:vAlign w:val="center"/>
                </w:tcPr>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392.67</w:t>
                  </w:r>
                </w:p>
              </w:tc>
              <w:tc>
                <w:tcPr>
                  <w:tcW w:w="1803"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392.67</w:t>
                  </w:r>
                </w:p>
              </w:tc>
            </w:tr>
          </w:tbl>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2021</w:t>
            </w:r>
            <w:r>
              <w:rPr>
                <w:rFonts w:hint="eastAsia" w:ascii="仿宋_GB2312" w:hAnsi="仿宋_GB2312" w:eastAsia="仿宋_GB2312" w:cs="仿宋_GB2312"/>
                <w:bCs/>
                <w:sz w:val="28"/>
                <w:szCs w:val="28"/>
              </w:rPr>
              <w:t>年度</w:t>
            </w:r>
            <w:r>
              <w:rPr>
                <w:rFonts w:hint="eastAsia" w:ascii="仿宋_GB2312" w:hAnsi="仿宋_GB2312" w:eastAsia="仿宋_GB2312" w:cs="仿宋_GB2312"/>
                <w:bCs/>
                <w:sz w:val="28"/>
                <w:szCs w:val="28"/>
                <w:lang w:eastAsia="zh-CN"/>
              </w:rPr>
              <w:t>我馆</w:t>
            </w:r>
            <w:r>
              <w:rPr>
                <w:rFonts w:hint="eastAsia" w:ascii="仿宋_GB2312" w:hAnsi="仿宋_GB2312" w:eastAsia="仿宋_GB2312" w:cs="仿宋_GB2312"/>
                <w:bCs/>
                <w:sz w:val="28"/>
                <w:szCs w:val="28"/>
              </w:rPr>
              <w:t>基本支出</w:t>
            </w:r>
            <w:r>
              <w:rPr>
                <w:rFonts w:hint="eastAsia" w:ascii="仿宋_GB2312" w:hAnsi="仿宋_GB2312" w:eastAsia="仿宋_GB2312" w:cs="仿宋_GB2312"/>
                <w:bCs/>
                <w:sz w:val="28"/>
                <w:szCs w:val="28"/>
                <w:lang w:val="en-US" w:eastAsia="zh-CN"/>
              </w:rPr>
              <w:t>237.12</w:t>
            </w:r>
            <w:r>
              <w:rPr>
                <w:rFonts w:hint="eastAsia" w:ascii="仿宋_GB2312" w:hAnsi="仿宋_GB2312" w:eastAsia="仿宋_GB2312" w:cs="仿宋_GB2312"/>
                <w:bCs/>
                <w:sz w:val="28"/>
                <w:szCs w:val="28"/>
              </w:rPr>
              <w:t>万元，使用内容为人员经费和日常公用经费。其中人员经费支出</w:t>
            </w:r>
            <w:r>
              <w:rPr>
                <w:rFonts w:hint="eastAsia" w:ascii="仿宋_GB2312" w:hAnsi="仿宋_GB2312" w:eastAsia="仿宋_GB2312" w:cs="仿宋_GB2312"/>
                <w:bCs/>
                <w:sz w:val="28"/>
                <w:szCs w:val="28"/>
                <w:lang w:val="en-US" w:eastAsia="zh-CN"/>
              </w:rPr>
              <w:t>212.80</w:t>
            </w:r>
            <w:r>
              <w:rPr>
                <w:rFonts w:hint="eastAsia" w:ascii="仿宋_GB2312" w:hAnsi="仿宋_GB2312" w:eastAsia="仿宋_GB2312" w:cs="仿宋_GB2312"/>
                <w:bCs/>
                <w:sz w:val="28"/>
                <w:szCs w:val="28"/>
              </w:rPr>
              <w:t>万元，主要用于发放事业人员、以及临时工工资及津补贴；支付机关离退休员工的工资及津补贴、抚恤金、丧葬费、生活补助等；一般商品和服务支出</w:t>
            </w:r>
            <w:r>
              <w:rPr>
                <w:rFonts w:hint="eastAsia" w:ascii="仿宋_GB2312" w:hAnsi="仿宋_GB2312" w:eastAsia="仿宋_GB2312" w:cs="仿宋_GB2312"/>
                <w:bCs/>
                <w:sz w:val="28"/>
                <w:szCs w:val="28"/>
                <w:lang w:val="en-US" w:eastAsia="zh-CN"/>
              </w:rPr>
              <w:t>24.32</w:t>
            </w:r>
            <w:r>
              <w:rPr>
                <w:rFonts w:hint="eastAsia" w:ascii="仿宋_GB2312" w:hAnsi="仿宋_GB2312" w:eastAsia="仿宋_GB2312" w:cs="仿宋_GB2312"/>
                <w:bCs/>
                <w:sz w:val="28"/>
                <w:szCs w:val="28"/>
              </w:rPr>
              <w:t>万元，主要用于保障</w:t>
            </w:r>
            <w:r>
              <w:rPr>
                <w:rFonts w:hint="eastAsia" w:ascii="仿宋_GB2312" w:hAnsi="仿宋_GB2312" w:eastAsia="仿宋_GB2312" w:cs="仿宋_GB2312"/>
                <w:bCs/>
                <w:sz w:val="28"/>
                <w:szCs w:val="28"/>
                <w:lang w:eastAsia="zh-CN"/>
              </w:rPr>
              <w:t>我馆</w:t>
            </w:r>
            <w:r>
              <w:rPr>
                <w:rFonts w:hint="eastAsia" w:ascii="仿宋_GB2312" w:hAnsi="仿宋_GB2312" w:eastAsia="仿宋_GB2312" w:cs="仿宋_GB2312"/>
                <w:bCs/>
                <w:sz w:val="28"/>
                <w:szCs w:val="28"/>
              </w:rPr>
              <w:t>正常运转所需开支的办公费、差旅费、招待费、会议费、公务用车运行维护费、等。基本开支主要来自于年初预算拨款，其他来自于政策性工资绩效预算的追加。</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、专项资金安排落实、总投入等情况分析</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eastAsia="zh-CN"/>
              </w:rPr>
              <w:t>我馆</w:t>
            </w:r>
            <w:r>
              <w:rPr>
                <w:rFonts w:hint="eastAsia" w:ascii="仿宋_GB2312" w:hAnsi="仿宋_GB2312" w:eastAsia="仿宋_GB2312" w:cs="仿宋_GB2312"/>
                <w:bCs/>
                <w:sz w:val="28"/>
                <w:szCs w:val="28"/>
              </w:rPr>
              <w:t>项目支出</w:t>
            </w:r>
            <w:r>
              <w:rPr>
                <w:rFonts w:hint="eastAsia" w:ascii="仿宋_GB2312" w:hAnsi="仿宋_GB2312" w:eastAsia="仿宋_GB2312" w:cs="仿宋_GB2312"/>
                <w:bCs/>
                <w:sz w:val="28"/>
                <w:szCs w:val="28"/>
                <w:lang w:val="en-US" w:eastAsia="zh-CN"/>
              </w:rPr>
              <w:t>140.42</w:t>
            </w:r>
            <w:r>
              <w:rPr>
                <w:rFonts w:hint="eastAsia" w:ascii="仿宋_GB2312" w:hAnsi="仿宋_GB2312" w:eastAsia="仿宋_GB2312" w:cs="仿宋_GB2312"/>
                <w:bCs/>
                <w:sz w:val="28"/>
                <w:szCs w:val="28"/>
              </w:rPr>
              <w:t>万元，</w:t>
            </w:r>
            <w:r>
              <w:rPr>
                <w:rFonts w:hint="eastAsia" w:ascii="仿宋_GB2312" w:hAnsi="仿宋_GB2312" w:eastAsia="仿宋_GB2312" w:cs="仿宋_GB2312"/>
                <w:bCs/>
                <w:sz w:val="28"/>
                <w:szCs w:val="28"/>
                <w:lang w:eastAsia="zh-CN"/>
              </w:rPr>
              <w:t>主要用于开展建党</w:t>
            </w:r>
            <w:r>
              <w:rPr>
                <w:rFonts w:hint="eastAsia" w:ascii="仿宋_GB2312" w:hAnsi="仿宋_GB2312" w:eastAsia="仿宋_GB2312" w:cs="仿宋_GB2312"/>
                <w:bCs/>
                <w:sz w:val="28"/>
                <w:szCs w:val="28"/>
                <w:lang w:val="en-US" w:eastAsia="zh-CN"/>
              </w:rPr>
              <w:t>100周年系列活动，文化志愿者服务工作、《艺术岳阳》编辑。</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、专项资金实际使用情况分析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对专项资金的管理我</w:t>
            </w:r>
            <w:r>
              <w:rPr>
                <w:rFonts w:hint="eastAsia" w:ascii="仿宋_GB2312" w:hAnsi="仿宋_GB2312" w:eastAsia="仿宋_GB2312" w:cs="仿宋_GB2312"/>
                <w:bCs/>
                <w:sz w:val="28"/>
                <w:szCs w:val="28"/>
                <w:lang w:eastAsia="zh-CN"/>
              </w:rPr>
              <w:t>馆</w:t>
            </w:r>
            <w:r>
              <w:rPr>
                <w:rFonts w:hint="eastAsia" w:ascii="仿宋_GB2312" w:hAnsi="仿宋_GB2312" w:eastAsia="仿宋_GB2312" w:cs="仿宋_GB2312"/>
                <w:bCs/>
                <w:sz w:val="28"/>
                <w:szCs w:val="28"/>
              </w:rPr>
              <w:t>建立了专项资金管理办法，遵循专款专用、单独核算的管理原则；专项项目的申报严格按照市财政资金管理的要求进行，专项资金财政拨款到位后及时进行了项目的开展和资金的投入。</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、专项资金管理情况分析</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我</w:t>
            </w:r>
            <w:r>
              <w:rPr>
                <w:rFonts w:hint="eastAsia" w:ascii="仿宋_GB2312" w:hAnsi="仿宋_GB2312" w:eastAsia="仿宋_GB2312" w:cs="仿宋_GB2312"/>
                <w:bCs/>
                <w:sz w:val="28"/>
                <w:szCs w:val="28"/>
                <w:lang w:eastAsia="zh-CN"/>
              </w:rPr>
              <w:t>馆</w:t>
            </w:r>
            <w:r>
              <w:rPr>
                <w:rFonts w:hint="eastAsia" w:ascii="仿宋_GB2312" w:hAnsi="仿宋_GB2312" w:eastAsia="仿宋_GB2312" w:cs="仿宋_GB2312"/>
                <w:bCs/>
                <w:sz w:val="28"/>
                <w:szCs w:val="28"/>
              </w:rPr>
              <w:t>目前对专项资金的管理按照项目支出涉及的经济科目的明细项目，根据财务管理办法的相关制度执行。</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专项资金中涉及的项目招投标、政府采购事项，我</w:t>
            </w:r>
            <w:r>
              <w:rPr>
                <w:rFonts w:hint="eastAsia" w:ascii="仿宋_GB2312" w:hAnsi="仿宋_GB2312" w:eastAsia="仿宋_GB2312" w:cs="仿宋_GB2312"/>
                <w:bCs/>
                <w:sz w:val="28"/>
                <w:szCs w:val="28"/>
                <w:lang w:eastAsia="zh-CN"/>
              </w:rPr>
              <w:t>馆</w:t>
            </w:r>
            <w:r>
              <w:rPr>
                <w:rFonts w:hint="eastAsia" w:ascii="仿宋_GB2312" w:hAnsi="仿宋_GB2312" w:eastAsia="仿宋_GB2312" w:cs="仿宋_GB2312"/>
                <w:bCs/>
                <w:sz w:val="28"/>
                <w:szCs w:val="28"/>
              </w:rPr>
              <w:t>均严格按照要求进行了组织，对公开招标的项目要求参与投标报价单位不少于三家，由</w:t>
            </w:r>
            <w:r>
              <w:rPr>
                <w:rFonts w:hint="eastAsia" w:ascii="仿宋_GB2312" w:hAnsi="仿宋_GB2312" w:eastAsia="仿宋_GB2312" w:cs="仿宋_GB2312"/>
                <w:bCs/>
                <w:sz w:val="28"/>
                <w:szCs w:val="28"/>
                <w:lang w:eastAsia="zh-CN"/>
              </w:rPr>
              <w:t>我馆</w:t>
            </w:r>
            <w:r>
              <w:rPr>
                <w:rFonts w:hint="eastAsia" w:ascii="仿宋_GB2312" w:hAnsi="仿宋_GB2312" w:eastAsia="仿宋_GB2312" w:cs="仿宋_GB2312"/>
                <w:bCs/>
                <w:sz w:val="28"/>
                <w:szCs w:val="28"/>
              </w:rPr>
              <w:t>多个部门参与采购谈判，同时严格合同的签订，落实物资和服务的验收，做好资金支付的审核审批手续。</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、完善制度，规范管理</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认真贯彻落实中央八项规定，市委、市政府厉行节约的精神，进一步规范机关作风、加强机关财务管理，对单位行政运行、内部控制、会议、差旅、培训等严格按政策管理执行。</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、严格执行预算，控制各项经费支出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）公务用车运行费：严格执行公车管理规定，公务用车一律实行派车登记制，单位所有公车实行定点维修，</w:t>
            </w:r>
            <w:r>
              <w:rPr>
                <w:rFonts w:ascii="仿宋_GB2312" w:hAnsi="仿宋_GB2312" w:eastAsia="仿宋_GB2312" w:cs="仿宋_GB2312"/>
                <w:bCs/>
                <w:sz w:val="28"/>
                <w:szCs w:val="28"/>
              </w:rPr>
              <w:t>IC</w:t>
            </w:r>
            <w:r>
              <w:rPr>
                <w:rFonts w:hint="eastAsia" w:ascii="仿宋_GB2312" w:hAnsi="仿宋_GB2312" w:eastAsia="仿宋_GB2312" w:cs="仿宋_GB2312"/>
                <w:bCs/>
                <w:sz w:val="28"/>
                <w:szCs w:val="28"/>
              </w:rPr>
              <w:t>卡加油、统一保险制度，如实登记上报公务车辆情况，严禁公车私用。</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）公务接待费用：严格接待审批程序，严格执行凭公函接待制度、禁酒禁烟，严格控制接待标准，杜绝大吃大喝及高消费娱乐，接待总额严格控制在市纪委、市财政下达的厉行节约预算标准之内。</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w:t>
            </w: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）公务卡使用情况符合相关规定</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公务卡使用按有关规定执行，全</w:t>
            </w:r>
            <w:r>
              <w:rPr>
                <w:rFonts w:hint="eastAsia" w:ascii="仿宋_GB2312" w:hAnsi="仿宋_GB2312" w:eastAsia="仿宋_GB2312" w:cs="仿宋_GB2312"/>
                <w:bCs/>
                <w:sz w:val="28"/>
                <w:szCs w:val="28"/>
                <w:lang w:eastAsia="zh-CN"/>
              </w:rPr>
              <w:t>馆</w:t>
            </w:r>
            <w:r>
              <w:rPr>
                <w:rFonts w:hint="eastAsia" w:ascii="仿宋_GB2312" w:hAnsi="仿宋_GB2312" w:eastAsia="仿宋_GB2312" w:cs="仿宋_GB2312"/>
                <w:bCs/>
                <w:sz w:val="28"/>
                <w:szCs w:val="28"/>
              </w:rPr>
              <w:t>职工全覆盖，费用开支全部用公务卡结算。</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、提高全</w:t>
            </w:r>
            <w:r>
              <w:rPr>
                <w:rFonts w:hint="eastAsia" w:ascii="仿宋_GB2312" w:hAnsi="仿宋_GB2312" w:eastAsia="仿宋_GB2312" w:cs="仿宋_GB2312"/>
                <w:bCs/>
                <w:sz w:val="28"/>
                <w:szCs w:val="28"/>
                <w:lang w:eastAsia="zh-CN"/>
              </w:rPr>
              <w:t>馆</w:t>
            </w:r>
            <w:r>
              <w:rPr>
                <w:rFonts w:hint="eastAsia" w:ascii="仿宋_GB2312" w:hAnsi="仿宋_GB2312" w:eastAsia="仿宋_GB2312" w:cs="仿宋_GB2312"/>
                <w:bCs/>
                <w:sz w:val="28"/>
                <w:szCs w:val="28"/>
              </w:rPr>
              <w:t>意识。自领导到普通干部，全面增强厉行节约、减少行政成本的意识，强化危机感和责任感，提高工作效率、节约行政成本从一点一滴做起。</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、加强对会议经费的管理。按要求尽量精简会议，控制会议时间，规模、人数，尽量利用机关会议室，尽量召开电视电话会议，使用多媒体，会议归口管理，会期不超过半天，会议的人数及标准严格按规定执行。</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加强对培训及差旅费的审批管理。严格控制培训规模，控制出市参加会议、培训的人数；实施出差申报层层审批制，从严审批，控制出差人数和天数，严禁无实质内容、无明确公务目的的差旅活动，工作要有计划，除特办急办的事项外，尽量将需要出差的事项整合办理。</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、加强对公务车辆的管理。规范和控制公务用车、修理、用油等行为。</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控制公务接待费用。所有接待实行公函接待和审批制，严格控制接待标准、范围和次数，层层审批，严禁使用烟酒和饮料，坚持“务实节俭、高效透明、严格标准、有利公务”的原则，严禁大吃大喝、铺张浪费。</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、严格执行政府采购。优化政府采购领域的营商环境，进一步深化财政体制改革，严格遵守政府采购制度，并按政府采购规定实施，所有耗材及办公用品均通过政府采购平台进行采购。</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四、部门（单位）整体支出绩效情况</w:t>
            </w:r>
          </w:p>
          <w:p>
            <w:pPr>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年，面对错综复杂的国际形势和突如其来的新冠疫情，</w:t>
            </w:r>
            <w:r>
              <w:rPr>
                <w:rFonts w:hint="eastAsia" w:ascii="仿宋_GB2312" w:hAnsi="仿宋_GB2312" w:eastAsia="仿宋_GB2312" w:cs="仿宋_GB2312"/>
                <w:bCs/>
                <w:sz w:val="28"/>
                <w:szCs w:val="28"/>
                <w:lang w:eastAsia="zh-CN"/>
              </w:rPr>
              <w:t>我馆</w:t>
            </w:r>
            <w:r>
              <w:rPr>
                <w:rFonts w:hint="eastAsia" w:ascii="仿宋_GB2312" w:hAnsi="仿宋_GB2312" w:eastAsia="仿宋_GB2312" w:cs="仿宋_GB2312"/>
                <w:bCs/>
                <w:sz w:val="28"/>
                <w:szCs w:val="28"/>
              </w:rPr>
              <w:t>在落实常态化疫情防控的基础上，采取超常措施，拿出超常劲头。</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通过加强预算收支的管理，不断建立健全内部管理制度，梳理内部管理流程，部门整体支出管理情况得到了提升，部门整体支出绩效情况如下：</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经济性评价方面</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1</w:t>
            </w:r>
            <w:r>
              <w:rPr>
                <w:rFonts w:hint="eastAsia" w:ascii="仿宋_GB2312" w:hAnsi="仿宋_GB2312" w:eastAsia="仿宋_GB2312" w:cs="仿宋_GB2312"/>
                <w:bCs/>
                <w:sz w:val="28"/>
                <w:szCs w:val="28"/>
              </w:rPr>
              <w:t>、本年预算配置控制较好，财政供养人员控制在预算编制以内；三公经费控制得较好。</w:t>
            </w:r>
          </w:p>
          <w:p>
            <w:pPr>
              <w:spacing w:line="56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、预算执行方面，支出总额控制在预算总额以内，除专项预算的追加和政策性工资绩效预算的追加外，本年部门预算未进行预算相关事项的调整；我</w:t>
            </w:r>
            <w:r>
              <w:rPr>
                <w:rFonts w:hint="eastAsia" w:ascii="仿宋_GB2312" w:hAnsi="仿宋_GB2312" w:eastAsia="仿宋_GB2312" w:cs="仿宋_GB2312"/>
                <w:bCs/>
                <w:sz w:val="28"/>
                <w:szCs w:val="28"/>
                <w:lang w:eastAsia="zh-CN"/>
              </w:rPr>
              <w:t>馆</w:t>
            </w:r>
            <w:r>
              <w:rPr>
                <w:rFonts w:hint="eastAsia" w:ascii="仿宋_GB2312" w:hAnsi="仿宋_GB2312" w:eastAsia="仿宋_GB2312" w:cs="仿宋_GB2312"/>
                <w:bCs/>
                <w:sz w:val="28"/>
                <w:szCs w:val="28"/>
              </w:rPr>
              <w:t>预算内专项资金在取得财政局的年度预算批复时，随批复一同进行了下达；追加的项目专项资金在取得上级或同级财政批复后随批复及时进行了下达；转移支付在收到专项资金时及时进行了拨付；不存在截留或滞留专项资金情况；本年财政预算资金结余较小，较上年结余大幅减少；三公经费总额和财政拨款支出三公经费总体控制较好。</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预算管理方面，制度执行总体较为有效，仍需进一步强化；资金使用管理需进一步加强。</w:t>
            </w:r>
          </w:p>
          <w:p>
            <w:pPr>
              <w:spacing w:line="560" w:lineRule="exact"/>
              <w:ind w:firstLine="560" w:firstLineChars="200"/>
              <w:rPr>
                <w:rFonts w:ascii="仿宋_GB2312" w:hAnsi="仿宋_GB2312" w:eastAsia="仿宋_GB2312" w:cs="仿宋_GB2312"/>
                <w:b/>
                <w:bCs/>
                <w:sz w:val="28"/>
                <w:szCs w:val="28"/>
                <w:lang w:val="zh-TW"/>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、资产管理方面：建立了资产管理制度，对全局资产进行了详细的盘点，设置各科室资产管理员，做好资产台账，加强对资产的管理。实现了实物资产的“一物一卡一条码”，总体执行较好。</w:t>
            </w:r>
          </w:p>
          <w:p>
            <w:pPr>
              <w:shd w:val="clear" w:color="auto" w:fill="FFFFFF"/>
              <w:spacing w:line="3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根据部门整体支出绩效评价指标体系，</w:t>
            </w:r>
            <w:r>
              <w:rPr>
                <w:rFonts w:hint="eastAsia" w:ascii="仿宋_GB2312" w:hAnsi="仿宋_GB2312" w:eastAsia="仿宋_GB2312" w:cs="仿宋_GB2312"/>
                <w:bCs/>
                <w:sz w:val="28"/>
                <w:szCs w:val="28"/>
                <w:lang w:eastAsia="zh-CN"/>
              </w:rPr>
              <w:t>我馆</w:t>
            </w:r>
            <w:r>
              <w:rPr>
                <w:rFonts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rPr>
              <w:t>年度评价得分</w:t>
            </w:r>
            <w:r>
              <w:rPr>
                <w:rFonts w:ascii="仿宋_GB2312" w:hAnsi="仿宋_GB2312" w:eastAsia="仿宋_GB2312" w:cs="仿宋_GB2312"/>
                <w:bCs/>
                <w:sz w:val="28"/>
                <w:szCs w:val="28"/>
              </w:rPr>
              <w:t>99</w:t>
            </w:r>
            <w:r>
              <w:rPr>
                <w:rFonts w:hint="eastAsia" w:ascii="仿宋_GB2312" w:hAnsi="仿宋_GB2312" w:eastAsia="仿宋_GB2312" w:cs="仿宋_GB2312"/>
                <w:bCs/>
                <w:sz w:val="28"/>
                <w:szCs w:val="28"/>
              </w:rPr>
              <w:t>分。</w:t>
            </w:r>
          </w:p>
          <w:p>
            <w:pPr>
              <w:numPr>
                <w:ilvl w:val="0"/>
                <w:numId w:val="3"/>
              </w:numPr>
              <w:spacing w:line="3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效率性评价和有效性评价</w:t>
            </w:r>
          </w:p>
          <w:p>
            <w:pPr>
              <w:spacing w:line="3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社会效率和有效性评价较好。</w:t>
            </w:r>
          </w:p>
          <w:p>
            <w:pPr>
              <w:spacing w:line="3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（三）社会公众满意度评价</w:t>
            </w:r>
          </w:p>
          <w:p>
            <w:pPr>
              <w:spacing w:line="3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社会公众满意度较好。</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五、存在的主要问题</w:t>
            </w:r>
          </w:p>
          <w:p>
            <w:pPr>
              <w:spacing w:line="3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通过前述对我</w:t>
            </w:r>
            <w:r>
              <w:rPr>
                <w:rFonts w:hint="eastAsia" w:ascii="仿宋_GB2312" w:hAnsi="仿宋_GB2312" w:eastAsia="仿宋_GB2312" w:cs="仿宋_GB2312"/>
                <w:bCs/>
                <w:sz w:val="28"/>
                <w:szCs w:val="28"/>
                <w:lang w:eastAsia="zh-CN"/>
              </w:rPr>
              <w:t>馆</w:t>
            </w:r>
            <w:r>
              <w:rPr>
                <w:rFonts w:hint="eastAsia" w:ascii="仿宋_GB2312" w:hAnsi="仿宋_GB2312" w:eastAsia="仿宋_GB2312" w:cs="仿宋_GB2312"/>
                <w:bCs/>
                <w:sz w:val="28"/>
                <w:szCs w:val="28"/>
              </w:rPr>
              <w:t>整体支出情况的分析，反映出目前在整体支出的预算编制、执行和管理过程中，依然存在一些问题和不足：年初未作预算安排，但本年仍实际发生了少部分支出，预算的执行有待进一步加强。针对这些不足，我局将积极采取改进措施，持续改进，不断规范和强化管理。</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六、改进措施和有关建议</w:t>
            </w:r>
          </w:p>
          <w:p>
            <w:pPr>
              <w:spacing w:line="3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针对上述存在的问题及我</w:t>
            </w:r>
            <w:r>
              <w:rPr>
                <w:rFonts w:hint="eastAsia" w:ascii="仿宋_GB2312" w:hAnsi="仿宋_GB2312" w:eastAsia="仿宋_GB2312" w:cs="仿宋_GB2312"/>
                <w:bCs/>
                <w:sz w:val="28"/>
                <w:szCs w:val="28"/>
                <w:lang w:eastAsia="zh-CN"/>
              </w:rPr>
              <w:t>馆</w:t>
            </w:r>
            <w:r>
              <w:rPr>
                <w:rFonts w:hint="eastAsia" w:ascii="仿宋_GB2312" w:hAnsi="仿宋_GB2312" w:eastAsia="仿宋_GB2312" w:cs="仿宋_GB2312"/>
                <w:bCs/>
                <w:sz w:val="28"/>
                <w:szCs w:val="28"/>
              </w:rPr>
              <w:t>整体支出管理工作的需要，拟实施的改进措施如下：</w:t>
            </w:r>
          </w:p>
          <w:p>
            <w:pPr>
              <w:spacing w:line="3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细化预算编制工作，认真做好预算的编制。</w:t>
            </w:r>
          </w:p>
          <w:p>
            <w:pPr>
              <w:spacing w:line="38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进一步加强局内部机构各科室的预算管理意识，严格按照预算编制的相关制度和要求，公用经费根据单位的年度工作重点和项目专项工作规划，本着“勤俭节约、保障运转”的原则进行预算的编制；编制范围尽可能的全面，不漏项；在预算编制时首先需满足固定性的、相对刚性的费用支出项目，尽量压缩变动性的、有控制空间的费用项目；杜绝预算编制粗放、拍脑袋现象的发生，进一步提高预算编制的科学性、合理性、严谨性和可控性。</w:t>
            </w:r>
          </w:p>
          <w:p>
            <w:pPr>
              <w:spacing w:line="3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2</w:t>
            </w:r>
            <w:r>
              <w:rPr>
                <w:rFonts w:hint="eastAsia" w:ascii="仿宋_GB2312" w:hAnsi="仿宋_GB2312" w:eastAsia="仿宋_GB2312" w:cs="仿宋_GB2312"/>
                <w:bCs/>
                <w:sz w:val="28"/>
                <w:szCs w:val="28"/>
              </w:rPr>
              <w:t>、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spacing w:line="3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3</w:t>
            </w:r>
            <w:r>
              <w:rPr>
                <w:rFonts w:hint="eastAsia" w:ascii="仿宋_GB2312" w:hAnsi="仿宋_GB2312" w:eastAsia="仿宋_GB2312" w:cs="仿宋_GB2312"/>
                <w:bCs/>
                <w:sz w:val="28"/>
                <w:szCs w:val="28"/>
              </w:rPr>
              <w:t>、遵循预算管理办法，对于年度无法预计的临时追加的相关工作所需费用，按照预算调整追加程序，逐级申报报批；对结余资金需调整用途的同样按照预算调整追加程序逐级申报报批，确保资金使用按照预算项目和使用用途执行，杜绝费用项目之间调剂使用现象的发生。</w:t>
            </w:r>
          </w:p>
          <w:p>
            <w:pPr>
              <w:spacing w:line="3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4</w:t>
            </w:r>
            <w:r>
              <w:rPr>
                <w:rFonts w:hint="eastAsia" w:ascii="仿宋_GB2312" w:hAnsi="仿宋_GB2312" w:eastAsia="仿宋_GB2312" w:cs="仿宋_GB2312"/>
                <w:bCs/>
                <w:sz w:val="28"/>
                <w:szCs w:val="28"/>
              </w:rPr>
              <w:t>、尽管目前三公经费的预算执行情况较好，根据中央办公厅、国务院办公厅关于进一步做好党政机关厉行节约工作的通知精神，仍需进一步严控三公经费支出，严格控制三公经费的规模和比例，严格三公经费支出的审核审批流程，杜绝挪用和挤占其他预算资金行为；进一步细化三公经费的管理，抓好公车的节能降耗工作，控制公务出国费用支出，进一步压缩三公经费支出。</w:t>
            </w:r>
          </w:p>
          <w:p>
            <w:pPr>
              <w:spacing w:line="3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5</w:t>
            </w:r>
            <w:r>
              <w:rPr>
                <w:rFonts w:hint="eastAsia" w:ascii="仿宋_GB2312" w:hAnsi="仿宋_GB2312" w:eastAsia="仿宋_GB2312" w:cs="仿宋_GB2312"/>
                <w:bCs/>
                <w:sz w:val="28"/>
                <w:szCs w:val="28"/>
              </w:rPr>
              <w:t>、财务分析常态化。定期做好支出预算财务分析，及时对费用预算执行情况进行通报和预警，定期对下属预算单位的预算执行情况进行检查，做好部门整体支出预算评价工作。</w:t>
            </w:r>
          </w:p>
          <w:p>
            <w:pPr>
              <w:spacing w:line="3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6</w:t>
            </w:r>
            <w:r>
              <w:rPr>
                <w:rFonts w:hint="eastAsia" w:ascii="仿宋_GB2312" w:hAnsi="仿宋_GB2312" w:eastAsia="仿宋_GB2312" w:cs="仿宋_GB2312"/>
                <w:bCs/>
                <w:sz w:val="28"/>
                <w:szCs w:val="28"/>
              </w:rPr>
              <w:t>、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pPr>
              <w:spacing w:line="3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7</w:t>
            </w:r>
            <w:r>
              <w:rPr>
                <w:rFonts w:hint="eastAsia" w:ascii="仿宋_GB2312" w:hAnsi="仿宋_GB2312" w:eastAsia="仿宋_GB2312" w:cs="仿宋_GB2312"/>
                <w:bCs/>
                <w:sz w:val="28"/>
                <w:szCs w:val="28"/>
              </w:rPr>
              <w:t>、在项目资金及时到位的前提下，加快项目实施进度的推进，加强项目开展进度的跟踪，开展项目绩效评价，确保项目绩效目标的完成；</w:t>
            </w:r>
          </w:p>
          <w:p>
            <w:pPr>
              <w:spacing w:line="380" w:lineRule="exact"/>
              <w:ind w:firstLine="560" w:firstLineChars="200"/>
              <w:rPr>
                <w:rFonts w:ascii="仿宋_GB2312" w:hAnsi="仿宋_GB2312" w:eastAsia="仿宋_GB2312" w:cs="仿宋_GB2312"/>
                <w:bCs/>
                <w:sz w:val="28"/>
                <w:szCs w:val="28"/>
              </w:rPr>
            </w:pPr>
            <w:r>
              <w:rPr>
                <w:rFonts w:ascii="仿宋_GB2312" w:hAnsi="仿宋_GB2312" w:eastAsia="仿宋_GB2312" w:cs="仿宋_GB2312"/>
                <w:bCs/>
                <w:sz w:val="28"/>
                <w:szCs w:val="28"/>
              </w:rPr>
              <w:t>8</w:t>
            </w:r>
            <w:r>
              <w:rPr>
                <w:rFonts w:hint="eastAsia" w:ascii="仿宋_GB2312" w:hAnsi="仿宋_GB2312" w:eastAsia="仿宋_GB2312" w:cs="仿宋_GB2312"/>
                <w:bCs/>
                <w:sz w:val="28"/>
                <w:szCs w:val="28"/>
              </w:rPr>
              <w:t>、及时开展和财政的年度结余资金的对账工作，加强和财政的沟通，尽早取得上年结余资金结转的指标批复，以便年初相关工作的开展。</w:t>
            </w:r>
          </w:p>
          <w:p>
            <w:pPr>
              <w:spacing w:line="380" w:lineRule="exact"/>
              <w:ind w:firstLine="560" w:firstLineChars="200"/>
              <w:rPr>
                <w:rFonts w:eastAsia="楷体_GB2312"/>
                <w:bCs/>
                <w:sz w:val="28"/>
                <w:szCs w:val="28"/>
              </w:rPr>
            </w:pPr>
            <w:r>
              <w:rPr>
                <w:rFonts w:ascii="仿宋_GB2312" w:hAnsi="仿宋_GB2312" w:eastAsia="仿宋_GB2312" w:cs="仿宋_GB2312"/>
                <w:bCs/>
                <w:sz w:val="28"/>
                <w:szCs w:val="28"/>
              </w:rPr>
              <w:t>9</w:t>
            </w:r>
            <w:r>
              <w:rPr>
                <w:rFonts w:hint="eastAsia" w:ascii="仿宋_GB2312" w:hAnsi="仿宋_GB2312" w:eastAsia="仿宋_GB2312" w:cs="仿宋_GB2312"/>
                <w:bCs/>
                <w:sz w:val="28"/>
                <w:szCs w:val="28"/>
              </w:rPr>
              <w:t>、加强财务核算工作，提高财务的精细化管理，确保财务核算的真实、及时、准确、完整。</w:t>
            </w:r>
          </w:p>
        </w:tc>
      </w:tr>
    </w:tbl>
    <w:p>
      <w:pPr>
        <w:spacing w:line="348" w:lineRule="auto"/>
        <w:rPr>
          <w:rFonts w:eastAsia="楷体_GB2312"/>
          <w:bCs/>
          <w:sz w:val="28"/>
          <w:szCs w:val="28"/>
        </w:rPr>
      </w:pPr>
    </w:p>
    <w:p/>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4"/>
        <w:szCs w:val="24"/>
      </w:rPr>
    </w:pPr>
    <w:r>
      <w:rPr>
        <w:rStyle w:val="10"/>
        <w:sz w:val="24"/>
        <w:szCs w:val="24"/>
      </w:rPr>
      <w:t xml:space="preserve">— </w:t>
    </w:r>
    <w:r>
      <w:rPr>
        <w:rStyle w:val="10"/>
        <w:sz w:val="24"/>
        <w:szCs w:val="24"/>
      </w:rPr>
      <w:fldChar w:fldCharType="begin"/>
    </w:r>
    <w:r>
      <w:rPr>
        <w:rStyle w:val="10"/>
        <w:sz w:val="24"/>
        <w:szCs w:val="24"/>
      </w:rPr>
      <w:instrText xml:space="preserve">PAGE  </w:instrText>
    </w:r>
    <w:r>
      <w:rPr>
        <w:rStyle w:val="10"/>
        <w:sz w:val="24"/>
        <w:szCs w:val="24"/>
      </w:rPr>
      <w:fldChar w:fldCharType="separate"/>
    </w:r>
    <w:r>
      <w:rPr>
        <w:rStyle w:val="10"/>
        <w:sz w:val="24"/>
        <w:szCs w:val="24"/>
      </w:rPr>
      <w:t>1</w:t>
    </w:r>
    <w:r>
      <w:rPr>
        <w:rStyle w:val="10"/>
        <w:sz w:val="24"/>
        <w:szCs w:val="24"/>
      </w:rPr>
      <w:fldChar w:fldCharType="end"/>
    </w:r>
    <w:r>
      <w:rPr>
        <w:rStyle w:val="10"/>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599822"/>
    <w:multiLevelType w:val="singleLevel"/>
    <w:tmpl w:val="E8599822"/>
    <w:lvl w:ilvl="0" w:tentative="0">
      <w:start w:val="1"/>
      <w:numFmt w:val="decimal"/>
      <w:suff w:val="nothing"/>
      <w:lvlText w:val="%1、"/>
      <w:lvlJc w:val="left"/>
    </w:lvl>
  </w:abstractNum>
  <w:abstractNum w:abstractNumId="1">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2">
    <w:nsid w:val="536B4669"/>
    <w:multiLevelType w:val="singleLevel"/>
    <w:tmpl w:val="536B4669"/>
    <w:lvl w:ilvl="0" w:tentative="0">
      <w:start w:val="2"/>
      <w:numFmt w:val="chineseCounting"/>
      <w:suff w:val="nothing"/>
      <w:lvlText w:val="（%1）"/>
      <w:lvlJc w:val="left"/>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Q4OTk5ZWI3NmMwMjQwYTU1MDU3ZTQ4YWJjNTY5NTYifQ=="/>
  </w:docVars>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3608"/>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360E1"/>
    <w:rsid w:val="001403A1"/>
    <w:rsid w:val="0014369C"/>
    <w:rsid w:val="00145559"/>
    <w:rsid w:val="00146AA7"/>
    <w:rsid w:val="001507F9"/>
    <w:rsid w:val="00150E9F"/>
    <w:rsid w:val="001515AF"/>
    <w:rsid w:val="001515E1"/>
    <w:rsid w:val="00152C42"/>
    <w:rsid w:val="001537BA"/>
    <w:rsid w:val="001538AF"/>
    <w:rsid w:val="00155E57"/>
    <w:rsid w:val="0015664A"/>
    <w:rsid w:val="00161BD6"/>
    <w:rsid w:val="00161CAA"/>
    <w:rsid w:val="00170110"/>
    <w:rsid w:val="001725E9"/>
    <w:rsid w:val="0017567A"/>
    <w:rsid w:val="00175AC5"/>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6A1B"/>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36A4"/>
    <w:rsid w:val="002B5B9D"/>
    <w:rsid w:val="002C0F44"/>
    <w:rsid w:val="002C1CC0"/>
    <w:rsid w:val="002C26F7"/>
    <w:rsid w:val="002D012B"/>
    <w:rsid w:val="002D0C45"/>
    <w:rsid w:val="002D196C"/>
    <w:rsid w:val="002D257D"/>
    <w:rsid w:val="002D4C75"/>
    <w:rsid w:val="002D7A7D"/>
    <w:rsid w:val="002E172A"/>
    <w:rsid w:val="002E2810"/>
    <w:rsid w:val="002E4165"/>
    <w:rsid w:val="002E4E40"/>
    <w:rsid w:val="002E5BB6"/>
    <w:rsid w:val="002E5BF7"/>
    <w:rsid w:val="002E5EEA"/>
    <w:rsid w:val="002F1297"/>
    <w:rsid w:val="002F2089"/>
    <w:rsid w:val="002F4CEA"/>
    <w:rsid w:val="002F50F8"/>
    <w:rsid w:val="002F7533"/>
    <w:rsid w:val="002F7976"/>
    <w:rsid w:val="002F7BD7"/>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32ABE"/>
    <w:rsid w:val="00341400"/>
    <w:rsid w:val="00341977"/>
    <w:rsid w:val="00341EF7"/>
    <w:rsid w:val="00342F27"/>
    <w:rsid w:val="00343E6F"/>
    <w:rsid w:val="003543F8"/>
    <w:rsid w:val="00354D3E"/>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49F0"/>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58D1"/>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84"/>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E7CD2"/>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579F9"/>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3FE"/>
    <w:rsid w:val="005F7A92"/>
    <w:rsid w:val="00603DB7"/>
    <w:rsid w:val="00604230"/>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6C55"/>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4CE4"/>
    <w:rsid w:val="006D6164"/>
    <w:rsid w:val="006D6579"/>
    <w:rsid w:val="006E09A9"/>
    <w:rsid w:val="006E2301"/>
    <w:rsid w:val="006E23D9"/>
    <w:rsid w:val="006E2B71"/>
    <w:rsid w:val="006E2C64"/>
    <w:rsid w:val="006E372B"/>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876BE"/>
    <w:rsid w:val="00790480"/>
    <w:rsid w:val="00791532"/>
    <w:rsid w:val="007916A4"/>
    <w:rsid w:val="00794023"/>
    <w:rsid w:val="007945C7"/>
    <w:rsid w:val="0079766E"/>
    <w:rsid w:val="007A10EC"/>
    <w:rsid w:val="007A29E2"/>
    <w:rsid w:val="007A3188"/>
    <w:rsid w:val="007A5A03"/>
    <w:rsid w:val="007A6B3C"/>
    <w:rsid w:val="007B089E"/>
    <w:rsid w:val="007B58FE"/>
    <w:rsid w:val="007C1182"/>
    <w:rsid w:val="007C17C4"/>
    <w:rsid w:val="007C32CB"/>
    <w:rsid w:val="007C37DB"/>
    <w:rsid w:val="007C4288"/>
    <w:rsid w:val="007C488F"/>
    <w:rsid w:val="007C581F"/>
    <w:rsid w:val="007D0E60"/>
    <w:rsid w:val="007D149B"/>
    <w:rsid w:val="007D2D82"/>
    <w:rsid w:val="007D2E62"/>
    <w:rsid w:val="007D6A2D"/>
    <w:rsid w:val="007D6DF8"/>
    <w:rsid w:val="007D7DCB"/>
    <w:rsid w:val="007E0262"/>
    <w:rsid w:val="007E0A1F"/>
    <w:rsid w:val="007E583B"/>
    <w:rsid w:val="007E5C08"/>
    <w:rsid w:val="007F068E"/>
    <w:rsid w:val="007F08C7"/>
    <w:rsid w:val="007F1741"/>
    <w:rsid w:val="007F2BE9"/>
    <w:rsid w:val="007F3A95"/>
    <w:rsid w:val="007F4269"/>
    <w:rsid w:val="007F4498"/>
    <w:rsid w:val="007F4880"/>
    <w:rsid w:val="007F6A5A"/>
    <w:rsid w:val="007F76E8"/>
    <w:rsid w:val="00800186"/>
    <w:rsid w:val="0080137E"/>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6E5"/>
    <w:rsid w:val="008809FE"/>
    <w:rsid w:val="00880B6B"/>
    <w:rsid w:val="008822AF"/>
    <w:rsid w:val="00882E96"/>
    <w:rsid w:val="00884E1A"/>
    <w:rsid w:val="008865FC"/>
    <w:rsid w:val="00890E92"/>
    <w:rsid w:val="00893D57"/>
    <w:rsid w:val="008955DC"/>
    <w:rsid w:val="00897FBF"/>
    <w:rsid w:val="008A0946"/>
    <w:rsid w:val="008A1DFB"/>
    <w:rsid w:val="008A27CB"/>
    <w:rsid w:val="008A37EF"/>
    <w:rsid w:val="008A3D61"/>
    <w:rsid w:val="008A4D06"/>
    <w:rsid w:val="008A545F"/>
    <w:rsid w:val="008A5A2E"/>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0F84"/>
    <w:rsid w:val="0090513D"/>
    <w:rsid w:val="009058A2"/>
    <w:rsid w:val="00911CE1"/>
    <w:rsid w:val="0092164C"/>
    <w:rsid w:val="0092366F"/>
    <w:rsid w:val="0092392B"/>
    <w:rsid w:val="00926C98"/>
    <w:rsid w:val="0093062A"/>
    <w:rsid w:val="0093298A"/>
    <w:rsid w:val="00935403"/>
    <w:rsid w:val="009364C1"/>
    <w:rsid w:val="00941AAB"/>
    <w:rsid w:val="00947481"/>
    <w:rsid w:val="0095061F"/>
    <w:rsid w:val="00950E5E"/>
    <w:rsid w:val="00951AC4"/>
    <w:rsid w:val="00951E00"/>
    <w:rsid w:val="00953D31"/>
    <w:rsid w:val="009541CC"/>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499"/>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373F8"/>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671A3"/>
    <w:rsid w:val="00A71017"/>
    <w:rsid w:val="00A71859"/>
    <w:rsid w:val="00A74CE7"/>
    <w:rsid w:val="00A76A54"/>
    <w:rsid w:val="00A77408"/>
    <w:rsid w:val="00A8029A"/>
    <w:rsid w:val="00A80F53"/>
    <w:rsid w:val="00A83B3A"/>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5C8F"/>
    <w:rsid w:val="00AB7205"/>
    <w:rsid w:val="00AB7C34"/>
    <w:rsid w:val="00AC20F0"/>
    <w:rsid w:val="00AC2884"/>
    <w:rsid w:val="00AC2AE6"/>
    <w:rsid w:val="00AC3C3A"/>
    <w:rsid w:val="00AC5C95"/>
    <w:rsid w:val="00AC5F8C"/>
    <w:rsid w:val="00AC68A9"/>
    <w:rsid w:val="00AD1250"/>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3DF"/>
    <w:rsid w:val="00B11C82"/>
    <w:rsid w:val="00B12E4C"/>
    <w:rsid w:val="00B130EE"/>
    <w:rsid w:val="00B13FB3"/>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78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E5C6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26507"/>
    <w:rsid w:val="00C30131"/>
    <w:rsid w:val="00C30AEC"/>
    <w:rsid w:val="00C35D38"/>
    <w:rsid w:val="00C35D9D"/>
    <w:rsid w:val="00C3778D"/>
    <w:rsid w:val="00C4168B"/>
    <w:rsid w:val="00C4231F"/>
    <w:rsid w:val="00C42C0F"/>
    <w:rsid w:val="00C44F7C"/>
    <w:rsid w:val="00C453ED"/>
    <w:rsid w:val="00C5175A"/>
    <w:rsid w:val="00C51945"/>
    <w:rsid w:val="00C51AF3"/>
    <w:rsid w:val="00C52A77"/>
    <w:rsid w:val="00C55928"/>
    <w:rsid w:val="00C5705C"/>
    <w:rsid w:val="00C64551"/>
    <w:rsid w:val="00C705D7"/>
    <w:rsid w:val="00C73925"/>
    <w:rsid w:val="00C7478F"/>
    <w:rsid w:val="00C747C8"/>
    <w:rsid w:val="00C7588A"/>
    <w:rsid w:val="00C768DA"/>
    <w:rsid w:val="00C80A86"/>
    <w:rsid w:val="00C82F03"/>
    <w:rsid w:val="00C86372"/>
    <w:rsid w:val="00C87798"/>
    <w:rsid w:val="00C93D94"/>
    <w:rsid w:val="00C95085"/>
    <w:rsid w:val="00C95BB0"/>
    <w:rsid w:val="00C9770C"/>
    <w:rsid w:val="00CA0E84"/>
    <w:rsid w:val="00CA459F"/>
    <w:rsid w:val="00CA49E0"/>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2B2"/>
    <w:rsid w:val="00D47B1F"/>
    <w:rsid w:val="00D533BC"/>
    <w:rsid w:val="00D53F3B"/>
    <w:rsid w:val="00D54AE2"/>
    <w:rsid w:val="00D55442"/>
    <w:rsid w:val="00D565E2"/>
    <w:rsid w:val="00D57CE5"/>
    <w:rsid w:val="00D608D8"/>
    <w:rsid w:val="00D61A2E"/>
    <w:rsid w:val="00D67582"/>
    <w:rsid w:val="00D7011D"/>
    <w:rsid w:val="00D70652"/>
    <w:rsid w:val="00D71ABC"/>
    <w:rsid w:val="00D732D0"/>
    <w:rsid w:val="00D73BEB"/>
    <w:rsid w:val="00D750EC"/>
    <w:rsid w:val="00D761A8"/>
    <w:rsid w:val="00D768A5"/>
    <w:rsid w:val="00D776C0"/>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3D19"/>
    <w:rsid w:val="00DF52C3"/>
    <w:rsid w:val="00DF6FA6"/>
    <w:rsid w:val="00DF76B2"/>
    <w:rsid w:val="00E00CF9"/>
    <w:rsid w:val="00E012C4"/>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1B85"/>
    <w:rsid w:val="00E7262A"/>
    <w:rsid w:val="00E74FBE"/>
    <w:rsid w:val="00E76A67"/>
    <w:rsid w:val="00E770F6"/>
    <w:rsid w:val="00E84603"/>
    <w:rsid w:val="00E84697"/>
    <w:rsid w:val="00E86183"/>
    <w:rsid w:val="00E87764"/>
    <w:rsid w:val="00E908FE"/>
    <w:rsid w:val="00E91238"/>
    <w:rsid w:val="00E91BEB"/>
    <w:rsid w:val="00E9222A"/>
    <w:rsid w:val="00E9313F"/>
    <w:rsid w:val="00E96877"/>
    <w:rsid w:val="00E97E35"/>
    <w:rsid w:val="00EA070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5F7B"/>
    <w:rsid w:val="00EF77F1"/>
    <w:rsid w:val="00EF7F6D"/>
    <w:rsid w:val="00F030EE"/>
    <w:rsid w:val="00F051EF"/>
    <w:rsid w:val="00F063D9"/>
    <w:rsid w:val="00F102EF"/>
    <w:rsid w:val="00F11C21"/>
    <w:rsid w:val="00F1284B"/>
    <w:rsid w:val="00F134C1"/>
    <w:rsid w:val="00F13EA0"/>
    <w:rsid w:val="00F1546D"/>
    <w:rsid w:val="00F15D7C"/>
    <w:rsid w:val="00F16154"/>
    <w:rsid w:val="00F16E9A"/>
    <w:rsid w:val="00F20C42"/>
    <w:rsid w:val="00F23E5E"/>
    <w:rsid w:val="00F25126"/>
    <w:rsid w:val="00F27B0F"/>
    <w:rsid w:val="00F30DDE"/>
    <w:rsid w:val="00F31816"/>
    <w:rsid w:val="00F3355E"/>
    <w:rsid w:val="00F3441D"/>
    <w:rsid w:val="00F350CA"/>
    <w:rsid w:val="00F369A7"/>
    <w:rsid w:val="00F4129D"/>
    <w:rsid w:val="00F426A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0A59"/>
    <w:rsid w:val="00F81454"/>
    <w:rsid w:val="00F819E0"/>
    <w:rsid w:val="00F81CBB"/>
    <w:rsid w:val="00F853EC"/>
    <w:rsid w:val="00F8549E"/>
    <w:rsid w:val="00F87499"/>
    <w:rsid w:val="00F905B2"/>
    <w:rsid w:val="00F92370"/>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2AFE"/>
    <w:rsid w:val="00FD6A5C"/>
    <w:rsid w:val="00FD6E97"/>
    <w:rsid w:val="00FE12FD"/>
    <w:rsid w:val="00FE14D3"/>
    <w:rsid w:val="00FE19EB"/>
    <w:rsid w:val="00FE3D9E"/>
    <w:rsid w:val="00FF1172"/>
    <w:rsid w:val="00FF3FE2"/>
    <w:rsid w:val="00FF4BBA"/>
    <w:rsid w:val="00FF6034"/>
    <w:rsid w:val="00FF7685"/>
    <w:rsid w:val="00FF774A"/>
    <w:rsid w:val="05103080"/>
    <w:rsid w:val="067C649D"/>
    <w:rsid w:val="09030574"/>
    <w:rsid w:val="0EC709F0"/>
    <w:rsid w:val="132647E1"/>
    <w:rsid w:val="15082B26"/>
    <w:rsid w:val="213114FF"/>
    <w:rsid w:val="26270EC8"/>
    <w:rsid w:val="278F7812"/>
    <w:rsid w:val="31AA7EF7"/>
    <w:rsid w:val="34F361EF"/>
    <w:rsid w:val="3FD845B3"/>
    <w:rsid w:val="40DF7012"/>
    <w:rsid w:val="426544D7"/>
    <w:rsid w:val="5A2C460D"/>
    <w:rsid w:val="60427111"/>
    <w:rsid w:val="656F7367"/>
    <w:rsid w:val="6D4A5F1E"/>
    <w:rsid w:val="6D683F73"/>
    <w:rsid w:val="79E53664"/>
    <w:rsid w:val="7AC323F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5"/>
    <w:qFormat/>
    <w:uiPriority w:val="99"/>
    <w:pPr>
      <w:ind w:firstLine="588" w:firstLineChars="200"/>
    </w:pPr>
    <w:rPr>
      <w:rFonts w:ascii="仿宋_GB2312" w:hAnsi="Calibri" w:eastAsia="仿宋_GB2312"/>
      <w:sz w:val="32"/>
    </w:rPr>
  </w:style>
  <w:style w:type="paragraph" w:styleId="3">
    <w:name w:val="Balloon Text"/>
    <w:basedOn w:val="1"/>
    <w:link w:val="18"/>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locked/>
    <w:uiPriority w:val="0"/>
    <w:rPr>
      <w:b/>
    </w:rPr>
  </w:style>
  <w:style w:type="character" w:styleId="10">
    <w:name w:val="page number"/>
    <w:basedOn w:val="8"/>
    <w:qFormat/>
    <w:uiPriority w:val="99"/>
    <w:rPr>
      <w:rFonts w:cs="Times New Roman"/>
    </w:rPr>
  </w:style>
  <w:style w:type="character" w:customStyle="1" w:styleId="11">
    <w:name w:val="Header Char"/>
    <w:basedOn w:val="8"/>
    <w:link w:val="5"/>
    <w:semiHidden/>
    <w:qFormat/>
    <w:locked/>
    <w:uiPriority w:val="99"/>
    <w:rPr>
      <w:rFonts w:cs="Times New Roman"/>
      <w:sz w:val="18"/>
      <w:szCs w:val="18"/>
    </w:rPr>
  </w:style>
  <w:style w:type="character" w:customStyle="1" w:styleId="12">
    <w:name w:val="Footer Char"/>
    <w:basedOn w:val="8"/>
    <w:link w:val="4"/>
    <w:qFormat/>
    <w:locked/>
    <w:uiPriority w:val="99"/>
    <w:rPr>
      <w:rFonts w:cs="Times New Roman"/>
      <w:sz w:val="18"/>
      <w:szCs w:val="18"/>
    </w:rPr>
  </w:style>
  <w:style w:type="character" w:customStyle="1" w:styleId="13">
    <w:name w:val="标题 3 Char Char"/>
    <w:qFormat/>
    <w:uiPriority w:val="99"/>
    <w:rPr>
      <w:rFonts w:eastAsia="楷体_GB2312"/>
      <w:b/>
      <w:kern w:val="2"/>
      <w:sz w:val="24"/>
      <w:lang w:val="en-US" w:eastAsia="zh-CN"/>
    </w:rPr>
  </w:style>
  <w:style w:type="paragraph" w:customStyle="1" w:styleId="14">
    <w:name w:val="Char"/>
    <w:basedOn w:val="1"/>
    <w:qFormat/>
    <w:uiPriority w:val="99"/>
    <w:pPr>
      <w:autoSpaceDE w:val="0"/>
      <w:autoSpaceDN w:val="0"/>
      <w:adjustRightInd w:val="0"/>
    </w:pPr>
    <w:rPr>
      <w:rFonts w:ascii="宋体" w:cs="宋体"/>
      <w:kern w:val="0"/>
      <w:sz w:val="20"/>
      <w:szCs w:val="20"/>
      <w:lang w:val="zh-CN"/>
    </w:rPr>
  </w:style>
  <w:style w:type="character" w:customStyle="1" w:styleId="15">
    <w:name w:val="Body Text Indent 2 Char"/>
    <w:basedOn w:val="8"/>
    <w:link w:val="2"/>
    <w:qFormat/>
    <w:locked/>
    <w:uiPriority w:val="99"/>
    <w:rPr>
      <w:rFonts w:ascii="仿宋_GB2312" w:hAnsi="Calibri" w:eastAsia="仿宋_GB2312" w:cs="Times New Roman"/>
      <w:sz w:val="24"/>
      <w:szCs w:val="24"/>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Balloon Text Char"/>
    <w:basedOn w:val="8"/>
    <w:link w:val="3"/>
    <w:semiHidden/>
    <w:qFormat/>
    <w:locked/>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13</Pages>
  <Words>5639</Words>
  <Characters>5846</Characters>
  <Lines>0</Lines>
  <Paragraphs>0</Paragraphs>
  <TotalTime>53</TotalTime>
  <ScaleCrop>false</ScaleCrop>
  <LinksUpToDate>false</LinksUpToDate>
  <CharactersWithSpaces>6240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Administrator</cp:lastModifiedBy>
  <cp:lastPrinted>2021-06-15T10:04:00Z</cp:lastPrinted>
  <dcterms:modified xsi:type="dcterms:W3CDTF">2022-06-22T01:29:10Z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F2E01549BC5A4FF184BE62C3362F34C2</vt:lpwstr>
  </property>
</Properties>
</file>