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hint="eastAsia"/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2021年度</w:t>
      </w: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岳阳市群众艺术馆</w:t>
      </w:r>
      <w:r>
        <w:rPr>
          <w:rFonts w:hint="eastAsia"/>
          <w:sz w:val="84"/>
          <w:szCs w:val="84"/>
        </w:rPr>
        <w:t>部门决算</w:t>
      </w: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spacing w:line="540" w:lineRule="exact"/>
        <w:jc w:val="center"/>
        <w:rPr>
          <w:sz w:val="56"/>
          <w:szCs w:val="56"/>
        </w:rPr>
      </w:pPr>
    </w:p>
    <w:p>
      <w:pPr>
        <w:pStyle w:val="9"/>
        <w:spacing w:line="500" w:lineRule="exact"/>
        <w:jc w:val="center"/>
        <w:rPr>
          <w:b/>
          <w:sz w:val="36"/>
          <w:szCs w:val="28"/>
        </w:rPr>
      </w:pPr>
    </w:p>
    <w:p>
      <w:pPr>
        <w:pStyle w:val="9"/>
        <w:spacing w:line="500" w:lineRule="exact"/>
        <w:jc w:val="center"/>
        <w:rPr>
          <w:b/>
          <w:sz w:val="36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XX单位概况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及决算单位构成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明细</w:t>
      </w:r>
      <w:r>
        <w:rPr>
          <w:rFonts w:cs="仿宋_GB2312" w:asciiTheme="minorEastAsia" w:hAnsiTheme="minorEastAsia" w:eastAsiaTheme="minorEastAsia"/>
          <w:sz w:val="28"/>
          <w:szCs w:val="28"/>
        </w:rPr>
        <w:t>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九、国有资本经营预算财政拨款支出决算表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21年度部门决算情况说明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“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三公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cs="仿宋_GB2312" w:eastAsia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国有资本经营预算财政拨款支出决算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十、机关运行经费支出说明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十二、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政府采购支出说明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十三、国有资产占用情况说明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  <w:t>十四、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2021年</w:t>
      </w:r>
      <w:r>
        <w:rPr>
          <w:rFonts w:hint="eastAsia" w:ascii="仿宋_GB2312" w:hAnsi="仿宋_GB2312" w:cs="仿宋_GB2312" w:eastAsiaTheme="minorEastAsia"/>
          <w:sz w:val="28"/>
          <w:szCs w:val="28"/>
        </w:rPr>
        <w:t>度预算绩效情况说明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岳阳市群众艺术馆</w:t>
      </w: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0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0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0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部门职责</w:t>
      </w:r>
    </w:p>
    <w:p>
      <w:pPr>
        <w:ind w:firstLine="640" w:firstLineChars="200"/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（一）</w:t>
      </w:r>
      <w:r>
        <w:rPr>
          <w:rFonts w:hint="eastAsia" w:asciiTheme="minorEastAsia" w:hAnsiTheme="minorEastAsia"/>
          <w:sz w:val="32"/>
          <w:szCs w:val="32"/>
          <w:lang w:eastAsia="zh-CN"/>
        </w:rPr>
        <w:t>承担全市的文艺培训、群众文化活动组织、群众文艺创作及各类社会文化活动辅导、群众文艺理论研究。</w:t>
      </w:r>
    </w:p>
    <w:p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（二）</w:t>
      </w:r>
      <w:r>
        <w:rPr>
          <w:rFonts w:hint="eastAsia" w:asciiTheme="minorEastAsia" w:hAnsiTheme="minorEastAsia"/>
          <w:sz w:val="32"/>
          <w:szCs w:val="32"/>
          <w:lang w:eastAsia="zh-CN"/>
        </w:rPr>
        <w:t>编辑出版综合性文艺刊物等全民艺术普及工作。</w:t>
      </w:r>
    </w:p>
    <w:p>
      <w:pPr>
        <w:widowControl/>
        <w:spacing w:line="60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640" w:firstLineChars="20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（一）内设机构设置。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岳阳市群众艺术馆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内设机构包括：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办公室、活动部、培训部、数字文化馆、《艺术岳阳》编辑部。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（二）预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算单位构成。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岳阳市群众艺术馆</w:t>
      </w:r>
      <w:r>
        <w:rPr>
          <w:rFonts w:asciiTheme="minorEastAsia" w:hAnsiTheme="minorEastAsia"/>
          <w:bCs/>
          <w:kern w:val="0"/>
          <w:sz w:val="32"/>
          <w:szCs w:val="32"/>
        </w:rPr>
        <w:t>20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21年部门决算汇总公开单位构成包括：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岳阳市群众艺术馆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本级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。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第二部分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部门决算表</w:t>
      </w:r>
    </w:p>
    <w:p>
      <w:pPr>
        <w:jc w:val="center"/>
        <w:rPr>
          <w:rFonts w:hint="eastAsia" w:eastAsiaTheme="minor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（见附件）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both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>
      <w:pPr>
        <w:pStyle w:val="9"/>
        <w:jc w:val="center"/>
        <w:rPr>
          <w:sz w:val="70"/>
          <w:szCs w:val="70"/>
        </w:rPr>
      </w:pPr>
    </w:p>
    <w:p>
      <w:pPr>
        <w:pStyle w:val="9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21年度部门决算情况说明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9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392.67</w:t>
      </w:r>
      <w:r>
        <w:rPr>
          <w:rFonts w:hint="eastAsia" w:asciiTheme="minorEastAsia" w:hAnsiTheme="minorEastAsia" w:eastAsiaTheme="minorEastAsia"/>
          <w:sz w:val="32"/>
          <w:szCs w:val="32"/>
        </w:rPr>
        <w:t>万元。与上年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531.88万元</w:t>
      </w:r>
      <w:r>
        <w:rPr>
          <w:rFonts w:hint="eastAsia" w:asciiTheme="minorEastAsia" w:hAnsiTheme="minorEastAsia" w:eastAsiaTheme="minorEastAsia"/>
          <w:sz w:val="32"/>
          <w:szCs w:val="32"/>
        </w:rPr>
        <w:t>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139.21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26.17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2020年的年初结转结余大于2021年的年初结转结余。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385.35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323.85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84</w:t>
      </w:r>
      <w:r>
        <w:rPr>
          <w:rFonts w:hint="eastAsia" w:asciiTheme="minorEastAsia" w:hAnsiTheme="minorEastAsia" w:eastAsiaTheme="minorEastAsia"/>
          <w:sz w:val="32"/>
          <w:szCs w:val="32"/>
        </w:rPr>
        <w:t>%；上级补助收入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%；事业收入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%；附属单位上缴收入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%；其他收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61.5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377.54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237.13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62.81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140.42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37.19</w:t>
      </w:r>
      <w:r>
        <w:rPr>
          <w:rFonts w:hint="eastAsia" w:asciiTheme="minorEastAsia" w:hAnsiTheme="minorEastAsia" w:eastAsiaTheme="minorEastAsia"/>
          <w:sz w:val="32"/>
          <w:szCs w:val="32"/>
        </w:rPr>
        <w:t>%；上缴上级支出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%；对附属单位补助支出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2021年度财政拨款收、支总计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331.17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万元，与上年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286.31万元</w:t>
      </w:r>
      <w:r>
        <w:rPr>
          <w:rFonts w:hint="eastAsia" w:asciiTheme="minorEastAsia" w:hAnsiTheme="minorEastAsia" w:eastAsiaTheme="minorEastAsia"/>
          <w:sz w:val="32"/>
          <w:szCs w:val="32"/>
        </w:rPr>
        <w:t>相比，增加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44.86</w:t>
      </w:r>
      <w:r>
        <w:rPr>
          <w:rFonts w:hint="eastAsia" w:asciiTheme="minorEastAsia" w:hAnsiTheme="minorEastAsia" w:eastAsiaTheme="minorEastAsia"/>
          <w:sz w:val="32"/>
          <w:szCs w:val="32"/>
        </w:rPr>
        <w:t>万元,增长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15.67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2021年调整预算数大于2020年调整预算数。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331.17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377.54万元</w:t>
      </w:r>
      <w:r>
        <w:rPr>
          <w:rFonts w:hint="eastAsia" w:asciiTheme="minorEastAsia" w:hAnsiTheme="minorEastAsia" w:eastAsiaTheme="minorEastAsia"/>
          <w:sz w:val="32"/>
          <w:szCs w:val="32"/>
        </w:rPr>
        <w:t>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87.72</w:t>
      </w:r>
      <w:r>
        <w:rPr>
          <w:rFonts w:hint="eastAsia" w:asciiTheme="minorEastAsia" w:hAnsiTheme="minorEastAsia" w:eastAsiaTheme="minorEastAsia"/>
          <w:sz w:val="32"/>
          <w:szCs w:val="32"/>
        </w:rPr>
        <w:t>%，与上年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278.85万元</w:t>
      </w:r>
      <w:r>
        <w:rPr>
          <w:rFonts w:hint="eastAsia" w:asciiTheme="minorEastAsia" w:hAnsiTheme="minorEastAsia" w:eastAsiaTheme="minorEastAsia"/>
          <w:sz w:val="32"/>
          <w:szCs w:val="32"/>
        </w:rPr>
        <w:t>相比，财政拨款支出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52.32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增加了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18.76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：人员费用的增加。</w:t>
      </w:r>
    </w:p>
    <w:p>
      <w:pPr>
        <w:pStyle w:val="9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9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331.17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万元，主要用于以下方面：一般公共服务（类）支出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35.60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10.75</w:t>
      </w:r>
      <w:r>
        <w:rPr>
          <w:rFonts w:hint="eastAsia" w:asciiTheme="minorEastAsia" w:hAnsiTheme="minorEastAsia" w:eastAsiaTheme="minorEastAsia"/>
          <w:sz w:val="32"/>
          <w:szCs w:val="32"/>
        </w:rPr>
        <w:t>%；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文化旅游体育与传媒支出（类）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258.76万元，占78.13%，社会保障和就业支出（类）29.05万元，占8.77%，卫生健康支出7.77万元，占2.35%。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172.25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331.17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192.26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1、一般公共服务支出（类）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党委办公厅（室）及相关机构事务</w:t>
      </w:r>
      <w:r>
        <w:rPr>
          <w:rFonts w:hint="eastAsia" w:asciiTheme="minorEastAsia" w:hAnsiTheme="minorEastAsia" w:eastAsiaTheme="minorEastAsia"/>
          <w:sz w:val="32"/>
          <w:szCs w:val="32"/>
        </w:rPr>
        <w:t>（款）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一般行政管理事务</w:t>
      </w:r>
      <w:r>
        <w:rPr>
          <w:rFonts w:hint="eastAsia" w:asciiTheme="minorEastAsia" w:hAnsiTheme="minorEastAsia" w:eastAsiaTheme="minorEastAsia"/>
          <w:sz w:val="32"/>
          <w:szCs w:val="32"/>
        </w:rPr>
        <w:t>（项）。</w:t>
      </w:r>
    </w:p>
    <w:p>
      <w:pPr>
        <w:pStyle w:val="9"/>
        <w:ind w:firstLine="800" w:firstLineChars="2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172.25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35.6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20.67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人员费用发生了改变。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文化旅游体育与传媒支出</w:t>
      </w:r>
      <w:r>
        <w:rPr>
          <w:rFonts w:hint="eastAsia" w:asciiTheme="minorEastAsia" w:hAnsiTheme="minorEastAsia" w:eastAsiaTheme="minorEastAsia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文化和旅游</w:t>
      </w:r>
      <w:r>
        <w:rPr>
          <w:rFonts w:hint="eastAsia" w:asciiTheme="minorEastAsia" w:hAnsiTheme="minorEastAsia" w:eastAsiaTheme="minorEastAsia"/>
          <w:sz w:val="32"/>
          <w:szCs w:val="32"/>
        </w:rPr>
        <w:t>（款）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一般行政管理事务</w:t>
      </w:r>
      <w:r>
        <w:rPr>
          <w:rFonts w:hint="eastAsia" w:asciiTheme="minorEastAsia" w:hAnsiTheme="minorEastAsia" w:eastAsiaTheme="minorEastAsia"/>
          <w:sz w:val="32"/>
          <w:szCs w:val="32"/>
        </w:rPr>
        <w:t>（项）。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172.25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258.76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150.22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%，决算数大于年初预算数的主要原因是：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年中项目经费较上年增加</w:t>
      </w:r>
    </w:p>
    <w:p>
      <w:pPr>
        <w:pStyle w:val="9"/>
        <w:numPr>
          <w:ilvl w:val="0"/>
          <w:numId w:val="2"/>
        </w:numPr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172.25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29.05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16.87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小</w:t>
      </w:r>
      <w:r>
        <w:rPr>
          <w:rFonts w:hint="eastAsia" w:asciiTheme="minorEastAsia" w:hAnsiTheme="minorEastAsia" w:eastAsiaTheme="minorEastAsia"/>
          <w:sz w:val="32"/>
          <w:szCs w:val="32"/>
        </w:rPr>
        <w:t>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人员费用发生了变化。</w:t>
      </w:r>
    </w:p>
    <w:p>
      <w:pPr>
        <w:pStyle w:val="9"/>
        <w:ind w:firstLine="800" w:firstLineChars="2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4、卫生健康支出（类）行政事业单位医疗（款）事业单位医疗（项）</w:t>
      </w:r>
    </w:p>
    <w:p>
      <w:pPr>
        <w:pStyle w:val="9"/>
        <w:numPr>
          <w:ilvl w:val="0"/>
          <w:numId w:val="0"/>
        </w:numPr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年初预算为172.25万元，支出决算为7.77万元，完成年初预算的4.51%，决算数小于年初预算数的主要原因是：人员费用发生了变化。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9"/>
        <w:ind w:firstLine="960" w:firstLineChars="3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237.13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212.8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89.74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%,主要包括主要包括基本工资、津贴补贴、</w:t>
      </w:r>
      <w:r>
        <w:rPr>
          <w:rFonts w:hint="eastAsia" w:asciiTheme="minorEastAsia" w:hAnsiTheme="minorEastAsia" w:eastAsiaTheme="minorEastAsia"/>
          <w:sz w:val="32"/>
          <w:szCs w:val="32"/>
          <w:lang w:val="zh-CN"/>
        </w:rPr>
        <w:t>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</w:t>
      </w:r>
      <w:r>
        <w:rPr>
          <w:rFonts w:hint="eastAsia" w:asciiTheme="minorEastAsia" w:hAnsiTheme="minorEastAsia" w:eastAsiaTheme="minorEastAsia"/>
          <w:sz w:val="32"/>
          <w:szCs w:val="32"/>
        </w:rPr>
        <w:t>；公用经费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24.32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10.26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七、一般公共预算财政拨款“三公”经费支出决算情况说明</w:t>
      </w:r>
    </w:p>
    <w:p>
      <w:pPr>
        <w:pStyle w:val="9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（一）“三公”经费财政拨款支出决算总体情况说明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万元，由于预算数为0，无法计算百分比，其中：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因公出国（境）费支出预算为0万元，支出决算为0万元，由于预算数为0，无法计算百分比，主要原因为本年未安排因公出国（境）；与上年相比无变化，主要原因是未安排外事出访活动。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公务接待费支出预算为0万元，支出决算为0万元，由于预算数为0，无法计算百分比，决算数为0，主要原因为本年未发生公务接待；与上年相比无变化，主要原因为本年未发生公务接待。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公务用车购置费支出预算为0万元，支出决算为0万元，由于预算数为0，无法计算百分比，决算数为0，主要原因为本年未购置公务用车；与上年相比无变化，主要原因为本年未购置公务用车。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公务用车运行维护费支出预算为0万元，支出决算为0万元，由于预算数为0，无法计算百分比，决算数为0，主要原因为本年未购置公务用车；与上年相比无变化，主要原因为本年未购置公务用车。</w:t>
      </w:r>
    </w:p>
    <w:p>
      <w:pPr>
        <w:pStyle w:val="9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9"/>
        <w:ind w:firstLine="960" w:firstLineChars="3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2021年度“三公”经费财政拨款支出决算中，公务接待费支出决算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%,因公出国（境）费支出决算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%。其中：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1、因公出国（境）费支出决算为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万元，全年安排因公出国（境）团组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个，累计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人次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万元，全年共接待来访团组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人次，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没有</w:t>
      </w:r>
      <w:r>
        <w:rPr>
          <w:rFonts w:hint="eastAsia" w:asciiTheme="minorEastAsia" w:hAnsiTheme="minorEastAsia" w:eastAsiaTheme="minorEastAsia"/>
          <w:sz w:val="32"/>
          <w:szCs w:val="32"/>
        </w:rPr>
        <w:t>发生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公务</w:t>
      </w:r>
      <w:r>
        <w:rPr>
          <w:rFonts w:hint="eastAsia" w:asciiTheme="minorEastAsia" w:hAnsiTheme="minorEastAsia" w:eastAsiaTheme="minorEastAsia"/>
          <w:sz w:val="32"/>
          <w:szCs w:val="32"/>
        </w:rPr>
        <w:t>接待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费</w:t>
      </w:r>
      <w:r>
        <w:rPr>
          <w:rFonts w:hint="eastAsia" w:asciiTheme="minorEastAsia" w:hAnsiTheme="minorEastAsia" w:eastAsiaTheme="minorEastAsia"/>
          <w:sz w:val="32"/>
          <w:szCs w:val="32"/>
        </w:rPr>
        <w:t>支出。</w:t>
      </w:r>
    </w:p>
    <w:p>
      <w:pPr>
        <w:ind w:firstLine="800" w:firstLineChars="25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3、公务用车购置费及运行维护费支出决算为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万元，其中：公务用车购置费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sz w:val="32"/>
          <w:szCs w:val="32"/>
        </w:rPr>
        <w:t>公务用车运行维护费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万元，截止2021年12月31日，我单位开支财政拨款的公务用车保有量为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辆。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9"/>
        <w:ind w:firstLine="640" w:firstLineChars="200"/>
        <w:rPr>
          <w:rFonts w:hint="default" w:asciiTheme="minorEastAsia" w:hAnsiTheme="minorEastAsia" w:eastAsiaTheme="minorEastAsia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32"/>
          <w:szCs w:val="32"/>
          <w:lang w:val="en-US" w:eastAsia="zh-CN" w:bidi="ar-SA"/>
        </w:rPr>
        <w:t>2021年度本单位无政府性基金预算支出。</w:t>
      </w:r>
    </w:p>
    <w:p>
      <w:pPr>
        <w:pStyle w:val="9"/>
        <w:numPr>
          <w:ilvl w:val="0"/>
          <w:numId w:val="3"/>
        </w:numPr>
        <w:rPr>
          <w:rFonts w:hint="eastAsia" w:hAnsi="黑体"/>
          <w:b/>
          <w:sz w:val="32"/>
          <w:szCs w:val="32"/>
          <w:lang w:eastAsia="zh-CN"/>
        </w:rPr>
      </w:pPr>
      <w:r>
        <w:rPr>
          <w:rFonts w:hint="eastAsia" w:hAnsi="黑体"/>
          <w:b/>
          <w:sz w:val="32"/>
          <w:szCs w:val="32"/>
        </w:rPr>
        <w:t>国有资本经营预算财政拨款支出决算</w:t>
      </w:r>
      <w:r>
        <w:rPr>
          <w:rFonts w:hint="eastAsia" w:hAnsi="黑体"/>
          <w:b/>
          <w:sz w:val="32"/>
          <w:szCs w:val="32"/>
          <w:lang w:eastAsia="zh-CN"/>
        </w:rPr>
        <w:t>情况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b/>
          <w:bCs/>
          <w:i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本单位无国有资本经营预算财政拨款支出。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十、机关运行经费支出说明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本部门2021年度机关运行经费支出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十一、一般性支出情况说明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2021年本部门开支会议费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万元，用于召开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0次</w:t>
      </w:r>
      <w:r>
        <w:rPr>
          <w:rFonts w:hint="eastAsia" w:asciiTheme="minorEastAsia" w:hAnsiTheme="minorEastAsia" w:eastAsiaTheme="minorEastAsia"/>
          <w:sz w:val="32"/>
          <w:szCs w:val="32"/>
        </w:rPr>
        <w:t>会议，人数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人；开支培训费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人；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2021年度未举办</w:t>
      </w:r>
      <w:r>
        <w:rPr>
          <w:rFonts w:hint="eastAsia" w:asciiTheme="minorEastAsia" w:hAnsiTheme="minorEastAsia" w:eastAsiaTheme="minorEastAsia"/>
          <w:sz w:val="32"/>
          <w:szCs w:val="32"/>
        </w:rPr>
        <w:t>节庆、晚会、论坛、赛事活动。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十二、政府采购支出说明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本部门2021年度政府采购支出总额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万元，其中：政府采购货物支出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万元、政府采购工程支出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万元、政府采购服务支出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万元。授予中小企业合同金额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万元，占政府采购支出总额的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%，其中：授予小微企业合同金额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万元，占授予中小企业合同金额的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%；货物采购授予中小企业合同金额占货物支出金额的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%，工程采购授予中小企业合同金额占工程支出金额的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%，服务采购授予中小企业合同金额占服务支出金额的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十三、国有资产占用情况说明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截至2021年12月31日，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本</w:t>
      </w:r>
      <w:r>
        <w:rPr>
          <w:rFonts w:hint="eastAsia" w:asciiTheme="minorEastAsia" w:hAnsiTheme="minorEastAsia" w:eastAsiaTheme="minorEastAsia"/>
          <w:sz w:val="32"/>
          <w:szCs w:val="32"/>
        </w:rPr>
        <w:t>单位共有车辆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辆，其中，主要领导干部用车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辆，机要通信用车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辆、应急保障用车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辆、执法执勤用车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辆、特种专业技术用车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辆、其他用车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辆，其他用车主要是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：群众文化服务用车</w:t>
      </w:r>
      <w:r>
        <w:rPr>
          <w:rFonts w:hint="eastAsia" w:asciiTheme="minorEastAsia" w:hAnsiTheme="minorEastAsia" w:eastAsiaTheme="minorEastAsia"/>
          <w:sz w:val="32"/>
          <w:szCs w:val="32"/>
        </w:rPr>
        <w:t>；单位价值50万元以上通用设备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台（套）；单位价值100万元以上专用设备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eastAsia="zh-CN"/>
        </w:rPr>
        <w:t>十四、</w:t>
      </w:r>
      <w:r>
        <w:rPr>
          <w:rFonts w:hint="eastAsia" w:hAnsi="黑体"/>
          <w:b/>
          <w:sz w:val="32"/>
          <w:szCs w:val="32"/>
        </w:rPr>
        <w:t>2021年度预算绩效情况说明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 xml:space="preserve">   （1）绩效管理评价工作开展情况。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根据预算绩效管理要求，我单位组织对2021年度一般公共预算项目支出全面开展绩效自评，其中，一级项目0个，二级项目4个，共涉及资金140.42 万元，占一般公共预算项目支出总额的100%。组织对2021年度岳阳市群艺馆等0个政府性基金预算项目支出开展绩效自评，共涉及资金0万元，占政府性基金预算项目支出总额的0%。组织对2021年度岳阳市群艺馆等0个国有资本经营预算项目支出开展绩效自评，共涉及资金0万元，占国有资本经营预算项目支出总额的0%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组织对“手工达人”项目开展了部门评价，涉及一般公共预算支出10万元，政府性基金预算支出0万元，国有资本经营预算支出0万元。从评价情况来看，2021年度“岳阳市手工达人艺术微视频（二期）”项目资金下拨到我馆后，我馆成立了项目小组，于10月份完成项目招标和与建设方的签约工作，规定项目建设工期为2021年12月前完成资源采集、制作并提交我馆。规定了资金执行和管理安排：签订合同后，支付合同总价的50%，即49000元；完成所有资源采集和制作后，支付剩下的50%，即49000元；另余2000元为光盘制作费用待省级验收后再支付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组织对岳阳市群众艺术馆单位开展整体支出绩效评价，涉及一般公共预算支出237.12万元，政府性基金预算支出0万元。从评价情况来看，2021年度我馆基本支出237.12万元，使用内容为人员经费和日常公用经费。其中人员经费支出212.80万元，主要用于发放事业人员、以及临时工工资及津补贴；支付机关离退休员工的工资及津补贴、抚恤金、丧葬费、生活补助等；一般商品和服务支出24.32万元，主要用于保障我馆正常运转所需开支的办公费、差旅费、招待费、会议费、公务用车运行维护费、等。基本开支主要来自于年初预算拨款，其他来自于政策性工资绩效预算的追加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（2）部门决算中项目绩效自评结果。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“手工达人”项目绩效自评综述：根据年初设定的绩效目标，项目绩效自评得分为98分。项目全年预算数为140.42万元，执行数为140.42 万元，完成预算的100%。项目绩效目标完成情况：一是已精选岳阳市手工达人艺术节优质内容，二是拍摄并制作成微视频5集，三是通过湖南公共文旅云、湖南省数字文化馆、岳阳市数字文化馆等平台提供给公众免费使用；发现的主要问题及原因：群众对项目的了解度普及度不够高。下一步改进措施：一是加大宣传力度；二是提高项目的知名度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“手工达人”项目绩效自评综述：项目让人们通过微视频的形式看到工艺之美，看到传统文化的蓬勃生机，看到“工匠精神”的沿袭，同时培养和锻炼广大群众，特别是中小学生的动手与审美能力，丰富广大群众的精神文化生活，增强群众的文化获得感。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（3）部门评价项目绩效评价结果。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绩效管理工作开展顺利，部门决算中项目绩效自评结果为优秀，部门评价项目绩效评价结果为优秀，以部门为主体开展的重点绩效评价结果为优秀。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预算绩效管理开展情况、绩效目标和绩效评价报告等，一并作为附件公开。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default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rPr>
          <w:sz w:val="72"/>
          <w:szCs w:val="72"/>
        </w:rPr>
      </w:pPr>
    </w:p>
    <w:p>
      <w:pPr>
        <w:pStyle w:val="9"/>
        <w:jc w:val="both"/>
        <w:rPr>
          <w:sz w:val="72"/>
          <w:szCs w:val="72"/>
        </w:rPr>
      </w:pPr>
    </w:p>
    <w:p>
      <w:pPr>
        <w:pStyle w:val="9"/>
        <w:jc w:val="both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一、财政拨款收入:指市级财政当年拨付的资金。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二、上级补助收入:指单位从主管部门]和上级单位取得的非财政性补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助收入。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三、其他收入:指除上述“财政拨款收入”、“ 上级补助收入”、“事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业收入”、“经营收入” 、“附属 单位上缴收入”等以外的收入。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四、上年结转和结余:指以前年度尚未完成、结转到本年按有关规定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继续使用的资金。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五、基本支出:指保障机构正常运转、完成支日常工作任务而发生的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人员支出和公用支出。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六、项目支出:指在基本支出之外为完成特定行政任务和事业发展目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标所发生的支出。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七、“三公”经费:指用财政拨款安排的因公出国(境)费、公务用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车购置及运行费和公务接待费。其中，因公出国(境)费反映出国(境)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的住宿费、旅费、伙食补助费、杂费、培训费等支出:公务用车购置及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运行费反映单位公务用车购置费及租用费、燃料费、维修费、过路过桥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费、保险费、安全奖励费用等支出:公务接待费反映单位按规定开支的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各类公务接待(含外宾接待)支出。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八、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机关运行经费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1、2021年部门决算公开表格</w:t>
      </w:r>
    </w:p>
    <w:p>
      <w:pPr>
        <w:ind w:firstLine="640" w:firstLineChars="200"/>
        <w:jc w:val="left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2021年度部门整体支出绩效评价报告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A298D"/>
    <w:multiLevelType w:val="singleLevel"/>
    <w:tmpl w:val="B16A298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B5C34"/>
    <w:multiLevelType w:val="singleLevel"/>
    <w:tmpl w:val="068B5C34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GQxZjRjNWQ2YzBlZDQxNTc2NWYwZTRlMzBlYWUifQ=="/>
  </w:docVars>
  <w:rsids>
    <w:rsidRoot w:val="00172A27"/>
    <w:rsid w:val="0002229B"/>
    <w:rsid w:val="000273BD"/>
    <w:rsid w:val="000415B7"/>
    <w:rsid w:val="00041E3F"/>
    <w:rsid w:val="00055DAA"/>
    <w:rsid w:val="00061F7B"/>
    <w:rsid w:val="000658A3"/>
    <w:rsid w:val="00074155"/>
    <w:rsid w:val="000873EF"/>
    <w:rsid w:val="000A3F69"/>
    <w:rsid w:val="00103957"/>
    <w:rsid w:val="00124A1F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14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C4197"/>
    <w:rsid w:val="003C47E6"/>
    <w:rsid w:val="003C4FC2"/>
    <w:rsid w:val="003E2331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1AF2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48B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C6197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75489"/>
    <w:rsid w:val="00DD06FF"/>
    <w:rsid w:val="00DD5FE9"/>
    <w:rsid w:val="00E00C7A"/>
    <w:rsid w:val="00E209CF"/>
    <w:rsid w:val="00E37D6C"/>
    <w:rsid w:val="00E55B68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1028B3"/>
    <w:rsid w:val="04FB79DC"/>
    <w:rsid w:val="05633A58"/>
    <w:rsid w:val="062A304C"/>
    <w:rsid w:val="06A23696"/>
    <w:rsid w:val="06B411F0"/>
    <w:rsid w:val="078A521A"/>
    <w:rsid w:val="07A601C1"/>
    <w:rsid w:val="07D54B0E"/>
    <w:rsid w:val="087403E0"/>
    <w:rsid w:val="0BDC50CB"/>
    <w:rsid w:val="0BE56081"/>
    <w:rsid w:val="0CE429D5"/>
    <w:rsid w:val="11291F54"/>
    <w:rsid w:val="11B12A00"/>
    <w:rsid w:val="1228457C"/>
    <w:rsid w:val="12B66012"/>
    <w:rsid w:val="13BE003E"/>
    <w:rsid w:val="141A34DB"/>
    <w:rsid w:val="141A488D"/>
    <w:rsid w:val="14A22DE7"/>
    <w:rsid w:val="17A87124"/>
    <w:rsid w:val="192835A8"/>
    <w:rsid w:val="1D9915EC"/>
    <w:rsid w:val="1FF870C5"/>
    <w:rsid w:val="20943F59"/>
    <w:rsid w:val="20EA1BF7"/>
    <w:rsid w:val="223970E9"/>
    <w:rsid w:val="22E561AD"/>
    <w:rsid w:val="241A2687"/>
    <w:rsid w:val="27DB542D"/>
    <w:rsid w:val="302B16C8"/>
    <w:rsid w:val="307F4CB8"/>
    <w:rsid w:val="325702BF"/>
    <w:rsid w:val="342D0E1B"/>
    <w:rsid w:val="35341048"/>
    <w:rsid w:val="3575771D"/>
    <w:rsid w:val="366364DD"/>
    <w:rsid w:val="370B6762"/>
    <w:rsid w:val="3B5D6039"/>
    <w:rsid w:val="3C0439F7"/>
    <w:rsid w:val="3C4E651E"/>
    <w:rsid w:val="3D887D5C"/>
    <w:rsid w:val="3E1F6D6B"/>
    <w:rsid w:val="40E13EB9"/>
    <w:rsid w:val="41782A6F"/>
    <w:rsid w:val="43197488"/>
    <w:rsid w:val="45F9639D"/>
    <w:rsid w:val="48ED0AB4"/>
    <w:rsid w:val="48ED43E7"/>
    <w:rsid w:val="4D344A38"/>
    <w:rsid w:val="4F692306"/>
    <w:rsid w:val="502C55DD"/>
    <w:rsid w:val="50555120"/>
    <w:rsid w:val="536607BB"/>
    <w:rsid w:val="551437C4"/>
    <w:rsid w:val="55CB1AB7"/>
    <w:rsid w:val="56780E61"/>
    <w:rsid w:val="56C16B18"/>
    <w:rsid w:val="5B4654A3"/>
    <w:rsid w:val="5B9D7AA8"/>
    <w:rsid w:val="5BD72A52"/>
    <w:rsid w:val="5D3C0ED1"/>
    <w:rsid w:val="60A907EA"/>
    <w:rsid w:val="6145544E"/>
    <w:rsid w:val="65CF438E"/>
    <w:rsid w:val="669925AE"/>
    <w:rsid w:val="673739CA"/>
    <w:rsid w:val="6A361D26"/>
    <w:rsid w:val="6B2B73EC"/>
    <w:rsid w:val="6BB447ED"/>
    <w:rsid w:val="6E0C501F"/>
    <w:rsid w:val="702F64DD"/>
    <w:rsid w:val="77E72C42"/>
    <w:rsid w:val="78A32355"/>
    <w:rsid w:val="79B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0904-B2FB-4FE3-894F-42F14B17B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4028</Words>
  <Characters>4407</Characters>
  <Lines>69</Lines>
  <Paragraphs>19</Paragraphs>
  <TotalTime>13</TotalTime>
  <ScaleCrop>false</ScaleCrop>
  <LinksUpToDate>false</LinksUpToDate>
  <CharactersWithSpaces>4434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Administrator</cp:lastModifiedBy>
  <cp:lastPrinted>2022-07-27T12:55:00Z</cp:lastPrinted>
  <dcterms:modified xsi:type="dcterms:W3CDTF">2023-09-22T08:08:58Z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C02081F76A1C414C807C3137DC2EA958</vt:lpwstr>
  </property>
</Properties>
</file>