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rPr>
          <w:rFonts w:hint="eastAsia"/>
          <w:sz w:val="56"/>
          <w:szCs w:val="56"/>
        </w:rPr>
      </w:pPr>
    </w:p>
    <w:p>
      <w:pPr>
        <w:pStyle w:val="11"/>
        <w:jc w:val="center"/>
        <w:rPr>
          <w:sz w:val="56"/>
          <w:szCs w:val="56"/>
        </w:rPr>
      </w:pPr>
    </w:p>
    <w:p>
      <w:pPr>
        <w:pStyle w:val="11"/>
        <w:jc w:val="center"/>
        <w:rPr>
          <w:sz w:val="84"/>
          <w:szCs w:val="84"/>
        </w:rPr>
      </w:pPr>
    </w:p>
    <w:p>
      <w:pPr>
        <w:pStyle w:val="11"/>
        <w:jc w:val="center"/>
        <w:rPr>
          <w:sz w:val="84"/>
          <w:szCs w:val="84"/>
        </w:rPr>
      </w:pPr>
    </w:p>
    <w:p>
      <w:pPr>
        <w:pStyle w:val="11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2021年度</w:t>
      </w:r>
    </w:p>
    <w:p>
      <w:pPr>
        <w:pStyle w:val="11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val="en-US" w:eastAsia="zh-CN"/>
        </w:rPr>
        <w:t>岳阳市图书馆</w:t>
      </w:r>
      <w:r>
        <w:rPr>
          <w:rFonts w:hint="eastAsia"/>
          <w:sz w:val="84"/>
          <w:szCs w:val="84"/>
        </w:rPr>
        <w:t>部门决算</w:t>
      </w:r>
    </w:p>
    <w:p>
      <w:pPr>
        <w:pStyle w:val="11"/>
        <w:jc w:val="center"/>
        <w:rPr>
          <w:sz w:val="56"/>
          <w:szCs w:val="56"/>
        </w:rPr>
      </w:pPr>
    </w:p>
    <w:p>
      <w:pPr>
        <w:pStyle w:val="11"/>
        <w:jc w:val="center"/>
        <w:rPr>
          <w:sz w:val="56"/>
          <w:szCs w:val="56"/>
        </w:rPr>
      </w:pPr>
    </w:p>
    <w:p>
      <w:pPr>
        <w:pStyle w:val="11"/>
        <w:jc w:val="center"/>
        <w:rPr>
          <w:sz w:val="56"/>
          <w:szCs w:val="56"/>
        </w:rPr>
      </w:pPr>
    </w:p>
    <w:p>
      <w:pPr>
        <w:pStyle w:val="11"/>
        <w:jc w:val="center"/>
        <w:rPr>
          <w:sz w:val="56"/>
          <w:szCs w:val="56"/>
        </w:rPr>
      </w:pPr>
    </w:p>
    <w:p>
      <w:pPr>
        <w:pStyle w:val="11"/>
        <w:jc w:val="center"/>
        <w:rPr>
          <w:sz w:val="32"/>
          <w:szCs w:val="32"/>
        </w:rPr>
      </w:pPr>
    </w:p>
    <w:p>
      <w:pPr>
        <w:pStyle w:val="11"/>
        <w:jc w:val="center"/>
        <w:rPr>
          <w:sz w:val="32"/>
          <w:szCs w:val="32"/>
        </w:rPr>
      </w:pPr>
    </w:p>
    <w:p>
      <w:pPr>
        <w:pStyle w:val="11"/>
        <w:jc w:val="center"/>
        <w:rPr>
          <w:sz w:val="32"/>
          <w:szCs w:val="32"/>
        </w:rPr>
      </w:pPr>
    </w:p>
    <w:p>
      <w:pPr>
        <w:pStyle w:val="11"/>
        <w:jc w:val="center"/>
        <w:rPr>
          <w:sz w:val="32"/>
          <w:szCs w:val="32"/>
        </w:rPr>
      </w:pPr>
    </w:p>
    <w:p>
      <w:pPr>
        <w:pStyle w:val="11"/>
        <w:jc w:val="center"/>
        <w:rPr>
          <w:sz w:val="32"/>
          <w:szCs w:val="32"/>
        </w:rPr>
      </w:pPr>
    </w:p>
    <w:p>
      <w:pPr>
        <w:pStyle w:val="11"/>
        <w:spacing w:line="540" w:lineRule="exact"/>
        <w:jc w:val="center"/>
        <w:rPr>
          <w:sz w:val="56"/>
          <w:szCs w:val="56"/>
        </w:rPr>
      </w:pPr>
    </w:p>
    <w:p>
      <w:pPr>
        <w:pStyle w:val="11"/>
        <w:spacing w:line="500" w:lineRule="exact"/>
        <w:jc w:val="center"/>
        <w:rPr>
          <w:b/>
          <w:sz w:val="36"/>
          <w:szCs w:val="28"/>
        </w:rPr>
      </w:pPr>
    </w:p>
    <w:p>
      <w:pPr>
        <w:pStyle w:val="11"/>
        <w:spacing w:line="500" w:lineRule="exact"/>
        <w:jc w:val="center"/>
        <w:rPr>
          <w:b/>
          <w:sz w:val="36"/>
          <w:szCs w:val="28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center"/>
        <w:textAlignment w:val="auto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  <w:lang w:val="en-US" w:eastAsia="zh-CN"/>
        </w:rPr>
        <w:t xml:space="preserve">  岳阳市图书馆</w:t>
      </w:r>
      <w:r>
        <w:rPr>
          <w:rFonts w:hint="eastAsia"/>
          <w:b/>
          <w:sz w:val="28"/>
          <w:szCs w:val="28"/>
        </w:rPr>
        <w:t>概况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一、部门职责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二、机构设置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及决算单位构成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二、收入决算表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三、支出决算表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四、财政拨款收入支出决算总表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五、一般公共预算财政拨款支出决算表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六、一般公共预算财政拨款基本支出决算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明细</w:t>
      </w:r>
      <w:r>
        <w:rPr>
          <w:rFonts w:cs="仿宋_GB2312" w:asciiTheme="minorEastAsia" w:hAnsiTheme="minorEastAsia" w:eastAsiaTheme="minorEastAsia"/>
          <w:sz w:val="28"/>
          <w:szCs w:val="28"/>
        </w:rPr>
        <w:t>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七、一般公共预算财政拨款“三公”经费支出决算表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八、政府性基金预算财政拨款收入支出决算表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九、国有资本经营预算财政拨款支出决算表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第三部分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21年度部门决算情况说明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“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三公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cs="仿宋_GB2312" w:eastAsia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国有资本经营预算财政拨款支出决算</w:t>
      </w:r>
      <w:r>
        <w:rPr>
          <w:rFonts w:hint="eastAsia" w:cs="仿宋_GB2312" w:asciiTheme="minorEastAsia" w:hAnsiTheme="minorEastAsia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十、机关运行经费支出说明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十二、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政府采购支出说明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十三、国有资产占用情况说明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  <w:t>十四、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2021年</w:t>
      </w:r>
      <w:r>
        <w:rPr>
          <w:rFonts w:hint="eastAsia" w:ascii="仿宋_GB2312" w:hAnsi="仿宋_GB2312" w:cs="仿宋_GB2312" w:eastAsiaTheme="minorEastAsia"/>
          <w:sz w:val="28"/>
          <w:szCs w:val="28"/>
        </w:rPr>
        <w:t>度预算绩效情况说明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第四部分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第五部分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20" w:lineRule="exact"/>
        <w:jc w:val="center"/>
        <w:textAlignment w:val="auto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pStyle w:val="11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  <w:r>
        <w:rPr>
          <w:sz w:val="84"/>
          <w:szCs w:val="84"/>
        </w:rPr>
        <w:t xml:space="preserve"> </w:t>
      </w:r>
    </w:p>
    <w:p>
      <w:pPr>
        <w:pStyle w:val="11"/>
        <w:jc w:val="center"/>
        <w:rPr>
          <w:sz w:val="84"/>
          <w:szCs w:val="84"/>
        </w:rPr>
      </w:pPr>
    </w:p>
    <w:p>
      <w:pPr>
        <w:pStyle w:val="11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val="en-US" w:eastAsia="zh-CN"/>
        </w:rPr>
        <w:t>岳阳市图书馆</w:t>
      </w:r>
      <w:r>
        <w:rPr>
          <w:rFonts w:hint="eastAsia"/>
          <w:sz w:val="84"/>
          <w:szCs w:val="84"/>
        </w:rPr>
        <w:t>概况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12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2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2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2"/>
        <w:numPr>
          <w:ilvl w:val="0"/>
          <w:numId w:val="0"/>
        </w:numPr>
        <w:ind w:leftChars="0"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ascii="黑体" w:hAnsi="黑体" w:eastAsia="黑体"/>
          <w:sz w:val="32"/>
          <w:szCs w:val="32"/>
        </w:rPr>
        <w:t>部门职责</w:t>
      </w:r>
    </w:p>
    <w:p>
      <w:pPr>
        <w:ind w:firstLine="800" w:firstLineChars="25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（一）保存借阅图书资料，促进社会经济文化发展。 图书、报刊、文献等资料的采编与储藏，图书资料借阅、网络系统的维护与管理。</w:t>
      </w:r>
    </w:p>
    <w:p>
      <w:pPr>
        <w:ind w:firstLine="800" w:firstLineChars="25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（二）参与图书馆学研究，提供知识培训与社会教育。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机构设置及决算单位构成</w:t>
      </w:r>
    </w:p>
    <w:p>
      <w:pPr>
        <w:widowControl/>
        <w:spacing w:line="600" w:lineRule="exact"/>
        <w:ind w:firstLine="640" w:firstLineChars="20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（一）内设机构设置。岳阳</w:t>
      </w:r>
      <w:r>
        <w:rPr>
          <w:rFonts w:asciiTheme="minorEastAsia" w:hAnsiTheme="minorEastAsia"/>
          <w:bCs/>
          <w:kern w:val="0"/>
          <w:sz w:val="32"/>
          <w:szCs w:val="32"/>
        </w:rPr>
        <w:t>市图书馆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内设机构包括七部一室：技术部含网络服务部、研究发展部、信息咨询部、社会活动推广部、采编部、文献流通服务部、儿童与青少年部和办公室。</w:t>
      </w:r>
    </w:p>
    <w:p>
      <w:pPr>
        <w:widowControl/>
        <w:spacing w:line="600" w:lineRule="exact"/>
        <w:ind w:firstLine="640" w:firstLineChars="200"/>
        <w:rPr>
          <w:rFonts w:ascii="仿宋_GB2312" w:eastAsia="仿宋_GB2312" w:hAnsiTheme="minorEastAsia"/>
          <w:sz w:val="28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（二）决算单位构成。岳阳</w:t>
      </w:r>
      <w:r>
        <w:rPr>
          <w:rFonts w:asciiTheme="minorEastAsia" w:hAnsiTheme="minorEastAsia"/>
          <w:bCs/>
          <w:kern w:val="0"/>
          <w:sz w:val="32"/>
          <w:szCs w:val="32"/>
        </w:rPr>
        <w:t>市图书馆20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2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年部门决算汇总公开单位构成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只含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岳阳</w:t>
      </w:r>
      <w:r>
        <w:rPr>
          <w:rFonts w:asciiTheme="minorEastAsia" w:hAnsiTheme="minorEastAsia"/>
          <w:bCs/>
          <w:kern w:val="0"/>
          <w:sz w:val="32"/>
          <w:szCs w:val="32"/>
        </w:rPr>
        <w:t>市图书馆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本级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。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第二部分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部门决算表</w:t>
      </w:r>
    </w:p>
    <w:p>
      <w:pPr>
        <w:jc w:val="center"/>
        <w:rPr>
          <w:rFonts w:hint="eastAsia" w:eastAsiaTheme="minor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（见附件）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11"/>
        <w:jc w:val="both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第三部分</w:t>
      </w:r>
    </w:p>
    <w:p>
      <w:pPr>
        <w:pStyle w:val="11"/>
        <w:jc w:val="center"/>
        <w:rPr>
          <w:sz w:val="70"/>
          <w:szCs w:val="70"/>
        </w:rPr>
      </w:pPr>
    </w:p>
    <w:p>
      <w:pPr>
        <w:pStyle w:val="11"/>
        <w:jc w:val="center"/>
        <w:rPr>
          <w:sz w:val="70"/>
          <w:szCs w:val="70"/>
        </w:rPr>
      </w:pPr>
      <w:r>
        <w:rPr>
          <w:sz w:val="70"/>
          <w:szCs w:val="70"/>
        </w:rPr>
        <w:t>20</w:t>
      </w:r>
      <w:r>
        <w:rPr>
          <w:rFonts w:hint="eastAsia"/>
          <w:sz w:val="70"/>
          <w:szCs w:val="70"/>
        </w:rPr>
        <w:t>21年度部门决算情况说明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>
      <w:pPr>
        <w:pStyle w:val="11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11"/>
        <w:ind w:firstLine="640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一、收入支出决算总体情况说明</w:t>
      </w:r>
    </w:p>
    <w:p>
      <w:pPr>
        <w:pStyle w:val="11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958.59</w:t>
      </w:r>
      <w:r>
        <w:rPr>
          <w:rFonts w:hint="eastAsia" w:asciiTheme="minorEastAsia" w:hAnsiTheme="minorEastAsia" w:eastAsiaTheme="minorEastAsia"/>
          <w:sz w:val="32"/>
          <w:szCs w:val="32"/>
        </w:rPr>
        <w:t>万元。与上年相比，增加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261.27</w:t>
      </w:r>
      <w:r>
        <w:rPr>
          <w:rFonts w:hint="eastAsia" w:asciiTheme="minorEastAsia" w:hAnsiTheme="minorEastAsia" w:eastAsia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37.47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新增水电和网络维护费（原该项经费由项目公司负责管理）及新进人员经费。</w:t>
      </w:r>
    </w:p>
    <w:p>
      <w:pPr>
        <w:pStyle w:val="11"/>
        <w:ind w:firstLine="640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二、收入决算情况说明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2021年度收入合计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891.79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741.42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83.1</w:t>
      </w:r>
      <w:r>
        <w:rPr>
          <w:rFonts w:hint="eastAsia" w:asciiTheme="minorEastAsia" w:hAnsiTheme="minorEastAsia" w:eastAsiaTheme="minorEastAsia"/>
          <w:sz w:val="32"/>
          <w:szCs w:val="32"/>
        </w:rPr>
        <w:t>%；上级补助收入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%；事业收入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%；经营收入X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%；附属单位上缴收入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%；其他收入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150.37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16.9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1"/>
        <w:ind w:firstLine="640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三、支出决算情况说明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2021年度支出合计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932.6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672.5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72.1</w:t>
      </w:r>
      <w:r>
        <w:rPr>
          <w:rFonts w:hint="eastAsia" w:asciiTheme="minorEastAsia" w:hAnsiTheme="minorEastAsia" w:eastAsiaTheme="minorEastAsia"/>
          <w:sz w:val="32"/>
          <w:szCs w:val="32"/>
        </w:rPr>
        <w:t>%；项目支出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260.1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27.9</w:t>
      </w:r>
      <w:r>
        <w:rPr>
          <w:rFonts w:hint="eastAsia" w:asciiTheme="minorEastAsia" w:hAnsiTheme="minorEastAsia" w:eastAsiaTheme="minorEastAsia"/>
          <w:sz w:val="32"/>
          <w:szCs w:val="32"/>
        </w:rPr>
        <w:t>%；上缴上级支出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%；经营支出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%；对附属单位补助支出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1"/>
        <w:ind w:firstLine="640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四、财政拨款收入支出决算总体情况说明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808.22</w:t>
      </w:r>
      <w:r>
        <w:rPr>
          <w:rFonts w:hint="eastAsia" w:asciiTheme="minorEastAsia" w:hAnsiTheme="minorEastAsia" w:eastAsiaTheme="minorEastAsia"/>
          <w:sz w:val="32"/>
          <w:szCs w:val="32"/>
        </w:rPr>
        <w:t>万元，与上年相比，增加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145.38</w:t>
      </w:r>
      <w:r>
        <w:rPr>
          <w:rFonts w:hint="eastAsia" w:asciiTheme="minorEastAsia" w:hAnsiTheme="minorEastAsia" w:eastAsiaTheme="minorEastAsia"/>
          <w:sz w:val="32"/>
          <w:szCs w:val="32"/>
        </w:rPr>
        <w:t>万元,增长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21.9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新增水电和网络维护费（原该项经费由项目公司负责管理）及新进人员经费。</w:t>
      </w:r>
    </w:p>
    <w:p>
      <w:pPr>
        <w:pStyle w:val="11"/>
        <w:ind w:firstLine="640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五、一般公共预算财政拨款支出决算情况说明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（一）财政拨款支出决算总体情况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i/>
          <w:i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808.22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万元，占本年支出合计的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86.7</w:t>
      </w:r>
      <w:r>
        <w:rPr>
          <w:rFonts w:hint="eastAsia" w:asciiTheme="minorEastAsia" w:hAnsiTheme="minorEastAsia" w:eastAsiaTheme="minorEastAsia"/>
          <w:sz w:val="32"/>
          <w:szCs w:val="32"/>
        </w:rPr>
        <w:t>%，与上年相比，财政拨款支出增加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212.22</w:t>
      </w:r>
      <w:r>
        <w:rPr>
          <w:rFonts w:hint="eastAsia" w:asciiTheme="minorEastAsia" w:hAnsiTheme="minorEastAsia" w:eastAsia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35.6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新增水电和网络维护费（原该项经费由项目公司负责管理）及新进人员经费。</w:t>
      </w:r>
    </w:p>
    <w:p>
      <w:pPr>
        <w:pStyle w:val="11"/>
        <w:ind w:firstLine="480" w:firstLineChars="1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（二）财政拨款支出决算结构情况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808.22</w:t>
      </w:r>
      <w:r>
        <w:rPr>
          <w:rFonts w:hint="eastAsia" w:asciiTheme="minorEastAsia" w:hAnsiTheme="minorEastAsia" w:eastAsiaTheme="minorEastAsia"/>
          <w:sz w:val="32"/>
          <w:szCs w:val="32"/>
        </w:rPr>
        <w:t>万元，主要用于以下方面：文化旅游体育与传媒支出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722.21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89.3</w:t>
      </w:r>
      <w:r>
        <w:rPr>
          <w:rFonts w:hint="eastAsia" w:asciiTheme="minorEastAsia" w:hAnsiTheme="minorEastAsia" w:eastAsiaTheme="minorEastAsia"/>
          <w:sz w:val="32"/>
          <w:szCs w:val="32"/>
        </w:rPr>
        <w:t>%；社会保障和就业支出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61.23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7.6</w:t>
      </w:r>
      <w:r>
        <w:rPr>
          <w:rFonts w:hint="eastAsia" w:asciiTheme="minorEastAsia" w:hAnsiTheme="minorEastAsia" w:eastAsiaTheme="minorEastAsia"/>
          <w:sz w:val="32"/>
          <w:szCs w:val="32"/>
        </w:rPr>
        <w:t>%；卫生健康支出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24.78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3.1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（三）财政拨款支出决算具体情况</w:t>
      </w:r>
    </w:p>
    <w:p>
      <w:pPr>
        <w:pStyle w:val="11"/>
        <w:ind w:firstLine="800" w:firstLineChars="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570.18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808.22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141.75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1、文化旅游体育与传媒支出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-文化和旅游（款）-  一般行政管理事务（项）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106.29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118.1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%，决算数大于年初预算数的主要原因是：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新图书馆社会知名度提高，进馆读者数量增多，增加日常经费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32"/>
          <w:szCs w:val="32"/>
        </w:rPr>
        <w:t>、文化旅游体育与传媒支出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-文化和旅游（款）-  图书馆（项）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326.18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506.72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155.35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%，决算数大于年初预算数的主要原因是：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新增水电和网络维护费（原该项经费由项目公司负责管理）及新进人员经费。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</w:rPr>
        <w:t>、文化旅游体育与传媒支出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-文化和旅游（款）-  其他文化和旅游支出（项）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1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109.2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156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%，决算数大于年初预算数的主要原因是：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新增水电和网络维护费（原该项经费由项目公司负责管理）及新进人员经费。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、社会保障和就业支出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-行政事业单位养老支出（款）-机关事业单位基本养老保险缴费支出（项）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61.23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102.05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%，决算数大于年初预算数的主要原因是：图书馆新进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事业单位公开招考</w:t>
      </w:r>
      <w:r>
        <w:rPr>
          <w:rFonts w:hint="eastAsia" w:asciiTheme="minorEastAsia" w:hAnsiTheme="minorEastAsia" w:eastAsiaTheme="minorEastAsia"/>
          <w:sz w:val="32"/>
          <w:szCs w:val="32"/>
        </w:rPr>
        <w:t>人员经费相应增加。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2"/>
          <w:szCs w:val="32"/>
        </w:rPr>
        <w:t>、卫生健康支出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-行政事业单位医疗（款）-事业单位医疗（项）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24.78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103.25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32"/>
          <w:szCs w:val="32"/>
        </w:rPr>
        <w:t>决算数大于年初预算数的主要原因是：图书馆新进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事业单位公开招考</w:t>
      </w:r>
      <w:r>
        <w:rPr>
          <w:rFonts w:hint="eastAsia" w:asciiTheme="minorEastAsia" w:hAnsiTheme="minorEastAsia" w:eastAsiaTheme="minorEastAsia"/>
          <w:sz w:val="32"/>
          <w:szCs w:val="32"/>
        </w:rPr>
        <w:t>人员经费相应增加。</w:t>
      </w:r>
    </w:p>
    <w:p>
      <w:pPr>
        <w:pStyle w:val="11"/>
        <w:ind w:left="638" w:leftChars="304" w:firstLine="0" w:firstLineChars="0"/>
        <w:rPr>
          <w:rFonts w:hint="eastAsia"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、</w:t>
      </w:r>
      <w:r>
        <w:rPr>
          <w:rFonts w:hint="eastAsia" w:hAnsi="黑体"/>
          <w:b/>
          <w:sz w:val="32"/>
          <w:szCs w:val="32"/>
        </w:rPr>
        <w:t>一般公共预算财政拨款基本支出决算情况说明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hAnsi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年度财政拨款基本支出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668.07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万元，其中：人员经费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599.26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89.7</w:t>
      </w:r>
      <w:r>
        <w:rPr>
          <w:rFonts w:hint="eastAsia" w:asciiTheme="minorEastAsia" w:hAnsiTheme="minorEastAsia" w:eastAsiaTheme="minorEastAsia"/>
          <w:sz w:val="32"/>
          <w:szCs w:val="32"/>
        </w:rPr>
        <w:t>%,主要包括基本工资、奖金、伙食补助费、绩效工资、机关事业单位基本养老保险缴费、职工基本医疗保险缴费、其他社会保障缴费、住房公积金、其他工资福利支出、退休费、生活补助、奖励金；公用经费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68.81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10.3</w:t>
      </w:r>
      <w:r>
        <w:rPr>
          <w:rFonts w:hint="eastAsia" w:asciiTheme="minorEastAsia" w:hAnsiTheme="minorEastAsia" w:eastAsiaTheme="minorEastAsia"/>
          <w:sz w:val="32"/>
          <w:szCs w:val="32"/>
        </w:rPr>
        <w:t>%，主要包括办公费、印刷费、水费、电费、邮电费、差旅费、维修（护）费、培训费、公务接待费、专用材料费、劳务费、工会经费、公务用车运行维护费，其他交通费用、其他商品和服务支出、办公设备购置。</w:t>
      </w:r>
    </w:p>
    <w:p>
      <w:pPr>
        <w:pStyle w:val="11"/>
        <w:ind w:firstLine="640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七、一般公共预算财政拨款“三公”经费支出决算情况说明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（一）“三公”经费财政拨款支出决算总体情况说明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“三公”经费财政拨款支出预算为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1.5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万元，支出决算为0.5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36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11"/>
        <w:ind w:firstLine="800" w:firstLineChars="250"/>
        <w:rPr>
          <w:rFonts w:hint="default" w:asciiTheme="minorEastAsia" w:hAnsiTheme="minorEastAsia" w:eastAsia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因公出国（境）费支出预算为0万元，支出决算为0万元，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与上年支出决算持平，由于预算数为0，无法计算百分比，主要原因为本年未安排因公出国（境）；与上年相比无变化，主要原因是未安排外事出访活动。</w:t>
      </w:r>
    </w:p>
    <w:p>
      <w:pPr>
        <w:pStyle w:val="11"/>
        <w:ind w:firstLine="800" w:firstLineChars="25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公务接待费支出预算为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万元，支出决算为0.3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68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%，决算数小于预算数的主要原因是加强党风廉政建设，压缩接待费开支，与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年初预算</w:t>
      </w:r>
      <w:r>
        <w:rPr>
          <w:rFonts w:hint="eastAsia" w:asciiTheme="minorEastAsia" w:hAnsiTheme="minorEastAsia" w:eastAsiaTheme="minorEastAsia"/>
          <w:sz w:val="32"/>
          <w:szCs w:val="32"/>
        </w:rPr>
        <w:t>相比减少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0.32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64</w:t>
      </w:r>
      <w:r>
        <w:rPr>
          <w:rFonts w:hint="eastAsia" w:asciiTheme="minorEastAsia" w:hAnsiTheme="minorEastAsia" w:eastAsiaTheme="minorEastAsia"/>
          <w:sz w:val="32"/>
          <w:szCs w:val="32"/>
        </w:rPr>
        <w:t>%,减少的主要原因是加强党风廉政建设，压缩接待费开支。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与上年支出决算数持平，主要原因是严控接待支出。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公务用车购置费及运行维护费支出预算为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0.19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32"/>
          <w:szCs w:val="32"/>
        </w:rPr>
        <w:t>%。决算数小于预算数的主要原因是加强党风廉政建设，压缩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开支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与上年支出决算数持平，主要原因是严格按要求安排公务用车运行。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（二）“三公”经费财政拨款支出决算具体情况说明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年度“三公”经费财政拨款支出决算中，公务接待费支出决算0.3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63</w:t>
      </w:r>
      <w:r>
        <w:rPr>
          <w:rFonts w:hint="eastAsia" w:asciiTheme="minorEastAsia" w:hAnsiTheme="minorEastAsia" w:eastAsiaTheme="minorEastAsia"/>
          <w:sz w:val="32"/>
          <w:szCs w:val="32"/>
        </w:rPr>
        <w:t>%,因公出国（境）费支出决算0万元，占0%,公务用车购置费及运行维护费支出决算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0.19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37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对比2020年</w:t>
      </w:r>
      <w:r>
        <w:rPr>
          <w:rFonts w:hint="eastAsia" w:asciiTheme="minorEastAsia" w:hAnsiTheme="minorEastAsia" w:eastAsiaTheme="minorEastAsia"/>
          <w:sz w:val="32"/>
          <w:szCs w:val="32"/>
        </w:rPr>
        <w:t>因公出国（境）费支出决算0万元，占0%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2020年</w:t>
      </w:r>
      <w:r>
        <w:rPr>
          <w:rFonts w:hint="eastAsia" w:asciiTheme="minorEastAsia" w:hAnsiTheme="minorEastAsia" w:eastAsiaTheme="minorEastAsia"/>
          <w:sz w:val="32"/>
          <w:szCs w:val="32"/>
        </w:rPr>
        <w:t>公务用车购置费及运行维护费支出决算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0.19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占37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/>
          <w:sz w:val="32"/>
          <w:szCs w:val="32"/>
        </w:rPr>
        <w:t>因公出国（境）费支出决算为0万元，全年安排因公出国（境）团组0个，累计0人次。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2、公务接待费支出决算为0.3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万元，全年共接待来访团组6个、来宾48人次，主要是县级图书馆来访发生的接待支出。</w:t>
      </w:r>
    </w:p>
    <w:p>
      <w:pPr>
        <w:ind w:firstLine="800" w:firstLineChars="250"/>
        <w:rPr>
          <w:rFonts w:hint="default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3、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本馆现有一台公务用车，</w:t>
      </w:r>
      <w:r>
        <w:rPr>
          <w:rFonts w:hint="eastAsia" w:asciiTheme="minorEastAsia" w:hAnsiTheme="minorEastAsia"/>
          <w:sz w:val="32"/>
          <w:szCs w:val="32"/>
        </w:rPr>
        <w:t>公务用车购置费及运行维护费支出决算为0.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/>
          <w:sz w:val="32"/>
          <w:szCs w:val="32"/>
        </w:rPr>
        <w:t>万元，其中：公务用车购置费0万元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sz w:val="32"/>
          <w:szCs w:val="32"/>
        </w:rPr>
        <w:t>公务用车运行维护费0.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/>
          <w:sz w:val="32"/>
          <w:szCs w:val="32"/>
        </w:rPr>
        <w:t>万元，主要是图书馆流动服务车维修费用和油费支出。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我单位财政拨款的公务用车保有量为1辆。</w:t>
      </w:r>
    </w:p>
    <w:p>
      <w:pPr>
        <w:pStyle w:val="11"/>
        <w:ind w:firstLine="640" w:firstLineChars="200"/>
        <w:rPr>
          <w:rFonts w:hint="eastAsia"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八、政府性基金预算收入支出决算情况</w:t>
      </w:r>
    </w:p>
    <w:p>
      <w:pPr>
        <w:pStyle w:val="11"/>
        <w:ind w:firstLine="640" w:firstLineChars="200"/>
        <w:rPr>
          <w:rFonts w:hint="eastAsia" w:hAnsi="黑体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年度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岳阳市图书馆无政府性基金预算财政拨款收支。</w:t>
      </w:r>
    </w:p>
    <w:p>
      <w:pPr>
        <w:pStyle w:val="11"/>
        <w:numPr>
          <w:ilvl w:val="0"/>
          <w:numId w:val="1"/>
        </w:numPr>
        <w:ind w:left="642" w:leftChars="0" w:firstLine="0" w:firstLineChars="0"/>
        <w:rPr>
          <w:rFonts w:hint="eastAsia" w:hAnsi="黑体"/>
          <w:b/>
          <w:sz w:val="32"/>
          <w:szCs w:val="32"/>
          <w:lang w:eastAsia="zh-CN"/>
        </w:rPr>
      </w:pPr>
      <w:r>
        <w:rPr>
          <w:rFonts w:hint="eastAsia" w:hAnsi="黑体"/>
          <w:b/>
          <w:sz w:val="32"/>
          <w:szCs w:val="32"/>
        </w:rPr>
        <w:t>国有资本经营预算财政拨款支出决算</w:t>
      </w:r>
      <w:r>
        <w:rPr>
          <w:rFonts w:hint="eastAsia" w:hAnsi="黑体"/>
          <w:b/>
          <w:sz w:val="32"/>
          <w:szCs w:val="32"/>
          <w:lang w:eastAsia="zh-CN"/>
        </w:rPr>
        <w:t>情况</w:t>
      </w:r>
    </w:p>
    <w:p>
      <w:pPr>
        <w:pStyle w:val="11"/>
        <w:numPr>
          <w:ilvl w:val="0"/>
          <w:numId w:val="0"/>
        </w:numPr>
        <w:ind w:left="642" w:leftChars="0"/>
        <w:rPr>
          <w:rFonts w:hint="eastAsia" w:hAnsi="黑体"/>
          <w:b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年度</w:t>
      </w: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lang w:val="en-US" w:eastAsia="zh-CN"/>
        </w:rPr>
        <w:t>岳阳市图书馆</w:t>
      </w:r>
      <w:r>
        <w:rPr>
          <w:rFonts w:hint="eastAsia" w:asciiTheme="minorEastAsia" w:hAnsiTheme="minorEastAsia" w:eastAsiaTheme="minorEastAsia"/>
          <w:sz w:val="32"/>
          <w:szCs w:val="32"/>
        </w:rPr>
        <w:t>无国有资本经营预算财政拨款支出</w:t>
      </w:r>
      <w:r>
        <w:rPr>
          <w:rFonts w:asciiTheme="minorEastAsia" w:hAnsiTheme="minorEastAsia" w:eastAsiaTheme="minorEastAsia"/>
          <w:sz w:val="32"/>
          <w:szCs w:val="32"/>
        </w:rPr>
        <w:t>。</w:t>
      </w:r>
    </w:p>
    <w:p>
      <w:pPr>
        <w:pStyle w:val="11"/>
        <w:numPr>
          <w:ilvl w:val="0"/>
          <w:numId w:val="1"/>
        </w:numPr>
        <w:ind w:left="642" w:leftChars="0" w:firstLine="0" w:firstLineChars="0"/>
        <w:rPr>
          <w:rFonts w:hint="eastAsia"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机关运行经费支出说明</w:t>
      </w:r>
    </w:p>
    <w:p>
      <w:pPr>
        <w:pStyle w:val="11"/>
        <w:numPr>
          <w:ilvl w:val="0"/>
          <w:numId w:val="0"/>
        </w:numPr>
        <w:ind w:left="642" w:leftChars="0"/>
        <w:rPr>
          <w:rFonts w:hint="eastAsia" w:hAnsi="黑体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年度</w:t>
      </w:r>
      <w:r>
        <w:rPr>
          <w:rFonts w:hint="eastAsia" w:asciiTheme="minorEastAsia" w:hAnsiTheme="minorEastAsia" w:eastAsiaTheme="minorEastAsia"/>
          <w:b w:val="0"/>
          <w:bCs/>
          <w:sz w:val="32"/>
          <w:szCs w:val="32"/>
          <w:lang w:val="en-US" w:eastAsia="zh-CN"/>
        </w:rPr>
        <w:t>岳阳市图书馆</w:t>
      </w:r>
      <w:r>
        <w:rPr>
          <w:rFonts w:hint="eastAsia" w:asciiTheme="minorEastAsia" w:hAnsiTheme="minorEastAsia" w:eastAsiaTheme="minorEastAsia"/>
          <w:sz w:val="32"/>
          <w:szCs w:val="32"/>
        </w:rPr>
        <w:t>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机关运行经费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asciiTheme="minorEastAsia" w:hAnsiTheme="minorEastAsia" w:eastAsiaTheme="minorEastAsia"/>
          <w:sz w:val="32"/>
          <w:szCs w:val="32"/>
        </w:rPr>
        <w:t>。</w:t>
      </w:r>
    </w:p>
    <w:p>
      <w:pPr>
        <w:pStyle w:val="11"/>
        <w:numPr>
          <w:ilvl w:val="0"/>
          <w:numId w:val="1"/>
        </w:numPr>
        <w:ind w:left="642" w:leftChars="0" w:firstLine="0" w:firstLineChars="0"/>
        <w:rPr>
          <w:rFonts w:hint="eastAsia"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一般性支出情况说明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岳阳市图书馆</w:t>
      </w:r>
      <w:r>
        <w:rPr>
          <w:rFonts w:hint="eastAsia" w:asciiTheme="minorEastAsia" w:hAnsiTheme="minorEastAsia" w:eastAsiaTheme="minorEastAsia"/>
          <w:sz w:val="32"/>
          <w:szCs w:val="32"/>
        </w:rPr>
        <w:t>开支会议费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开支培训费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0.38</w:t>
      </w:r>
      <w:r>
        <w:rPr>
          <w:rFonts w:hint="eastAsia" w:asciiTheme="minorEastAsia" w:hAnsiTheme="minorEastAsia" w:eastAsiaTheme="minorEastAsia"/>
          <w:sz w:val="32"/>
          <w:szCs w:val="32"/>
        </w:rPr>
        <w:t>万元，用于开展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图书馆新增业务</w:t>
      </w:r>
      <w:r>
        <w:rPr>
          <w:rFonts w:hint="eastAsia" w:asciiTheme="minorEastAsia" w:hAnsiTheme="minorEastAsia" w:eastAsiaTheme="minorEastAsia"/>
          <w:sz w:val="32"/>
          <w:szCs w:val="32"/>
        </w:rPr>
        <w:t>培训，人数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</w:rPr>
        <w:t>人，内容为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图书馆学会培训</w:t>
      </w:r>
      <w:r>
        <w:rPr>
          <w:rFonts w:hint="eastAsia" w:asciiTheme="minorEastAsia" w:hAnsiTheme="minorEastAsia" w:eastAsiaTheme="minorEastAsia"/>
          <w:sz w:val="32"/>
          <w:szCs w:val="32"/>
        </w:rPr>
        <w:t>；202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年度未举办节庆、晚会、论坛、赛事活动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1"/>
        <w:numPr>
          <w:ilvl w:val="0"/>
          <w:numId w:val="0"/>
        </w:numPr>
        <w:ind w:firstLine="640" w:firstLineChars="200"/>
        <w:rPr>
          <w:rFonts w:hint="eastAsia"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  <w:lang w:val="en-US" w:eastAsia="zh-CN"/>
        </w:rPr>
        <w:t>十二、</w:t>
      </w:r>
      <w:r>
        <w:rPr>
          <w:rFonts w:hint="eastAsia" w:hAnsi="黑体"/>
          <w:b/>
          <w:sz w:val="32"/>
          <w:szCs w:val="32"/>
        </w:rPr>
        <w:t>政府采购支出说明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本部门2021年度政府采购支出总额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39.2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万元，其中：政府采购货物支出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万元、政府采购工程支出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39.2</w:t>
      </w:r>
      <w:r>
        <w:rPr>
          <w:rFonts w:hint="eastAsia" w:asciiTheme="minorEastAsia" w:hAnsiTheme="minorEastAsia" w:eastAsiaTheme="minorEastAsia"/>
          <w:sz w:val="32"/>
          <w:szCs w:val="32"/>
        </w:rPr>
        <w:t>万元、政府采购服务支出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万元。授予中小企业合同金额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万元，占政府采购支出总额的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%，其中：授予小微企业合同金额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万元，占授予中小企业合同金额的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%；货物采购授予中小企业合同金额占货物支出金额的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%，工程采购授予中小企业合同金额占工程支出金额的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%，服务采购授予中小企业合同金额占服务支出金额的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1"/>
        <w:ind w:firstLine="640" w:firstLineChars="200"/>
        <w:rPr>
          <w:rFonts w:hint="eastAsia"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十三、国有资产占用情况说明</w:t>
      </w:r>
    </w:p>
    <w:p>
      <w:pPr>
        <w:pStyle w:val="11"/>
        <w:rPr>
          <w:rFonts w:hint="default" w:hAnsi="黑体" w:eastAsia="黑体"/>
          <w:b/>
          <w:sz w:val="32"/>
          <w:szCs w:val="32"/>
          <w:lang w:val="en-US" w:eastAsia="zh-CN"/>
        </w:rPr>
      </w:pPr>
      <w:r>
        <w:rPr>
          <w:rFonts w:hint="eastAsia" w:hAnsi="黑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32"/>
        </w:rPr>
        <w:t>截至2020年12月31日，本单位共有车辆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辆，其中，主要领导干部用车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辆，机要通信用车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辆、应急保障用车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辆、执法执勤用车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辆、特种专业技术用车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辆、其他用车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辆，其他用车主要是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图书馆流动服务车</w:t>
      </w:r>
      <w:r>
        <w:rPr>
          <w:rFonts w:hint="eastAsia" w:asciiTheme="minorEastAsia" w:hAnsiTheme="minorEastAsia" w:eastAsiaTheme="minorEastAsia"/>
          <w:sz w:val="32"/>
          <w:szCs w:val="32"/>
        </w:rPr>
        <w:t>；单位价值50万元以上通用设备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台（套）；单位价值100万元以上专用设备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台（套）。</w:t>
      </w:r>
    </w:p>
    <w:p>
      <w:pPr>
        <w:pStyle w:val="11"/>
        <w:ind w:firstLine="640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  <w:lang w:eastAsia="zh-CN"/>
        </w:rPr>
        <w:t>十四、</w:t>
      </w:r>
      <w:r>
        <w:rPr>
          <w:rFonts w:hint="eastAsia" w:hAnsi="黑体"/>
          <w:b/>
          <w:sz w:val="32"/>
          <w:szCs w:val="32"/>
        </w:rPr>
        <w:t>2021年度预算绩效情况说明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十四、2021年度预算绩效情况说明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根据预算绩效管理要求，我单位组织对2021年度一般公共预算项目支出全面开展绩效自评，其中，知识资源细颗粒度建设和标签标引项目，计划安排资金30万元，实际执行到位资金15.4万元，支出占比为51.3%，结余资金14.6万元，结余占比48.7%，项目实际完成度为100%，无其他项目资金支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组织对岳阳市图书馆开展整体支出绩效评价，涉及一般公共预算支出570.18万元，政府性基金预算支出0万元。从评价情况来看，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1、高度重视、及时部署；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2、上下联动、推进有序；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3、参与广泛、种类丰富；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4、共同发力、反响热烈。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本单位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项目绩效自评综述：根据年初设定的绩效目标，项目绩效自评得分为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分。项目全年预算数为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万元，执行数为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万元，完成预算的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%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。项目绩效目标完成情况：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无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。发现的主要问题及原因：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未开展项目绩效自评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。下一步改进措施：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无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本单位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项目绩效自评综述：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无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</w:t>
      </w:r>
      <w:r>
        <w:rPr>
          <w:rFonts w:cs="黑体" w:asciiTheme="minorEastAsia" w:hAnsiTheme="minorEastAsia"/>
          <w:b/>
          <w:color w:val="000000"/>
          <w:kern w:val="0"/>
          <w:sz w:val="32"/>
          <w:szCs w:val="32"/>
        </w:rPr>
        <w:t>3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）部门评价项目绩效评价结果。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部门评价项目数量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3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个以内的，至少将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1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个部门评价报告向社会公开；部门评价项目数量大于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3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个的，至少将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2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个部门评价报告向社会公开。报告框架可参考《项目支出绩效评价办法》（财预〔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2020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〕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10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号）中《项目支出绩效评价报告（参考提纲）》、《湖南省预算支出绩效评价管理办法》（湘财绩〔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2020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〕7号）。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</w:p>
    <w:p>
      <w:pPr>
        <w:pStyle w:val="11"/>
        <w:jc w:val="both"/>
        <w:rPr>
          <w:sz w:val="72"/>
          <w:szCs w:val="72"/>
        </w:rPr>
      </w:pPr>
    </w:p>
    <w:p>
      <w:pPr>
        <w:pStyle w:val="11"/>
        <w:jc w:val="both"/>
        <w:rPr>
          <w:sz w:val="72"/>
          <w:szCs w:val="72"/>
        </w:rPr>
      </w:pPr>
    </w:p>
    <w:p>
      <w:pPr>
        <w:pStyle w:val="11"/>
        <w:jc w:val="center"/>
        <w:rPr>
          <w:rFonts w:hint="eastAsia"/>
          <w:sz w:val="72"/>
          <w:szCs w:val="72"/>
        </w:rPr>
      </w:pPr>
    </w:p>
    <w:p>
      <w:pPr>
        <w:pStyle w:val="11"/>
        <w:jc w:val="center"/>
        <w:rPr>
          <w:rFonts w:hint="eastAsia"/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  <w:bookmarkStart w:id="0" w:name="_GoBack"/>
      <w:bookmarkEnd w:id="0"/>
      <w:r>
        <w:rPr>
          <w:rFonts w:hint="eastAsia"/>
          <w:sz w:val="72"/>
          <w:szCs w:val="72"/>
        </w:rPr>
        <w:t>第四部分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一、财政拨款收入:指市级财政当年拨付的资金。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二、上级补助收入:指单位从主管部门]和上级单位取得的非财政性补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助收入。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三、其他收入:指除上述“财政拨款收入”、“ 上级补助收入”、“事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业收入”、“经营收入” 、“附属 单位上缴收入”等以外的收入。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四、上年结转和结余:指以前年度尚未完成、结转到本年按有关规定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继续使用的资金。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五、基本支出:指保障机构正常运转、完成支日常工作任务而发生的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人员支出和公用支出。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六、项目支出:指在基本支出之外为完成特定行政任务和事业发展目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标所发生的支出。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七、“三公”经费:指用财政拨款安排的因公出国(境)费、公务用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车购置及运行费和公务接待费。其中，因公出国(境)费反映出国(境)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的住宿费、旅费、伙食补助费、杂费、培训费等支出:公务用车购置及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运行费反映单位公务用车购置费及租用费、燃料费、维修费、过路过桥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费、保险费、安全奖励费用等支出:公务接待费反映单位按规定开支的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各类公务接待(含外宾接待)支出。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八、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机关运行经费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Style w:val="11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pStyle w:val="11"/>
        <w:jc w:val="center"/>
        <w:rPr>
          <w:rFonts w:hint="eastAsia"/>
          <w:sz w:val="72"/>
          <w:szCs w:val="72"/>
        </w:rPr>
      </w:pPr>
    </w:p>
    <w:p>
      <w:pPr>
        <w:pStyle w:val="11"/>
        <w:jc w:val="center"/>
        <w:rPr>
          <w:rFonts w:hint="eastAsia"/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hint="eastAsia" w:ascii="黑体" w:eastAsia="黑体" w:cs="黑体"/>
          <w:color w:val="000000"/>
          <w:kern w:val="0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eastAsia" w:cs="黑体" w:asciiTheme="minorEastAsia" w:hAnsiTheme="minorEastAsia" w:eastAsiaTheme="minorEastAsia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1、2021年部门决算公开表格</w:t>
      </w:r>
    </w:p>
    <w:p>
      <w:pPr>
        <w:ind w:firstLine="640" w:firstLineChars="200"/>
        <w:jc w:val="left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2021年度部门整体支出绩效评价报告</w:t>
      </w:r>
    </w:p>
    <w:p>
      <w:pPr>
        <w:ind w:firstLine="640" w:firstLineChars="200"/>
        <w:jc w:val="left"/>
        <w:rPr>
          <w:rFonts w:hint="default" w:cs="黑体" w:asciiTheme="minorEastAsia" w:hAnsiTheme="minorEastAsia" w:eastAsiaTheme="minorEastAsia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0DDAAB"/>
    <w:multiLevelType w:val="singleLevel"/>
    <w:tmpl w:val="7D0DDAAB"/>
    <w:lvl w:ilvl="0" w:tentative="0">
      <w:start w:val="9"/>
      <w:numFmt w:val="chineseCounting"/>
      <w:suff w:val="nothing"/>
      <w:lvlText w:val="%1、"/>
      <w:lvlJc w:val="left"/>
      <w:pPr>
        <w:ind w:left="642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GQxZjRjNWQ2YzBlZDQxNTc2NWYwZTRlMzBlYWUifQ=="/>
  </w:docVars>
  <w:rsids>
    <w:rsidRoot w:val="00172A27"/>
    <w:rsid w:val="0002229B"/>
    <w:rsid w:val="000273BD"/>
    <w:rsid w:val="000415B7"/>
    <w:rsid w:val="00041E3F"/>
    <w:rsid w:val="00055DAA"/>
    <w:rsid w:val="00061F7B"/>
    <w:rsid w:val="000658A3"/>
    <w:rsid w:val="00074155"/>
    <w:rsid w:val="000873EF"/>
    <w:rsid w:val="000A3F69"/>
    <w:rsid w:val="00103957"/>
    <w:rsid w:val="00124A1F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14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C4197"/>
    <w:rsid w:val="003C47E6"/>
    <w:rsid w:val="003C4FC2"/>
    <w:rsid w:val="003E2331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1AF2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48B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75489"/>
    <w:rsid w:val="00DD06FF"/>
    <w:rsid w:val="00DD5FE9"/>
    <w:rsid w:val="00E00C7A"/>
    <w:rsid w:val="00E209CF"/>
    <w:rsid w:val="00E37D6C"/>
    <w:rsid w:val="00E55B68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43F299D"/>
    <w:rsid w:val="05633A58"/>
    <w:rsid w:val="05AC1E9A"/>
    <w:rsid w:val="0646400B"/>
    <w:rsid w:val="06B411F0"/>
    <w:rsid w:val="06F62C4F"/>
    <w:rsid w:val="081E7132"/>
    <w:rsid w:val="087403E0"/>
    <w:rsid w:val="09242161"/>
    <w:rsid w:val="0979158B"/>
    <w:rsid w:val="0A8D3B7C"/>
    <w:rsid w:val="0B2A4B42"/>
    <w:rsid w:val="0BE56081"/>
    <w:rsid w:val="0DE620DB"/>
    <w:rsid w:val="0E0538F8"/>
    <w:rsid w:val="0FE663C2"/>
    <w:rsid w:val="139B6544"/>
    <w:rsid w:val="13BE003E"/>
    <w:rsid w:val="14276FAA"/>
    <w:rsid w:val="142D2812"/>
    <w:rsid w:val="17A87124"/>
    <w:rsid w:val="1E6D0AEE"/>
    <w:rsid w:val="20EB1A8B"/>
    <w:rsid w:val="26A35E79"/>
    <w:rsid w:val="27DB542D"/>
    <w:rsid w:val="2C3A1B18"/>
    <w:rsid w:val="2E844FF2"/>
    <w:rsid w:val="30236D69"/>
    <w:rsid w:val="30C03EB1"/>
    <w:rsid w:val="319E6993"/>
    <w:rsid w:val="366364DD"/>
    <w:rsid w:val="36D5559C"/>
    <w:rsid w:val="370B6762"/>
    <w:rsid w:val="3E0D2F0E"/>
    <w:rsid w:val="3E9662A7"/>
    <w:rsid w:val="408F2CFD"/>
    <w:rsid w:val="42891207"/>
    <w:rsid w:val="45D17902"/>
    <w:rsid w:val="45F9639D"/>
    <w:rsid w:val="48ED43E7"/>
    <w:rsid w:val="49652C69"/>
    <w:rsid w:val="4A8B4698"/>
    <w:rsid w:val="513854BB"/>
    <w:rsid w:val="52D73BC7"/>
    <w:rsid w:val="5AF0343F"/>
    <w:rsid w:val="5CB37796"/>
    <w:rsid w:val="5F280B4F"/>
    <w:rsid w:val="60A907EA"/>
    <w:rsid w:val="6145544E"/>
    <w:rsid w:val="6400032D"/>
    <w:rsid w:val="67C5354E"/>
    <w:rsid w:val="683214B3"/>
    <w:rsid w:val="6A5778A6"/>
    <w:rsid w:val="6B9D4CFC"/>
    <w:rsid w:val="6C15030F"/>
    <w:rsid w:val="6C873411"/>
    <w:rsid w:val="6D7A3A26"/>
    <w:rsid w:val="7EE8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0904-B2FB-4FE3-894F-42F14B17B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4550</Words>
  <Characters>4955</Characters>
  <Lines>69</Lines>
  <Paragraphs>19</Paragraphs>
  <TotalTime>18</TotalTime>
  <ScaleCrop>false</ScaleCrop>
  <LinksUpToDate>false</LinksUpToDate>
  <CharactersWithSpaces>4983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Administrator</cp:lastModifiedBy>
  <cp:lastPrinted>2022-07-27T12:55:00Z</cp:lastPrinted>
  <dcterms:modified xsi:type="dcterms:W3CDTF">2023-09-22T08:13:49Z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AFDFEABC5BB945C19A549CAEB3211E59</vt:lpwstr>
  </property>
</Properties>
</file>