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1380" w:hRule="atLeast"/>
        </w:trPr>
        <w:tc>
          <w:tcPr>
            <w:tcW w:w="5000" w:type="pct"/>
            <w:tcBorders>
              <w:top w:val="nil"/>
              <w:left w:val="nil"/>
              <w:bottom w:val="nil"/>
              <w:right w:val="nil"/>
            </w:tcBorders>
            <w:shd w:val="clear" w:color="auto" w:fill="auto"/>
            <w:vAlign w:val="center"/>
          </w:tcPr>
          <w:p>
            <w:pPr>
              <w:widowControl/>
              <w:jc w:val="center"/>
              <w:rPr>
                <w:rFonts w:cs="宋体" w:asciiTheme="majorEastAsia" w:hAnsiTheme="majorEastAsia" w:eastAsiaTheme="majorEastAsia"/>
                <w:color w:val="000000"/>
                <w:kern w:val="0"/>
                <w:sz w:val="40"/>
                <w:szCs w:val="40"/>
              </w:rPr>
            </w:pPr>
            <w:r>
              <w:rPr>
                <w:rFonts w:hint="eastAsia" w:cs="宋体" w:asciiTheme="majorEastAsia" w:hAnsiTheme="majorEastAsia" w:eastAsiaTheme="majorEastAsia"/>
                <w:color w:val="000000"/>
                <w:kern w:val="0"/>
                <w:sz w:val="40"/>
                <w:szCs w:val="40"/>
              </w:rPr>
              <w:t>岳阳市巴陵戏传承研究院2022年度单位预算</w:t>
            </w:r>
          </w:p>
        </w:tc>
      </w:tr>
      <w:tr>
        <w:tblPrEx>
          <w:tblCellMar>
            <w:top w:w="0" w:type="dxa"/>
            <w:left w:w="108" w:type="dxa"/>
            <w:bottom w:w="0" w:type="dxa"/>
            <w:right w:w="108" w:type="dxa"/>
          </w:tblCellMar>
        </w:tblPrEx>
        <w:trPr>
          <w:trHeight w:val="642" w:hRule="atLeast"/>
        </w:trPr>
        <w:tc>
          <w:tcPr>
            <w:tcW w:w="5000" w:type="pct"/>
            <w:tcBorders>
              <w:top w:val="nil"/>
              <w:left w:val="nil"/>
              <w:bottom w:val="nil"/>
              <w:right w:val="nil"/>
            </w:tcBorders>
            <w:shd w:val="clear" w:color="auto" w:fill="auto"/>
            <w:vAlign w:val="center"/>
          </w:tcPr>
          <w:p>
            <w:pPr>
              <w:widowControl/>
              <w:jc w:val="center"/>
              <w:rPr>
                <w:rFonts w:cs="宋体" w:asciiTheme="majorEastAsia" w:hAnsiTheme="majorEastAsia" w:eastAsiaTheme="majorEastAsia"/>
                <w:kern w:val="0"/>
                <w:sz w:val="36"/>
                <w:szCs w:val="36"/>
              </w:rPr>
            </w:pPr>
            <w:r>
              <w:rPr>
                <w:rFonts w:hint="eastAsia" w:cs="宋体" w:asciiTheme="majorEastAsia" w:hAnsiTheme="majorEastAsia" w:eastAsiaTheme="majorEastAsia"/>
                <w:kern w:val="0"/>
                <w:sz w:val="36"/>
                <w:szCs w:val="36"/>
              </w:rPr>
              <w:t>目录</w:t>
            </w:r>
          </w:p>
        </w:tc>
      </w:tr>
      <w:tr>
        <w:tblPrEx>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widowControl/>
              <w:jc w:val="left"/>
              <w:rPr>
                <w:rFonts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kern w:val="0"/>
                <w:sz w:val="28"/>
                <w:szCs w:val="28"/>
              </w:rPr>
              <w:t>第一部分  2022年单位预算说明</w:t>
            </w:r>
          </w:p>
        </w:tc>
      </w:tr>
      <w:tr>
        <w:tblPrEx>
          <w:tblCellMar>
            <w:top w:w="0" w:type="dxa"/>
            <w:left w:w="108" w:type="dxa"/>
            <w:bottom w:w="0" w:type="dxa"/>
            <w:right w:w="108" w:type="dxa"/>
          </w:tblCellMar>
        </w:tblPrEx>
        <w:trPr>
          <w:trHeight w:val="600" w:hRule="atLeast"/>
        </w:trPr>
        <w:tc>
          <w:tcPr>
            <w:tcW w:w="5000" w:type="pct"/>
            <w:tcBorders>
              <w:top w:val="nil"/>
              <w:left w:val="nil"/>
              <w:bottom w:val="nil"/>
              <w:right w:val="nil"/>
            </w:tcBorders>
            <w:shd w:val="clear" w:color="auto" w:fill="auto"/>
            <w:vAlign w:val="center"/>
          </w:tcPr>
          <w:p>
            <w:pPr>
              <w:widowControl/>
              <w:jc w:val="left"/>
              <w:rPr>
                <w:rFonts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kern w:val="0"/>
                <w:sz w:val="28"/>
                <w:szCs w:val="28"/>
              </w:rPr>
              <w:t>第二部分  2022年单位预算公开表格</w:t>
            </w:r>
          </w:p>
        </w:tc>
      </w:tr>
      <w:tr>
        <w:tblPrEx>
          <w:tblCellMar>
            <w:top w:w="0" w:type="dxa"/>
            <w:left w:w="108" w:type="dxa"/>
            <w:bottom w:w="0" w:type="dxa"/>
            <w:right w:w="108" w:type="dxa"/>
          </w:tblCellMar>
        </w:tblPrEx>
        <w:trPr>
          <w:trHeight w:val="4482" w:hRule="atLeast"/>
        </w:trPr>
        <w:tc>
          <w:tcPr>
            <w:tcW w:w="5000" w:type="pct"/>
            <w:vMerge w:val="restart"/>
            <w:tcBorders>
              <w:top w:val="nil"/>
              <w:left w:val="nil"/>
              <w:bottom w:val="nil"/>
              <w:right w:val="nil"/>
            </w:tcBorders>
            <w:shd w:val="clear" w:color="auto" w:fill="auto"/>
            <w:vAlign w:val="center"/>
          </w:tcPr>
          <w:p>
            <w:pPr>
              <w:widowControl/>
              <w:jc w:val="left"/>
              <w:rPr>
                <w:rFonts w:hint="eastAsia"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kern w:val="0"/>
                <w:sz w:val="28"/>
                <w:szCs w:val="28"/>
              </w:rPr>
              <w:t>1、收支总表</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2、收入总表</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3、支出总表</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4、支出预算分类汇总表（按政府预算经济分类）</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5、支出预算分类汇总表（按部门预算经济分类）</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6、财政拨款收支总表</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7、一般公共预算支出表</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8、一般公共预算基本支出表-人员经费（工资福利支出）（按政府预算经济分类）</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9、一般公共预算基本支出表-人员经费（工资福利支出）（按部门预算经济分类）</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10、一般公共预算基本支出表-人员经费（对个人和家庭的补助）（按政府预算经济分类）</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11、一般公共预算基本支出表-人员经费（对个人和家庭的补助）（按部门预算经济分类）</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12、一般公共预算基本支出表-</w:t>
            </w:r>
            <w:r>
              <w:rPr>
                <w:rFonts w:hint="eastAsia" w:cs="宋体" w:asciiTheme="majorEastAsia" w:hAnsiTheme="majorEastAsia" w:eastAsiaTheme="majorEastAsia"/>
                <w:color w:val="000000"/>
                <w:kern w:val="0"/>
                <w:sz w:val="28"/>
                <w:szCs w:val="28"/>
                <w:lang w:val="en-US" w:eastAsia="zh-CN"/>
              </w:rPr>
              <w:t>公用</w:t>
            </w:r>
            <w:r>
              <w:rPr>
                <w:rFonts w:hint="eastAsia" w:cs="宋体" w:asciiTheme="majorEastAsia" w:hAnsiTheme="majorEastAsia" w:eastAsiaTheme="majorEastAsia"/>
                <w:color w:val="000000"/>
                <w:kern w:val="0"/>
                <w:sz w:val="28"/>
                <w:szCs w:val="28"/>
              </w:rPr>
              <w:t>经费（商品和服务支出）（按政府预算经济分类）</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13、一般公共预算基本支出表-</w:t>
            </w:r>
            <w:r>
              <w:rPr>
                <w:rFonts w:hint="eastAsia" w:cs="宋体" w:asciiTheme="majorEastAsia" w:hAnsiTheme="majorEastAsia" w:eastAsiaTheme="majorEastAsia"/>
                <w:color w:val="000000"/>
                <w:kern w:val="0"/>
                <w:sz w:val="28"/>
                <w:szCs w:val="28"/>
                <w:lang w:val="en-US" w:eastAsia="zh-CN"/>
              </w:rPr>
              <w:t>公用</w:t>
            </w:r>
            <w:r>
              <w:rPr>
                <w:rFonts w:hint="eastAsia" w:cs="宋体" w:asciiTheme="majorEastAsia" w:hAnsiTheme="majorEastAsia" w:eastAsiaTheme="majorEastAsia"/>
                <w:color w:val="000000"/>
                <w:kern w:val="0"/>
                <w:sz w:val="28"/>
                <w:szCs w:val="28"/>
              </w:rPr>
              <w:t>经费（商品和服务支出）（按部门预算经济分类）</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14、一般公共预算“三公”经费支出表</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15、政府性基金预算支出表</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16、政府性基金预算支出分类汇总表（按政府预算经济分类）</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17、政府性基金预算支出分类汇总表（按部门预算经济分类）</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18、国有资本经营预算支出表</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19、财政专户管理资金预算支出表</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20、专项资金预算汇总表</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21、项目支出绩效目标表</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22、整体支出绩效目标表</w:t>
            </w:r>
          </w:p>
          <w:p>
            <w:pPr>
              <w:pStyle w:val="4"/>
              <w:widowControl/>
              <w:spacing w:beforeAutospacing="0" w:afterAutospacing="0"/>
              <w:jc w:val="both"/>
              <w:textAlignment w:val="center"/>
              <w:rPr>
                <w:rFonts w:cs="宋体" w:asciiTheme="majorEastAsia" w:hAnsiTheme="majorEastAsia" w:eastAsiaTheme="majorEastAsia"/>
                <w:color w:val="000000"/>
                <w:sz w:val="28"/>
                <w:szCs w:val="28"/>
              </w:rPr>
            </w:pPr>
            <w:r>
              <w:rPr>
                <w:rFonts w:hint="eastAsia" w:cs="宋体" w:asciiTheme="majorEastAsia" w:hAnsiTheme="majorEastAsia" w:eastAsiaTheme="majorEastAsia"/>
                <w:color w:val="000000"/>
                <w:sz w:val="28"/>
                <w:szCs w:val="28"/>
              </w:rPr>
              <w:t>23、一般公共预算基本支出表</w:t>
            </w:r>
            <w:r>
              <w:rPr>
                <w:rFonts w:hint="eastAsia" w:cs="宋体" w:asciiTheme="majorEastAsia" w:hAnsiTheme="majorEastAsia" w:eastAsiaTheme="majorEastAsia"/>
                <w:color w:val="000000"/>
                <w:sz w:val="28"/>
                <w:szCs w:val="28"/>
              </w:rPr>
              <w:br w:type="textWrapping"/>
            </w:r>
            <w:r>
              <w:rPr>
                <w:rFonts w:hint="eastAsia" w:cs="宋体" w:asciiTheme="majorEastAsia" w:hAnsiTheme="majorEastAsia" w:eastAsiaTheme="majorEastAsia"/>
                <w:color w:val="000000"/>
                <w:sz w:val="28"/>
                <w:szCs w:val="28"/>
              </w:rPr>
              <w:t>注：以上单位预算公开报表中，空表表示本单位无相关收支情况。</w:t>
            </w:r>
          </w:p>
        </w:tc>
      </w:tr>
      <w:tr>
        <w:tblPrEx>
          <w:tblCellMar>
            <w:top w:w="0" w:type="dxa"/>
            <w:left w:w="108" w:type="dxa"/>
            <w:bottom w:w="0" w:type="dxa"/>
            <w:right w:w="108" w:type="dxa"/>
          </w:tblCellMar>
        </w:tblPrEx>
        <w:trPr>
          <w:trHeight w:val="4482" w:hRule="atLeast"/>
        </w:trPr>
        <w:tc>
          <w:tcPr>
            <w:tcW w:w="5000" w:type="pct"/>
            <w:vMerge w:val="continue"/>
            <w:tcBorders>
              <w:top w:val="nil"/>
              <w:left w:val="nil"/>
              <w:bottom w:val="nil"/>
              <w:right w:val="nil"/>
            </w:tcBorders>
            <w:vAlign w:val="center"/>
          </w:tcPr>
          <w:p>
            <w:pPr>
              <w:widowControl/>
              <w:jc w:val="left"/>
              <w:rPr>
                <w:rFonts w:cs="宋体" w:asciiTheme="majorEastAsia" w:hAnsiTheme="majorEastAsia" w:eastAsiaTheme="majorEastAsia"/>
                <w:color w:val="000000"/>
                <w:kern w:val="0"/>
                <w:sz w:val="28"/>
                <w:szCs w:val="28"/>
              </w:rPr>
            </w:pPr>
          </w:p>
        </w:tc>
      </w:tr>
      <w:tr>
        <w:tblPrEx>
          <w:tblCellMar>
            <w:top w:w="0" w:type="dxa"/>
            <w:left w:w="108" w:type="dxa"/>
            <w:bottom w:w="0" w:type="dxa"/>
            <w:right w:w="108" w:type="dxa"/>
          </w:tblCellMar>
        </w:tblPrEx>
        <w:trPr>
          <w:trHeight w:val="840" w:hRule="atLeast"/>
        </w:trPr>
        <w:tc>
          <w:tcPr>
            <w:tcW w:w="5000" w:type="pct"/>
            <w:tcBorders>
              <w:top w:val="nil"/>
              <w:left w:val="nil"/>
              <w:bottom w:val="nil"/>
              <w:right w:val="nil"/>
            </w:tcBorders>
            <w:shd w:val="clear" w:color="auto" w:fill="auto"/>
            <w:vAlign w:val="center"/>
          </w:tcPr>
          <w:p>
            <w:pPr>
              <w:widowControl/>
              <w:jc w:val="center"/>
              <w:rPr>
                <w:rFonts w:cs="宋体" w:asciiTheme="majorEastAsia" w:hAnsiTheme="majorEastAsia" w:eastAsiaTheme="majorEastAsia"/>
                <w:color w:val="000000"/>
                <w:kern w:val="0"/>
                <w:sz w:val="36"/>
                <w:szCs w:val="36"/>
              </w:rPr>
            </w:pPr>
            <w:r>
              <w:rPr>
                <w:rFonts w:hint="eastAsia" w:cs="宋体" w:asciiTheme="majorEastAsia" w:hAnsiTheme="majorEastAsia" w:eastAsiaTheme="majorEastAsia"/>
                <w:color w:val="000000"/>
                <w:kern w:val="0"/>
                <w:sz w:val="36"/>
                <w:szCs w:val="36"/>
              </w:rPr>
              <w:t>第一部分  2022年单位预算说明</w:t>
            </w:r>
          </w:p>
        </w:tc>
      </w:tr>
      <w:tr>
        <w:tblPrEx>
          <w:tblCellMar>
            <w:top w:w="0" w:type="dxa"/>
            <w:left w:w="108" w:type="dxa"/>
            <w:bottom w:w="0" w:type="dxa"/>
            <w:right w:w="108" w:type="dxa"/>
          </w:tblCellMar>
        </w:tblPrEx>
        <w:trPr>
          <w:trHeight w:val="2625" w:hRule="atLeast"/>
        </w:trPr>
        <w:tc>
          <w:tcPr>
            <w:tcW w:w="5000" w:type="pct"/>
            <w:tcBorders>
              <w:top w:val="nil"/>
              <w:left w:val="nil"/>
              <w:bottom w:val="nil"/>
              <w:right w:val="nil"/>
            </w:tcBorders>
            <w:shd w:val="clear" w:color="auto" w:fill="auto"/>
            <w:vAlign w:val="center"/>
          </w:tcPr>
          <w:p>
            <w:pPr>
              <w:widowControl/>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一、单位基本概况</w:t>
            </w:r>
          </w:p>
          <w:p>
            <w:pPr>
              <w:widowControl/>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（一）职能职责</w:t>
            </w:r>
          </w:p>
          <w:p>
            <w:pPr>
              <w:widowControl/>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1、宣传党的文艺方针政策，传承和保护国家非物质文化遗产——巴陵戏，以及“文化惠民”“送戏下乡”等各类公益性文艺演出。</w:t>
            </w:r>
          </w:p>
          <w:p>
            <w:pPr>
              <w:widowControl/>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2、完成上级主管部门交办的其他工作。</w:t>
            </w:r>
          </w:p>
          <w:p>
            <w:pPr>
              <w:widowControl/>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（二）机构设置</w:t>
            </w:r>
          </w:p>
          <w:p>
            <w:pPr>
              <w:widowControl/>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根据编委核定，我院内设部室9个，全部纳入2022年部门预算编制范围。</w:t>
            </w:r>
          </w:p>
          <w:p>
            <w:pPr>
              <w:widowControl/>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内设部室分别是：综合部、巴陵戏剧室、花鼓戏剧室、民乐队、歌舞工作室、舞美工作室、宣传普教室、艺术研究室、后勤保障部。</w:t>
            </w:r>
          </w:p>
          <w:p>
            <w:pPr>
              <w:widowControl/>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二、单位预算单位构成</w:t>
            </w:r>
          </w:p>
          <w:p>
            <w:pPr>
              <w:widowControl/>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 xml:space="preserve">     本单位预算仅含本级预算。</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kern w:val="0"/>
                <w:sz w:val="28"/>
                <w:szCs w:val="28"/>
              </w:rPr>
              <w:t>三、单位收支总体情况</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kern w:val="0"/>
                <w:sz w:val="28"/>
                <w:szCs w:val="28"/>
              </w:rPr>
              <w:t>（一）收入预算</w:t>
            </w:r>
          </w:p>
        </w:tc>
      </w:tr>
      <w:tr>
        <w:tblPrEx>
          <w:tblCellMar>
            <w:top w:w="0" w:type="dxa"/>
            <w:left w:w="108" w:type="dxa"/>
            <w:bottom w:w="0" w:type="dxa"/>
            <w:right w:w="108" w:type="dxa"/>
          </w:tblCellMar>
        </w:tblPrEx>
        <w:trPr>
          <w:trHeight w:val="1875" w:hRule="atLeast"/>
        </w:trPr>
        <w:tc>
          <w:tcPr>
            <w:tcW w:w="5000" w:type="pct"/>
            <w:tcBorders>
              <w:top w:val="nil"/>
              <w:left w:val="nil"/>
              <w:bottom w:val="nil"/>
              <w:right w:val="nil"/>
            </w:tcBorders>
            <w:shd w:val="clear" w:color="auto" w:fill="auto"/>
            <w:vAlign w:val="center"/>
          </w:tcPr>
          <w:p>
            <w:pPr>
              <w:widowControl/>
              <w:jc w:val="left"/>
              <w:rPr>
                <w:rFonts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kern w:val="0"/>
                <w:sz w:val="28"/>
                <w:szCs w:val="28"/>
              </w:rPr>
              <w:t xml:space="preserve">    包括一般公共预算、政府性基金、国有资本经营预算等财政拨款收入，以及经营收入、事业收入等单位资金。2022年本单位收入预算1586.2万元，其中，一般公共预算拨款1586.2万元，政府性基金预算拨款0万元，所以公开的附件15-17（政府性基金预算）为空,国有资本经营预算拨款0万元，所以公开的附表18（国有资本经营预算）为空,财政专户管理资金0万元，所以公开的附表19表（财政专户管理资金预算）为空，上级补助收入0万元，事业单位经营收入0万元，上年结转结余0万元。</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收入较去年增加469.29万元，主要是因为增加了按项目管理的工资福利收入。</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kern w:val="0"/>
                <w:sz w:val="28"/>
                <w:szCs w:val="28"/>
              </w:rPr>
              <w:t>（二）支出预算</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hint="eastAsia"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 xml:space="preserve">    2022年本单位支出预算1586.2万元，其中，文化旅游体育与传媒支出1323.44万元，占比83.43%，社会保障和就业支出116.15万元，占比7.32%，卫生健康支出59.5万元，占比3.75%，住房保障支出87.11万元，占比5.49%。支出较去年增加469.29万元，其中基本支出减少11.13万元，项目支出增加480.42万元。基本支出较上年减少主要是因为人员工资减少（退休2人），项目支出增加的原因是新增了按项目管理的工资福利支出和按项目管理的商品和服务支出。</w:t>
            </w:r>
          </w:p>
          <w:p>
            <w:pPr>
              <w:pStyle w:val="4"/>
              <w:widowControl/>
              <w:spacing w:beforeAutospacing="0" w:afterAutospacing="0" w:line="26" w:lineRule="atLeast"/>
              <w:jc w:val="both"/>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 xml:space="preserve">    2022年预算公开文档第三大点（对应表3）、第四大点（对应表7）中的金额和百分比，由于预算编制时金额明细到了“分”，而公开表格显示和公开文档取数只到“百元”，可能导致0.01的尾数差异。</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kern w:val="0"/>
                <w:sz w:val="28"/>
                <w:szCs w:val="28"/>
              </w:rPr>
              <w:t>四、一般公共预算拨款支出预算</w:t>
            </w:r>
          </w:p>
        </w:tc>
      </w:tr>
      <w:tr>
        <w:tblPrEx>
          <w:tblCellMar>
            <w:top w:w="0" w:type="dxa"/>
            <w:left w:w="108" w:type="dxa"/>
            <w:bottom w:w="0" w:type="dxa"/>
            <w:right w:w="108" w:type="dxa"/>
          </w:tblCellMar>
        </w:tblPrEx>
        <w:trPr>
          <w:trHeight w:val="1260" w:hRule="atLeast"/>
        </w:trPr>
        <w:tc>
          <w:tcPr>
            <w:tcW w:w="5000" w:type="pct"/>
            <w:tcBorders>
              <w:top w:val="nil"/>
              <w:left w:val="nil"/>
              <w:bottom w:val="nil"/>
              <w:right w:val="nil"/>
            </w:tcBorders>
            <w:shd w:val="clear" w:color="auto" w:fill="auto"/>
            <w:vAlign w:val="center"/>
          </w:tcPr>
          <w:p>
            <w:pPr>
              <w:widowControl/>
              <w:jc w:val="left"/>
              <w:rPr>
                <w:rFonts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kern w:val="0"/>
                <w:sz w:val="28"/>
                <w:szCs w:val="28"/>
              </w:rPr>
              <w:t xml:space="preserve">    2022年本单位一般公共预算拨款支出预算1586.2万元，其中，文化旅游体育与传媒支出1323.44万元，占比83.43%，社会保障和就业支出116.15万元，占比7.32%，卫生健康支出59.5万元，占比3.75%，住房保障支出87.11万元，占比5.49%。具体安排情况如下：</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kern w:val="0"/>
                <w:sz w:val="28"/>
                <w:szCs w:val="28"/>
              </w:rPr>
              <w:t xml:space="preserve">    （一）基本支出：2022年基本支出年初预算数为1105.78万元（数据来源见表7），是指为保障单位机构正常运转、完成日常工作任务而发生的各项支出，包括用于基本工资、津贴补贴等人员经费以及办公费、印刷费、水电费、差旅费等日常公用经费。</w:t>
            </w:r>
          </w:p>
        </w:tc>
      </w:tr>
      <w:tr>
        <w:tblPrEx>
          <w:tblCellMar>
            <w:top w:w="0" w:type="dxa"/>
            <w:left w:w="108" w:type="dxa"/>
            <w:bottom w:w="0" w:type="dxa"/>
            <w:right w:w="108" w:type="dxa"/>
          </w:tblCellMar>
        </w:tblPrEx>
        <w:trPr>
          <w:trHeight w:val="1500" w:hRule="atLeast"/>
        </w:trPr>
        <w:tc>
          <w:tcPr>
            <w:tcW w:w="5000" w:type="pct"/>
            <w:tcBorders>
              <w:top w:val="nil"/>
              <w:left w:val="nil"/>
              <w:bottom w:val="nil"/>
              <w:right w:val="nil"/>
            </w:tcBorders>
            <w:shd w:val="clear" w:color="auto" w:fill="auto"/>
            <w:vAlign w:val="center"/>
          </w:tcPr>
          <w:p>
            <w:pPr>
              <w:widowControl/>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 xml:space="preserve">    （二）项目支出：2022年项目支出年初预算数为480.42万元，是指单位为完成特定行政工作任务或事业发展目标而发生的支出，包括有关业务工作经费、运行维护经费等。其中：工会经费补助专项支出47.10万元，主要用于正常发放工会经费补助；伙食补助费专项支出62.80万元，用于正常支付2022年度职工伙食补助费；绩效平安奖专项支出314万元，主要用于正常发放绩效平安奖；物业管理费专项支出56.52万元，主要用于正常支付2022年物业管理费。</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kern w:val="0"/>
                <w:sz w:val="28"/>
                <w:szCs w:val="28"/>
              </w:rPr>
              <w:t>五、政府性基金预算支出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kern w:val="0"/>
                <w:sz w:val="28"/>
                <w:szCs w:val="28"/>
              </w:rPr>
              <w:t xml:space="preserve">    2022年度本单位无政府性基金安排的支出，所以公开的附件15-17（政府性基金预算）为空。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kern w:val="0"/>
                <w:sz w:val="28"/>
                <w:szCs w:val="28"/>
              </w:rPr>
              <w:t>六、其他重要事项的情况说明</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kern w:val="0"/>
                <w:sz w:val="28"/>
                <w:szCs w:val="28"/>
              </w:rPr>
              <w:t>（一）机关运行经费</w:t>
            </w:r>
          </w:p>
        </w:tc>
      </w:tr>
      <w:tr>
        <w:tblPrEx>
          <w:tblCellMar>
            <w:top w:w="0" w:type="dxa"/>
            <w:left w:w="108" w:type="dxa"/>
            <w:bottom w:w="0" w:type="dxa"/>
            <w:right w:w="108" w:type="dxa"/>
          </w:tblCellMar>
        </w:tblPrEx>
        <w:trPr>
          <w:trHeight w:val="859" w:hRule="atLeast"/>
        </w:trPr>
        <w:tc>
          <w:tcPr>
            <w:tcW w:w="5000" w:type="pct"/>
            <w:tcBorders>
              <w:top w:val="nil"/>
              <w:left w:val="nil"/>
              <w:bottom w:val="nil"/>
              <w:right w:val="nil"/>
            </w:tcBorders>
            <w:shd w:val="clear" w:color="auto" w:fill="auto"/>
            <w:vAlign w:val="center"/>
          </w:tcPr>
          <w:p>
            <w:pPr>
              <w:widowControl/>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 xml:space="preserve">   本单位2022年机关运行经费当年一般公共预算拨款106.95万元，比上一年减少2.18万元，减少2.04%。主要原因是因为减少了按项目管理的工资福利经费和按项目管理的商品和服务经费。</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kern w:val="0"/>
                <w:sz w:val="28"/>
                <w:szCs w:val="28"/>
              </w:rPr>
              <w:t>（二）“三公”经费预算</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cs="宋体" w:asciiTheme="majorEastAsia" w:hAnsiTheme="majorEastAsia" w:eastAsiaTheme="majorEastAsia"/>
                <w:color w:val="FF0000"/>
                <w:kern w:val="0"/>
                <w:sz w:val="28"/>
                <w:szCs w:val="28"/>
              </w:rPr>
            </w:pPr>
            <w:r>
              <w:rPr>
                <w:rFonts w:hint="eastAsia" w:cs="宋体" w:asciiTheme="majorEastAsia" w:hAnsiTheme="majorEastAsia" w:eastAsiaTheme="majorEastAsia"/>
                <w:kern w:val="0"/>
                <w:sz w:val="28"/>
                <w:szCs w:val="28"/>
              </w:rPr>
              <w:t xml:space="preserve"> 2022年本单位“三公”经费预算数1万元（数据来源见表14），其中，公务接待费1万元，因公出国（境）费0万元，公务用车购置及运行费0万元（其中，公务用车购置费0万元，公务用车运行费0万元）。2022年三公经费预算较上年减少3.4万元，主要原因是缩减了接待频次。</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kern w:val="0"/>
                <w:sz w:val="28"/>
                <w:szCs w:val="28"/>
              </w:rPr>
              <w:t>（三）一般性支出情况</w:t>
            </w:r>
          </w:p>
        </w:tc>
      </w:tr>
      <w:tr>
        <w:tblPrEx>
          <w:tblCellMar>
            <w:top w:w="0" w:type="dxa"/>
            <w:left w:w="108" w:type="dxa"/>
            <w:bottom w:w="0" w:type="dxa"/>
            <w:right w:w="108" w:type="dxa"/>
          </w:tblCellMar>
        </w:tblPrEx>
        <w:trPr>
          <w:trHeight w:val="1500" w:hRule="atLeast"/>
        </w:trPr>
        <w:tc>
          <w:tcPr>
            <w:tcW w:w="5000" w:type="pct"/>
            <w:tcBorders>
              <w:top w:val="nil"/>
              <w:left w:val="nil"/>
              <w:bottom w:val="nil"/>
              <w:right w:val="nil"/>
            </w:tcBorders>
            <w:shd w:val="clear" w:color="auto" w:fill="auto"/>
            <w:vAlign w:val="center"/>
          </w:tcPr>
          <w:p>
            <w:pPr>
              <w:widowControl/>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 xml:space="preserve">   本单位2022年会议费预算0万元，拟召开0次会议，人数0人，培训费预算0万元,拟开展0次培训，人数0人；计划主办节庆、晚会、论坛、赛事活动0万元。2022年度本单位未计划安排会议、培训，未计划举办节庆、晚会、论坛、赛事活动。</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kern w:val="0"/>
                <w:sz w:val="28"/>
                <w:szCs w:val="28"/>
              </w:rPr>
              <w:t>（四）政府采购情况</w:t>
            </w:r>
          </w:p>
        </w:tc>
      </w:tr>
      <w:tr>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widowControl/>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本单位2022年政府采购预算总额0万元，其中工程类0万元，货物类0万元，服务类0万元。2022年度本单位未安排政府采购预算。</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kern w:val="0"/>
                <w:sz w:val="28"/>
                <w:szCs w:val="28"/>
              </w:rPr>
              <w:t>（五）国有资产占有使用及新增资产配置情况</w:t>
            </w:r>
          </w:p>
        </w:tc>
      </w:tr>
      <w:tr>
        <w:tblPrEx>
          <w:tblCellMar>
            <w:top w:w="0" w:type="dxa"/>
            <w:left w:w="108" w:type="dxa"/>
            <w:bottom w:w="0" w:type="dxa"/>
            <w:right w:w="108" w:type="dxa"/>
          </w:tblCellMar>
        </w:tblPrEx>
        <w:trPr>
          <w:trHeight w:val="3000" w:hRule="atLeast"/>
        </w:trPr>
        <w:tc>
          <w:tcPr>
            <w:tcW w:w="5000" w:type="pct"/>
            <w:tcBorders>
              <w:top w:val="nil"/>
              <w:left w:val="nil"/>
              <w:bottom w:val="nil"/>
              <w:right w:val="nil"/>
            </w:tcBorders>
            <w:shd w:val="clear" w:color="auto" w:fill="auto"/>
            <w:vAlign w:val="center"/>
          </w:tcPr>
          <w:p>
            <w:pPr>
              <w:widowControl/>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截至上年底，本单位共有车辆3辆，其中领导干部用车0辆，一般公务用车0辆，其他用车3辆。单位价值50万元以上通用设备0台，单位价值100万元以上专用设备0台。</w:t>
            </w:r>
          </w:p>
          <w:p>
            <w:pPr>
              <w:widowControl/>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2022年拟报废处置公务用车0辆，拟新增配置车辆0辆，其中领导干部用车0辆，一般公务用车0辆，其他用车0辆。</w:t>
            </w:r>
          </w:p>
          <w:p>
            <w:pPr>
              <w:widowControl/>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2022年拟新增配备领导干部用车0辆，一般公务用车0辆，其他用车0辆，新增配备单位价值50万元以上通用设备0台，单位价值100万元以上专用设备0台。2022年度本单位未计划处置或新增车辆、设备等。</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kern w:val="0"/>
                <w:sz w:val="28"/>
                <w:szCs w:val="28"/>
              </w:rPr>
              <w:t>（六）预算绩效目标说明</w:t>
            </w:r>
          </w:p>
        </w:tc>
      </w:tr>
      <w:tr>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widowControl/>
              <w:jc w:val="left"/>
              <w:rPr>
                <w:rFonts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kern w:val="0"/>
                <w:sz w:val="28"/>
                <w:szCs w:val="28"/>
              </w:rPr>
              <w:t xml:space="preserve">    本单位所有支出实行绩效目标管理。纳入2022年部门整体支出绩效目标的金额为1586.2万元，其中，基本支出1105.78万元，项目支出480.42万元，详见文尾附表中单位预算公开表格的表21-22。</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kern w:val="0"/>
                <w:sz w:val="28"/>
                <w:szCs w:val="28"/>
              </w:rPr>
              <w:t>七、名词解释</w:t>
            </w:r>
          </w:p>
        </w:tc>
      </w:tr>
      <w:tr>
        <w:tblPrEx>
          <w:tblCellMar>
            <w:top w:w="0" w:type="dxa"/>
            <w:left w:w="108" w:type="dxa"/>
            <w:bottom w:w="0" w:type="dxa"/>
            <w:right w:w="108" w:type="dxa"/>
          </w:tblCellMar>
        </w:tblPrEx>
        <w:trPr>
          <w:trHeight w:val="3000" w:hRule="atLeast"/>
        </w:trPr>
        <w:tc>
          <w:tcPr>
            <w:tcW w:w="5000" w:type="pct"/>
            <w:tcBorders>
              <w:top w:val="nil"/>
              <w:left w:val="nil"/>
              <w:bottom w:val="nil"/>
              <w:right w:val="nil"/>
            </w:tcBorders>
            <w:shd w:val="clear" w:color="auto" w:fill="auto"/>
            <w:vAlign w:val="center"/>
          </w:tcPr>
          <w:p>
            <w:pPr>
              <w:widowControl/>
              <w:jc w:val="left"/>
              <w:rPr>
                <w:rFonts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kern w:val="0"/>
                <w:sz w:val="28"/>
                <w:szCs w:val="28"/>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 xml:space="preserve">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tblPrEx>
          <w:tblCellMar>
            <w:top w:w="0" w:type="dxa"/>
            <w:left w:w="108" w:type="dxa"/>
            <w:bottom w:w="0" w:type="dxa"/>
            <w:right w:w="108" w:type="dxa"/>
          </w:tblCellMar>
        </w:tblPrEx>
        <w:trPr>
          <w:trHeight w:val="900" w:hRule="atLeast"/>
        </w:trPr>
        <w:tc>
          <w:tcPr>
            <w:tcW w:w="5000" w:type="pct"/>
            <w:tcBorders>
              <w:top w:val="nil"/>
              <w:left w:val="nil"/>
              <w:bottom w:val="nil"/>
              <w:right w:val="nil"/>
            </w:tcBorders>
            <w:shd w:val="clear" w:color="auto" w:fill="auto"/>
            <w:vAlign w:val="center"/>
          </w:tcPr>
          <w:p>
            <w:pPr>
              <w:widowControl/>
              <w:jc w:val="center"/>
              <w:rPr>
                <w:rFonts w:cs="宋体" w:asciiTheme="majorEastAsia" w:hAnsiTheme="majorEastAsia" w:eastAsiaTheme="majorEastAsia"/>
                <w:color w:val="000000"/>
                <w:kern w:val="0"/>
                <w:sz w:val="36"/>
                <w:szCs w:val="36"/>
              </w:rPr>
            </w:pPr>
            <w:r>
              <w:rPr>
                <w:rFonts w:hint="eastAsia" w:cs="宋体" w:asciiTheme="majorEastAsia" w:hAnsiTheme="majorEastAsia" w:eastAsiaTheme="majorEastAsia"/>
                <w:color w:val="000000"/>
                <w:kern w:val="0"/>
                <w:sz w:val="36"/>
                <w:szCs w:val="36"/>
              </w:rPr>
              <w:t>第二部分  2022年单位预算公开表格</w:t>
            </w:r>
          </w:p>
        </w:tc>
      </w:tr>
      <w:tr>
        <w:tblPrEx>
          <w:tblCellMar>
            <w:top w:w="0" w:type="dxa"/>
            <w:left w:w="108" w:type="dxa"/>
            <w:bottom w:w="0" w:type="dxa"/>
            <w:right w:w="108" w:type="dxa"/>
          </w:tblCellMar>
        </w:tblPrEx>
        <w:trPr>
          <w:trHeight w:val="8190" w:hRule="atLeast"/>
        </w:trPr>
        <w:tc>
          <w:tcPr>
            <w:tcW w:w="5000" w:type="pct"/>
            <w:tcBorders>
              <w:top w:val="nil"/>
              <w:left w:val="nil"/>
              <w:bottom w:val="nil"/>
              <w:right w:val="nil"/>
            </w:tcBorders>
            <w:shd w:val="clear" w:color="auto" w:fill="auto"/>
            <w:vAlign w:val="center"/>
          </w:tcPr>
          <w:p>
            <w:pPr>
              <w:widowControl/>
              <w:jc w:val="left"/>
              <w:rPr>
                <w:rFonts w:hint="eastAsia"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kern w:val="0"/>
                <w:sz w:val="28"/>
                <w:szCs w:val="28"/>
              </w:rPr>
              <w:t>1、收支总表</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2、收入总表</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3、支出总表</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4、支出预算分类汇总表（按政府预算经济分类）</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5、支出预算分类汇总表（按部门预算经济分类）</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6、财政拨款收支总表</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7、一般公共预算支出表</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8、一般公共预算基本支出表-人员经费（工资福利支出）（按政府预算经济分类）</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9、一般公共预算基本支出表-人员经费（工资福利支出）（按部门预算经济分类）</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10、一般公共预算基本支出表-人员经费（对个人和家庭的补助）（按政府预算经济分类）</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11、一般公共预算基本支出表-人员经费（对个人和家庭的补助）（按部门预算经济分类）</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12、一般公共预算基本支出表-</w:t>
            </w:r>
            <w:r>
              <w:rPr>
                <w:rFonts w:hint="eastAsia" w:cs="宋体" w:asciiTheme="majorEastAsia" w:hAnsiTheme="majorEastAsia" w:eastAsiaTheme="majorEastAsia"/>
                <w:color w:val="000000"/>
                <w:kern w:val="0"/>
                <w:sz w:val="28"/>
                <w:szCs w:val="28"/>
                <w:lang w:val="en-US" w:eastAsia="zh-CN"/>
              </w:rPr>
              <w:t>公用</w:t>
            </w:r>
            <w:r>
              <w:rPr>
                <w:rFonts w:hint="eastAsia" w:cs="宋体" w:asciiTheme="majorEastAsia" w:hAnsiTheme="majorEastAsia" w:eastAsiaTheme="majorEastAsia"/>
                <w:color w:val="000000"/>
                <w:kern w:val="0"/>
                <w:sz w:val="28"/>
                <w:szCs w:val="28"/>
              </w:rPr>
              <w:t>经费（商品和服务支出）（按政府预算经济分类）</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13、一般公共预算基本支出表-</w:t>
            </w:r>
            <w:r>
              <w:rPr>
                <w:rFonts w:hint="eastAsia" w:cs="宋体" w:asciiTheme="majorEastAsia" w:hAnsiTheme="majorEastAsia" w:eastAsiaTheme="majorEastAsia"/>
                <w:color w:val="000000"/>
                <w:kern w:val="0"/>
                <w:sz w:val="28"/>
                <w:szCs w:val="28"/>
                <w:lang w:val="en-US" w:eastAsia="zh-CN"/>
              </w:rPr>
              <w:t>公用</w:t>
            </w:r>
            <w:bookmarkStart w:id="0" w:name="_GoBack"/>
            <w:bookmarkEnd w:id="0"/>
            <w:r>
              <w:rPr>
                <w:rFonts w:hint="eastAsia" w:cs="宋体" w:asciiTheme="majorEastAsia" w:hAnsiTheme="majorEastAsia" w:eastAsiaTheme="majorEastAsia"/>
                <w:color w:val="000000"/>
                <w:kern w:val="0"/>
                <w:sz w:val="28"/>
                <w:szCs w:val="28"/>
              </w:rPr>
              <w:t>经费（商品和服务支出）（按部门预算经济分类）</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14、一般公共预算“三公”经费支出表</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15、政府性基金预算支出表</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16、政府性基金预算支出分类汇总表（按政府预算经济分类）</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17、政府性基金预算支出分类汇总表（按部门预算经济分类）</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18、国有资本经营预算支出表</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19、财政专户管理资金预算支出表</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20、专项资金预算汇总表</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21、项目支出绩效目标表</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22、整体支出绩效目标表</w:t>
            </w:r>
          </w:p>
          <w:p>
            <w:pPr>
              <w:widowControl/>
              <w:jc w:val="left"/>
              <w:rPr>
                <w:rFonts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sz w:val="28"/>
                <w:szCs w:val="28"/>
              </w:rPr>
              <w:t>23、一般公共预算基本支出表</w:t>
            </w:r>
            <w:r>
              <w:rPr>
                <w:rFonts w:hint="eastAsia" w:cs="宋体" w:asciiTheme="majorEastAsia" w:hAnsiTheme="majorEastAsia" w:eastAsiaTheme="majorEastAsia"/>
                <w:color w:val="000000"/>
                <w:kern w:val="0"/>
                <w:sz w:val="28"/>
                <w:szCs w:val="28"/>
              </w:rPr>
              <w:br w:type="textWrapping"/>
            </w:r>
            <w:r>
              <w:rPr>
                <w:rFonts w:hint="eastAsia" w:cs="宋体" w:asciiTheme="majorEastAsia" w:hAnsiTheme="majorEastAsia" w:eastAsiaTheme="majorEastAsia"/>
                <w:color w:val="000000"/>
                <w:kern w:val="0"/>
                <w:sz w:val="28"/>
                <w:szCs w:val="28"/>
              </w:rPr>
              <w:t>注：以上单位预算公开报表中，空表表示本单位无相关收支情况。</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U2NGQxZjRjNWQ2YzBlZDQxNTc2NWYwZTRlMzBlYWUifQ=="/>
  </w:docVars>
  <w:rsids>
    <w:rsidRoot w:val="00EC0F43"/>
    <w:rsid w:val="005206EF"/>
    <w:rsid w:val="00547A34"/>
    <w:rsid w:val="006673C9"/>
    <w:rsid w:val="006C6190"/>
    <w:rsid w:val="008F52A4"/>
    <w:rsid w:val="0095079E"/>
    <w:rsid w:val="00DC508D"/>
    <w:rsid w:val="00EC0F43"/>
    <w:rsid w:val="3B263C97"/>
    <w:rsid w:val="49F92FDD"/>
    <w:rsid w:val="7F833A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ascii="Calibri" w:hAnsi="Calibri" w:eastAsia="宋体" w:cs="Times New Roman"/>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564</Words>
  <Characters>3220</Characters>
  <Lines>26</Lines>
  <Paragraphs>7</Paragraphs>
  <TotalTime>2</TotalTime>
  <ScaleCrop>false</ScaleCrop>
  <LinksUpToDate>false</LinksUpToDate>
  <CharactersWithSpaces>3777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2023-09-21T14:02:00Z</dcterms:created>
  <dc:creator>PC</dc:creator>
  <cp:lastModifiedBy>Administrator</cp:lastModifiedBy>
  <dcterms:modified xsi:type="dcterms:W3CDTF">2023-09-22T08:28:07Z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39B85630CF25492997825E5C036B21C6_12</vt:lpwstr>
  </property>
</Properties>
</file>