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rPr>
          <w:rFonts w:hint="eastAsia"/>
          <w:sz w:val="56"/>
          <w:szCs w:val="56"/>
        </w:rPr>
      </w:pPr>
    </w:p>
    <w:p>
      <w:pPr>
        <w:pStyle w:val="12"/>
        <w:jc w:val="center"/>
        <w:rPr>
          <w:sz w:val="56"/>
          <w:szCs w:val="56"/>
        </w:rPr>
      </w:pPr>
    </w:p>
    <w:p>
      <w:pPr>
        <w:pStyle w:val="12"/>
        <w:jc w:val="center"/>
        <w:rPr>
          <w:sz w:val="84"/>
          <w:szCs w:val="84"/>
        </w:rPr>
      </w:pPr>
    </w:p>
    <w:p>
      <w:pPr>
        <w:pStyle w:val="12"/>
        <w:jc w:val="center"/>
        <w:rPr>
          <w:sz w:val="84"/>
          <w:szCs w:val="84"/>
        </w:rPr>
      </w:pPr>
    </w:p>
    <w:p>
      <w:pPr>
        <w:pStyle w:val="12"/>
        <w:jc w:val="center"/>
        <w:rPr>
          <w:sz w:val="84"/>
          <w:szCs w:val="84"/>
        </w:rPr>
      </w:pPr>
      <w:r>
        <w:rPr>
          <w:rFonts w:hint="eastAsia"/>
          <w:sz w:val="84"/>
          <w:szCs w:val="84"/>
        </w:rPr>
        <w:t>2021年度</w:t>
      </w:r>
    </w:p>
    <w:p>
      <w:pPr>
        <w:pStyle w:val="12"/>
        <w:jc w:val="center"/>
        <w:rPr>
          <w:sz w:val="84"/>
          <w:szCs w:val="84"/>
        </w:rPr>
      </w:pPr>
      <w:r>
        <w:rPr>
          <w:rFonts w:hint="eastAsia"/>
          <w:sz w:val="84"/>
          <w:szCs w:val="84"/>
          <w:lang w:eastAsia="zh-CN"/>
        </w:rPr>
        <w:t>岳阳市绿色建筑产业发展服务中心</w:t>
      </w:r>
      <w:r>
        <w:rPr>
          <w:rFonts w:hint="eastAsia"/>
          <w:sz w:val="84"/>
          <w:szCs w:val="84"/>
        </w:rPr>
        <w:t>部门决算</w:t>
      </w:r>
    </w:p>
    <w:p>
      <w:pPr>
        <w:pStyle w:val="12"/>
        <w:jc w:val="center"/>
        <w:rPr>
          <w:sz w:val="56"/>
          <w:szCs w:val="56"/>
        </w:rPr>
      </w:pPr>
    </w:p>
    <w:p>
      <w:pPr>
        <w:pStyle w:val="12"/>
        <w:jc w:val="center"/>
        <w:rPr>
          <w:sz w:val="56"/>
          <w:szCs w:val="56"/>
        </w:rPr>
      </w:pPr>
    </w:p>
    <w:p>
      <w:pPr>
        <w:pStyle w:val="12"/>
        <w:jc w:val="center"/>
        <w:rPr>
          <w:sz w:val="56"/>
          <w:szCs w:val="56"/>
        </w:rPr>
      </w:pPr>
    </w:p>
    <w:p>
      <w:pPr>
        <w:pStyle w:val="12"/>
        <w:jc w:val="center"/>
        <w:rPr>
          <w:sz w:val="56"/>
          <w:szCs w:val="56"/>
        </w:rPr>
      </w:pPr>
    </w:p>
    <w:p>
      <w:pPr>
        <w:pStyle w:val="12"/>
        <w:jc w:val="center"/>
        <w:rPr>
          <w:sz w:val="32"/>
          <w:szCs w:val="32"/>
        </w:rPr>
      </w:pPr>
    </w:p>
    <w:p>
      <w:pPr>
        <w:pStyle w:val="12"/>
        <w:jc w:val="center"/>
        <w:rPr>
          <w:sz w:val="32"/>
          <w:szCs w:val="32"/>
        </w:rPr>
      </w:pPr>
    </w:p>
    <w:p>
      <w:pPr>
        <w:pStyle w:val="12"/>
        <w:jc w:val="center"/>
        <w:rPr>
          <w:sz w:val="32"/>
          <w:szCs w:val="32"/>
        </w:rPr>
      </w:pPr>
    </w:p>
    <w:p>
      <w:pPr>
        <w:pStyle w:val="12"/>
        <w:jc w:val="center"/>
        <w:rPr>
          <w:sz w:val="32"/>
          <w:szCs w:val="32"/>
        </w:rPr>
      </w:pPr>
    </w:p>
    <w:p>
      <w:pPr>
        <w:pStyle w:val="12"/>
        <w:jc w:val="center"/>
        <w:rPr>
          <w:sz w:val="32"/>
          <w:szCs w:val="32"/>
        </w:rPr>
      </w:pPr>
    </w:p>
    <w:p>
      <w:pPr>
        <w:pStyle w:val="12"/>
        <w:spacing w:line="540" w:lineRule="exact"/>
        <w:jc w:val="center"/>
        <w:rPr>
          <w:sz w:val="56"/>
          <w:szCs w:val="56"/>
        </w:rPr>
      </w:pPr>
    </w:p>
    <w:p>
      <w:pPr>
        <w:pStyle w:val="12"/>
        <w:spacing w:line="500" w:lineRule="exact"/>
        <w:jc w:val="center"/>
        <w:rPr>
          <w:b/>
          <w:sz w:val="36"/>
          <w:szCs w:val="28"/>
        </w:rPr>
      </w:pPr>
    </w:p>
    <w:p>
      <w:pPr>
        <w:pStyle w:val="12"/>
        <w:spacing w:line="500" w:lineRule="exact"/>
        <w:jc w:val="center"/>
        <w:rPr>
          <w:b/>
          <w:sz w:val="36"/>
          <w:szCs w:val="28"/>
        </w:rPr>
      </w:pPr>
    </w:p>
    <w:p>
      <w:pPr>
        <w:pStyle w:val="12"/>
        <w:keepNext w:val="0"/>
        <w:keepLines w:val="0"/>
        <w:pageBreakBefore w:val="0"/>
        <w:widowControl w:val="0"/>
        <w:kinsoku/>
        <w:wordWrap/>
        <w:overflowPunct/>
        <w:topLinePunct w:val="0"/>
        <w:bidi w:val="0"/>
        <w:snapToGrid/>
        <w:spacing w:line="480" w:lineRule="exact"/>
        <w:jc w:val="center"/>
        <w:textAlignment w:val="auto"/>
        <w:rPr>
          <w:b/>
          <w:sz w:val="36"/>
          <w:szCs w:val="28"/>
        </w:rPr>
      </w:pPr>
      <w:r>
        <w:rPr>
          <w:rFonts w:hint="eastAsia"/>
          <w:b/>
          <w:sz w:val="36"/>
          <w:szCs w:val="28"/>
        </w:rPr>
        <w:t>目录</w:t>
      </w:r>
    </w:p>
    <w:p>
      <w:pPr>
        <w:pStyle w:val="12"/>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b/>
          <w:sz w:val="28"/>
          <w:szCs w:val="28"/>
        </w:rPr>
        <w:t>第一部分</w:t>
      </w:r>
      <w:r>
        <w:rPr>
          <w:rFonts w:hint="eastAsia"/>
          <w:b/>
          <w:sz w:val="28"/>
          <w:szCs w:val="28"/>
          <w:lang w:val="en-US" w:eastAsia="zh-CN"/>
        </w:rPr>
        <w:t xml:space="preserve"> </w:t>
      </w:r>
      <w:r>
        <w:rPr>
          <w:rFonts w:hint="eastAsia"/>
          <w:b/>
          <w:sz w:val="28"/>
          <w:szCs w:val="28"/>
          <w:lang w:eastAsia="zh-CN"/>
        </w:rPr>
        <w:t>绿色建筑产业发展服务中心</w:t>
      </w:r>
      <w:r>
        <w:rPr>
          <w:rFonts w:hint="eastAsia"/>
          <w:b/>
          <w:sz w:val="28"/>
          <w:szCs w:val="28"/>
        </w:rPr>
        <w:t>单位概况</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w:t>
      </w:r>
      <w:r>
        <w:rPr>
          <w:rFonts w:hint="eastAsia" w:cs="仿宋_GB2312" w:asciiTheme="minorEastAsia" w:hAnsiTheme="minorEastAsia" w:eastAsiaTheme="minorEastAsia"/>
          <w:sz w:val="28"/>
          <w:szCs w:val="28"/>
        </w:rPr>
        <w:t>机构设置及决算单位构成</w:t>
      </w:r>
    </w:p>
    <w:p>
      <w:pPr>
        <w:pStyle w:val="12"/>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第二部分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21年度部门决算表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2"/>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第三部分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21年度部门决算情况说明</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keepNext w:val="0"/>
        <w:keepLines w:val="0"/>
        <w:pageBreakBefore w:val="0"/>
        <w:widowControl w:val="0"/>
        <w:kinsoku/>
        <w:wordWrap/>
        <w:overflowPunct/>
        <w:topLinePunct w:val="0"/>
        <w:bidi w:val="0"/>
        <w:snapToGrid/>
        <w:spacing w:line="480" w:lineRule="exact"/>
        <w:ind w:firstLine="700" w:firstLineChars="250"/>
        <w:jc w:val="left"/>
        <w:textAlignment w:val="auto"/>
        <w:rPr>
          <w:rFonts w:ascii="仿宋_GB2312" w:hAnsi="仿宋_GB2312" w:cs="仿宋_GB2312"/>
          <w:sz w:val="28"/>
          <w:szCs w:val="28"/>
        </w:rPr>
      </w:pPr>
      <w:r>
        <w:rPr>
          <w:rFonts w:ascii="仿宋_GB2312" w:hAnsi="仿宋_GB2312" w:cs="仿宋_GB2312"/>
          <w:sz w:val="28"/>
          <w:szCs w:val="28"/>
        </w:rPr>
        <w:t>二、收入决算情况说明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cs="仿宋_GB2312" w:eastAsiaTheme="minorEastAsia"/>
          <w:color w:val="000000"/>
          <w:kern w:val="0"/>
          <w:sz w:val="28"/>
          <w:szCs w:val="28"/>
          <w:lang w:eastAsia="zh-CN"/>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cs="仿宋_GB2312" w:asciiTheme="minorEastAsia" w:hAnsiTheme="minorEastAsia" w:eastAsiaTheme="minorEastAsia"/>
          <w:sz w:val="28"/>
          <w:szCs w:val="28"/>
        </w:rPr>
        <w:t>国有资本经营预算财政拨款支出决算</w:t>
      </w:r>
      <w:r>
        <w:rPr>
          <w:rFonts w:hint="eastAsia" w:cs="仿宋_GB2312" w:asciiTheme="minorEastAsia" w:hAnsiTheme="minorEastAsia"/>
          <w:sz w:val="28"/>
          <w:szCs w:val="28"/>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w:t>
      </w:r>
      <w:r>
        <w:rPr>
          <w:rFonts w:hint="eastAsia" w:ascii="仿宋_GB2312" w:hAnsi="仿宋_GB2312" w:cs="仿宋_GB2312"/>
          <w:color w:val="000000"/>
          <w:kern w:val="0"/>
          <w:sz w:val="28"/>
          <w:szCs w:val="28"/>
        </w:rPr>
        <w:t>政府采购支出说明</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lang w:eastAsia="zh-CN"/>
        </w:rPr>
      </w:pPr>
      <w:r>
        <w:rPr>
          <w:rFonts w:hint="eastAsia" w:ascii="仿宋_GB2312" w:hAnsi="仿宋_GB2312" w:cs="仿宋_GB2312" w:eastAsiaTheme="minorEastAsia"/>
          <w:sz w:val="28"/>
          <w:szCs w:val="28"/>
          <w:lang w:eastAsia="zh-CN"/>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黑体"/>
          <w:b/>
          <w:color w:val="000000"/>
          <w:kern w:val="0"/>
          <w:sz w:val="28"/>
          <w:szCs w:val="28"/>
        </w:rPr>
      </w:pPr>
      <w:r>
        <w:rPr>
          <w:rFonts w:ascii="黑体" w:hAnsi="黑体" w:eastAsia="黑体" w:cs="黑体"/>
          <w:b/>
          <w:color w:val="000000"/>
          <w:kern w:val="0"/>
          <w:sz w:val="28"/>
          <w:szCs w:val="28"/>
        </w:rPr>
        <w:t>第四部分</w:t>
      </w:r>
      <w:r>
        <w:rPr>
          <w:rFonts w:hint="eastAsia" w:ascii="黑体" w:hAnsi="黑体" w:eastAsia="黑体" w:cs="黑体"/>
          <w:b/>
          <w:color w:val="000000"/>
          <w:kern w:val="0"/>
          <w:sz w:val="28"/>
          <w:szCs w:val="28"/>
          <w:lang w:val="en-US" w:eastAsia="zh-CN"/>
        </w:rPr>
        <w:t xml:space="preserve">  </w:t>
      </w:r>
      <w:r>
        <w:rPr>
          <w:rFonts w:ascii="黑体" w:hAnsi="黑体" w:eastAsia="黑体" w:cs="黑体"/>
          <w:b/>
          <w:color w:val="000000"/>
          <w:kern w:val="0"/>
          <w:sz w:val="28"/>
          <w:szCs w:val="28"/>
        </w:rPr>
        <w:t>名词解释</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w:t>
      </w:r>
      <w:r>
        <w:rPr>
          <w:rFonts w:hint="eastAsia" w:ascii="黑体" w:hAnsi="黑体" w:eastAsia="黑体" w:cs="黑体"/>
          <w:b/>
          <w:color w:val="000000"/>
          <w:kern w:val="0"/>
          <w:sz w:val="28"/>
          <w:szCs w:val="28"/>
          <w:lang w:val="en-US" w:eastAsia="zh-CN"/>
        </w:rPr>
        <w:t xml:space="preserve">  </w:t>
      </w:r>
      <w:r>
        <w:rPr>
          <w:rFonts w:hint="eastAsia" w:ascii="黑体" w:hAnsi="黑体" w:eastAsia="黑体" w:cs="黑体"/>
          <w:b/>
          <w:color w:val="000000"/>
          <w:kern w:val="0"/>
          <w:sz w:val="28"/>
          <w:szCs w:val="28"/>
        </w:rPr>
        <w:t>附件</w:t>
      </w:r>
    </w:p>
    <w:p>
      <w:pPr>
        <w:keepNext w:val="0"/>
        <w:keepLines w:val="0"/>
        <w:pageBreakBefore w:val="0"/>
        <w:widowControl w:val="0"/>
        <w:kinsoku/>
        <w:wordWrap/>
        <w:overflowPunct/>
        <w:topLinePunct w:val="0"/>
        <w:bidi w:val="0"/>
        <w:snapToGrid/>
        <w:spacing w:line="620" w:lineRule="exact"/>
        <w:jc w:val="center"/>
        <w:textAlignment w:val="auto"/>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2"/>
        <w:jc w:val="center"/>
        <w:rPr>
          <w:sz w:val="84"/>
          <w:szCs w:val="84"/>
        </w:rPr>
      </w:pPr>
      <w:r>
        <w:rPr>
          <w:rFonts w:hint="eastAsia"/>
          <w:sz w:val="84"/>
          <w:szCs w:val="84"/>
        </w:rPr>
        <w:t>第一部分</w:t>
      </w:r>
      <w:r>
        <w:rPr>
          <w:sz w:val="84"/>
          <w:szCs w:val="84"/>
        </w:rPr>
        <w:t xml:space="preserve"> </w:t>
      </w:r>
    </w:p>
    <w:p>
      <w:pPr>
        <w:pStyle w:val="12"/>
        <w:jc w:val="center"/>
        <w:rPr>
          <w:sz w:val="84"/>
          <w:szCs w:val="84"/>
        </w:rPr>
      </w:pPr>
    </w:p>
    <w:p>
      <w:pPr>
        <w:pStyle w:val="12"/>
        <w:jc w:val="center"/>
        <w:rPr>
          <w:sz w:val="84"/>
          <w:szCs w:val="84"/>
        </w:rPr>
      </w:pPr>
      <w:r>
        <w:rPr>
          <w:rFonts w:hint="eastAsia"/>
          <w:sz w:val="84"/>
          <w:szCs w:val="84"/>
          <w:lang w:eastAsia="zh-CN"/>
        </w:rPr>
        <w:t>岳阳市绿色建筑产业发展服务中心</w:t>
      </w:r>
      <w:r>
        <w:rPr>
          <w:rFonts w:hint="eastAsia"/>
          <w:sz w:val="84"/>
          <w:szCs w:val="84"/>
        </w:rPr>
        <w:t>单位概况</w:t>
      </w:r>
    </w:p>
    <w:p>
      <w:pPr>
        <w:jc w:val="center"/>
        <w:rPr>
          <w:sz w:val="72"/>
          <w:szCs w:val="72"/>
        </w:rPr>
      </w:pPr>
    </w:p>
    <w:p>
      <w:pPr>
        <w:jc w:val="center"/>
        <w:rPr>
          <w:sz w:val="72"/>
          <w:szCs w:val="72"/>
        </w:rPr>
      </w:pPr>
    </w:p>
    <w:p>
      <w:pPr>
        <w:pStyle w:val="13"/>
        <w:ind w:left="0" w:leftChars="0" w:firstLine="0" w:firstLineChars="0"/>
        <w:jc w:val="left"/>
        <w:rPr>
          <w:rFonts w:ascii="黑体" w:hAnsi="黑体" w:eastAsia="黑体"/>
          <w:sz w:val="32"/>
          <w:szCs w:val="32"/>
        </w:rPr>
      </w:pPr>
    </w:p>
    <w:p>
      <w:pPr>
        <w:pStyle w:val="13"/>
        <w:ind w:left="0" w:leftChars="0" w:firstLine="0" w:firstLineChars="0"/>
        <w:jc w:val="left"/>
        <w:rPr>
          <w:rFonts w:ascii="黑体" w:hAnsi="黑体" w:eastAsia="黑体"/>
          <w:sz w:val="32"/>
          <w:szCs w:val="32"/>
        </w:rPr>
      </w:pPr>
    </w:p>
    <w:p>
      <w:pPr>
        <w:pStyle w:val="13"/>
        <w:ind w:left="720" w:firstLine="0" w:firstLineChars="0"/>
        <w:jc w:val="left"/>
        <w:rPr>
          <w:rFonts w:ascii="黑体" w:hAnsi="黑体" w:eastAsia="黑体"/>
          <w:sz w:val="32"/>
          <w:szCs w:val="32"/>
        </w:rPr>
      </w:pPr>
    </w:p>
    <w:p>
      <w:pPr>
        <w:pStyle w:val="13"/>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rPr>
          <w:rFonts w:hint="eastAsia" w:ascii="仿宋_GB2312" w:eastAsia="仿宋_GB2312"/>
          <w:sz w:val="32"/>
          <w:szCs w:val="32"/>
          <w:lang w:eastAsia="zh-CN"/>
        </w:rPr>
      </w:pPr>
      <w:r>
        <w:rPr>
          <w:rFonts w:hint="eastAsia" w:ascii="仿宋_GB2312" w:eastAsia="仿宋_GB2312"/>
          <w:sz w:val="32"/>
          <w:szCs w:val="32"/>
        </w:rPr>
        <w:t>（一）为局机关提供支持保障的职能</w:t>
      </w:r>
      <w:r>
        <w:rPr>
          <w:rFonts w:hint="eastAsia" w:ascii="仿宋_GB2312" w:eastAsia="仿宋_GB2312"/>
          <w:sz w:val="32"/>
          <w:szCs w:val="32"/>
          <w:lang w:eastAsia="zh-CN"/>
        </w:rPr>
        <w:t>：</w:t>
      </w:r>
    </w:p>
    <w:p>
      <w:pPr>
        <w:rPr>
          <w:rFonts w:hint="eastAsia" w:ascii="仿宋_GB2312" w:eastAsia="仿宋_GB2312"/>
          <w:sz w:val="32"/>
          <w:szCs w:val="32"/>
          <w:lang w:eastAsia="zh-CN"/>
        </w:rPr>
      </w:pPr>
      <w:r>
        <w:rPr>
          <w:rFonts w:hint="eastAsia" w:ascii="仿宋_GB2312" w:eastAsia="仿宋_GB2312"/>
          <w:sz w:val="32"/>
          <w:szCs w:val="32"/>
        </w:rPr>
        <w:t>1、</w:t>
      </w:r>
      <w:r>
        <w:rPr>
          <w:rFonts w:hint="eastAsia" w:ascii="仿宋_GB2312" w:eastAsia="仿宋_GB2312"/>
          <w:sz w:val="32"/>
          <w:szCs w:val="32"/>
          <w:lang w:eastAsia="zh-CN"/>
        </w:rPr>
        <w:t>负责贯彻执行发展新型墙体材料、散装水泥的法律法规和政策规定；</w:t>
      </w:r>
    </w:p>
    <w:p>
      <w:pPr>
        <w:rPr>
          <w:rFonts w:hint="eastAsia" w:ascii="仿宋_GB2312" w:eastAsia="仿宋_GB2312"/>
          <w:sz w:val="32"/>
          <w:szCs w:val="32"/>
          <w:lang w:eastAsia="zh-CN"/>
        </w:rPr>
      </w:pPr>
      <w:r>
        <w:rPr>
          <w:rFonts w:hint="eastAsia" w:ascii="仿宋_GB2312" w:eastAsia="仿宋_GB2312"/>
          <w:sz w:val="32"/>
          <w:szCs w:val="32"/>
        </w:rPr>
        <w:t>2、</w:t>
      </w:r>
      <w:r>
        <w:rPr>
          <w:rFonts w:hint="eastAsia" w:ascii="仿宋_GB2312" w:eastAsia="仿宋_GB2312"/>
          <w:sz w:val="32"/>
          <w:szCs w:val="32"/>
          <w:lang w:eastAsia="zh-CN"/>
        </w:rPr>
        <w:t>负责草拟和执行全市墙体材料革新、建筑节能推广以及散装水泥、预拌混凝土、预拌砂浆发展的总体规划和年度计划；</w:t>
      </w:r>
    </w:p>
    <w:p>
      <w:pPr>
        <w:rPr>
          <w:rFonts w:hint="eastAsia" w:ascii="仿宋_GB2312" w:eastAsia="仿宋_GB2312"/>
          <w:sz w:val="32"/>
          <w:szCs w:val="32"/>
          <w:lang w:eastAsia="zh-CN"/>
        </w:rPr>
      </w:pPr>
      <w:r>
        <w:rPr>
          <w:rFonts w:hint="eastAsia" w:ascii="仿宋_GB2312" w:eastAsia="仿宋_GB2312"/>
          <w:sz w:val="32"/>
          <w:szCs w:val="32"/>
        </w:rPr>
        <w:t>3、</w:t>
      </w:r>
      <w:r>
        <w:rPr>
          <w:rFonts w:hint="eastAsia" w:ascii="仿宋_GB2312" w:eastAsia="仿宋_GB2312"/>
          <w:sz w:val="32"/>
          <w:szCs w:val="32"/>
          <w:lang w:eastAsia="zh-CN"/>
        </w:rPr>
        <w:t>负责推广新型墙体材料和发展绿色墙体材料，制订实施全市城市“限粘”和县城“禁实”工作方案，组织编制利用废渣生产新型墙体材料计划，参与使用新型墙体材料的建筑工程竣工验收。</w:t>
      </w:r>
    </w:p>
    <w:p>
      <w:pPr>
        <w:rPr>
          <w:rFonts w:hint="eastAsia" w:ascii="仿宋_GB2312" w:eastAsia="仿宋_GB2312"/>
          <w:sz w:val="32"/>
          <w:szCs w:val="32"/>
          <w:lang w:eastAsia="zh-CN"/>
        </w:rPr>
      </w:pPr>
      <w:r>
        <w:rPr>
          <w:rFonts w:hint="eastAsia" w:ascii="仿宋_GB2312" w:eastAsia="仿宋_GB2312"/>
          <w:sz w:val="32"/>
          <w:szCs w:val="32"/>
        </w:rPr>
        <w:t>（二）面向社会提供公益服务的职能</w:t>
      </w:r>
      <w:r>
        <w:rPr>
          <w:rFonts w:hint="eastAsia" w:ascii="仿宋_GB2312" w:eastAsia="仿宋_GB2312"/>
          <w:sz w:val="32"/>
          <w:szCs w:val="32"/>
          <w:lang w:eastAsia="zh-CN"/>
        </w:rPr>
        <w:t>：</w:t>
      </w:r>
    </w:p>
    <w:p>
      <w:pPr>
        <w:rPr>
          <w:rFonts w:hint="eastAsia" w:ascii="仿宋_GB2312" w:eastAsia="仿宋_GB2312"/>
          <w:sz w:val="32"/>
          <w:szCs w:val="32"/>
          <w:lang w:eastAsia="zh-CN"/>
        </w:rPr>
      </w:pPr>
      <w:r>
        <w:rPr>
          <w:rFonts w:hint="eastAsia" w:ascii="仿宋_GB2312" w:eastAsia="仿宋_GB2312"/>
          <w:sz w:val="32"/>
          <w:szCs w:val="32"/>
        </w:rPr>
        <w:t>1、</w:t>
      </w:r>
      <w:r>
        <w:rPr>
          <w:rFonts w:hint="eastAsia" w:ascii="仿宋_GB2312" w:eastAsia="仿宋_GB2312"/>
          <w:sz w:val="32"/>
          <w:szCs w:val="32"/>
          <w:lang w:eastAsia="zh-CN"/>
        </w:rPr>
        <w:t>负责新型墙体材料产品升级认定工作，监督检查新型墙体材料的产品质量和使用；指导全市新建、改建、扩建新型墙体材料项目产品研发、生产技术和工艺；指导企业利用废渣生产新型墙体材料和本行业淘汰落后产能工作；</w:t>
      </w:r>
    </w:p>
    <w:p>
      <w:pPr>
        <w:rPr>
          <w:rFonts w:hint="eastAsia" w:ascii="仿宋_GB2312" w:eastAsia="仿宋_GB2312"/>
          <w:sz w:val="32"/>
          <w:szCs w:val="32"/>
          <w:lang w:eastAsia="zh-CN"/>
        </w:rPr>
      </w:pPr>
      <w:r>
        <w:rPr>
          <w:rFonts w:hint="eastAsia" w:ascii="仿宋_GB2312" w:eastAsia="仿宋_GB2312"/>
          <w:sz w:val="32"/>
          <w:szCs w:val="32"/>
        </w:rPr>
        <w:t>2、</w:t>
      </w:r>
      <w:r>
        <w:rPr>
          <w:rFonts w:hint="eastAsia" w:ascii="仿宋_GB2312" w:eastAsia="仿宋_GB2312"/>
          <w:sz w:val="32"/>
          <w:szCs w:val="32"/>
          <w:lang w:eastAsia="zh-CN"/>
        </w:rPr>
        <w:t>负责指导协调全市散装水泥、预拌混凝土、预拌砂浆的生产、运输、使用以及新建、扩建预拌混凝土和预拌砂浆项目工作，监督检查散装水泥、预拌混凝土和预拌砂浆生产质量，组织实施禁止市区现场搅拌混凝土和现场搅拌砂浆具体工作；</w:t>
      </w:r>
    </w:p>
    <w:p>
      <w:pPr>
        <w:rPr>
          <w:rFonts w:ascii="仿宋_GB2312" w:eastAsia="仿宋_GB2312" w:hAnsiTheme="minorEastAsia"/>
          <w:sz w:val="28"/>
          <w:szCs w:val="32"/>
        </w:rPr>
      </w:pPr>
      <w:r>
        <w:rPr>
          <w:rFonts w:hint="eastAsia" w:ascii="仿宋_GB2312" w:eastAsia="仿宋_GB2312"/>
          <w:sz w:val="32"/>
          <w:szCs w:val="32"/>
        </w:rPr>
        <w:t>3、</w:t>
      </w:r>
      <w:r>
        <w:rPr>
          <w:rFonts w:hint="eastAsia" w:ascii="仿宋_GB2312" w:eastAsia="仿宋_GB2312"/>
          <w:sz w:val="32"/>
          <w:szCs w:val="32"/>
          <w:lang w:eastAsia="zh-CN"/>
        </w:rPr>
        <w:t>指导各县市区墙体材料改革与散装水泥服务工作。</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（一）内设机构设置。</w:t>
      </w:r>
      <w:r>
        <w:rPr>
          <w:rFonts w:hint="eastAsia" w:ascii="仿宋_GB2312" w:hAnsi="仿宋_GB2312" w:eastAsia="仿宋_GB2312" w:cs="仿宋_GB2312"/>
          <w:bCs/>
          <w:kern w:val="0"/>
          <w:sz w:val="32"/>
          <w:szCs w:val="32"/>
          <w:lang w:eastAsia="zh-CN"/>
        </w:rPr>
        <w:t>绿建中心</w:t>
      </w:r>
      <w:r>
        <w:rPr>
          <w:rFonts w:hint="eastAsia" w:ascii="仿宋_GB2312" w:hAnsi="仿宋_GB2312" w:eastAsia="仿宋_GB2312" w:cs="仿宋_GB2312"/>
          <w:bCs/>
          <w:kern w:val="0"/>
          <w:sz w:val="32"/>
          <w:szCs w:val="32"/>
        </w:rPr>
        <w:t>单位内设机构包括：</w:t>
      </w:r>
    </w:p>
    <w:p>
      <w:pPr>
        <w:widowControl/>
        <w:spacing w:line="600" w:lineRule="exact"/>
        <w:ind w:firstLine="640" w:firstLineChars="200"/>
        <w:rPr>
          <w:rFonts w:hint="eastAsia" w:ascii="仿宋_GB2312" w:hAnsi="仿宋_GB2312" w:eastAsia="仿宋_GB2312" w:cs="仿宋_GB2312"/>
          <w:bCs/>
          <w:kern w:val="0"/>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综合部。负责单位日常工作的协调和督办，负责党建、人事、财务、信息、宣传、文电、会务、信访、安全、考核、档案、工会、教育培训、资产管理、离退休人员管理等工作；负责综合性材料的起草工作。</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lang w:val="en-US" w:eastAsia="zh-CN"/>
        </w:rPr>
        <w:t xml:space="preserve">    2.</w:t>
      </w:r>
      <w:r>
        <w:rPr>
          <w:rFonts w:hint="eastAsia" w:ascii="仿宋_GB2312" w:hAnsi="仿宋_GB2312" w:eastAsia="仿宋_GB2312" w:cs="仿宋_GB2312"/>
          <w:sz w:val="32"/>
          <w:szCs w:val="32"/>
        </w:rPr>
        <w:t>绿色建材推广应用部。负责全市新型墙体材料改革和发展的事务性工作；协调做好全市城市“限粘”和县城“禁实”的事务性工作；负责新型墙体材料、建筑节能材料、装配式建筑的推广应用及产品升级认定等事务性工作；负责指导做好全市新建、改建、扩建新型墙体材料新技术、新工艺、新设备研制开发服务的事务性工作；负责新型墙体材料产品质量、生产使用情况进行监督检查的事务性工作；负责生产、销售、使用粘土砖违法违规行为查处的行政辅助工作；负责全市新型墙体材料的统计工作；参与建筑工程使用新型墙体材料的信息核查和竣工验收备案的事务性工作。</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lang w:val="en-US" w:eastAsia="zh-CN"/>
        </w:rPr>
        <w:t xml:space="preserve">    3.</w:t>
      </w:r>
      <w:r>
        <w:rPr>
          <w:rFonts w:hint="eastAsia" w:ascii="仿宋_GB2312" w:hAnsi="仿宋_GB2312" w:eastAsia="仿宋_GB2312" w:cs="仿宋_GB2312"/>
          <w:sz w:val="32"/>
          <w:szCs w:val="32"/>
        </w:rPr>
        <w:t>散装水泥推广应用部。负责实施禁止施工现场搅拌混凝土和现场搅拌砂浆的事务性工作；参与全市新建、扩建预拌混凝土和预拌砂浆项目前期调研、现场勘察、竣工报备等事务性工作；参与打击非法生产企业专项整治以及违法违规行为查处的行政辅助工作；负责预拌混凝土、预拌砂浆、机制砂石生产质量进行监督检查的事务性工作以及负责现场搅拌混凝土、砂浆、散装水泥进行包装后销售等违法违规行为查处的行政辅助工作；负责全市散装水泥、预拌混凝土、预拌砂浆、机制砂石的统计工作；参与建筑工程使用预拌混凝土、预拌砂浆的信息核查和竣工验收备案的事务性工作。</w:t>
      </w:r>
    </w:p>
    <w:p>
      <w:pPr>
        <w:jc w:val="left"/>
        <w:rPr>
          <w:rFonts w:hint="eastAsia" w:ascii="仿宋_GB2312" w:eastAsia="仿宋_GB2312" w:hAnsiTheme="minorEastAsia"/>
          <w:sz w:val="28"/>
          <w:szCs w:val="32"/>
          <w:lang w:val="en-US" w:eastAsia="zh-CN"/>
        </w:rPr>
      </w:pPr>
      <w:r>
        <w:rPr>
          <w:rFonts w:hint="eastAsia" w:ascii="仿宋_GB2312" w:hAnsi="仿宋_GB2312" w:eastAsia="仿宋_GB2312" w:cs="仿宋_GB2312"/>
          <w:bCs/>
          <w:kern w:val="0"/>
          <w:sz w:val="32"/>
          <w:szCs w:val="32"/>
        </w:rPr>
        <w:t>（二）决算单位构成。</w:t>
      </w:r>
      <w:r>
        <w:rPr>
          <w:rFonts w:hint="eastAsia" w:ascii="仿宋_GB2312" w:hAnsi="仿宋_GB2312" w:eastAsia="仿宋_GB2312" w:cs="仿宋_GB2312"/>
          <w:bCs/>
          <w:kern w:val="0"/>
          <w:sz w:val="32"/>
          <w:szCs w:val="32"/>
          <w:lang w:eastAsia="zh-CN"/>
        </w:rPr>
        <w:t>绿建中心</w:t>
      </w:r>
      <w:r>
        <w:rPr>
          <w:rFonts w:hint="eastAsia" w:ascii="仿宋_GB2312" w:hAnsi="仿宋_GB2312" w:eastAsia="仿宋_GB2312" w:cs="仿宋_GB2312"/>
          <w:bCs/>
          <w:kern w:val="0"/>
          <w:sz w:val="32"/>
          <w:szCs w:val="32"/>
        </w:rPr>
        <w:t>单位202</w:t>
      </w:r>
      <w:r>
        <w:rPr>
          <w:rFonts w:hint="eastAsia" w:ascii="仿宋_GB2312" w:hAnsi="仿宋_GB2312" w:eastAsia="仿宋_GB2312" w:cs="仿宋_GB2312"/>
          <w:bCs/>
          <w:kern w:val="0"/>
          <w:sz w:val="32"/>
          <w:szCs w:val="32"/>
          <w:lang w:val="en-US" w:eastAsia="zh-CN"/>
        </w:rPr>
        <w:t>1</w:t>
      </w:r>
      <w:r>
        <w:rPr>
          <w:rFonts w:hint="eastAsia" w:ascii="仿宋_GB2312" w:hAnsi="仿宋_GB2312" w:eastAsia="仿宋_GB2312" w:cs="仿宋_GB2312"/>
          <w:bCs/>
          <w:kern w:val="0"/>
          <w:sz w:val="32"/>
          <w:szCs w:val="32"/>
        </w:rPr>
        <w:t>年部门决算汇总公开单位构成包括：</w:t>
      </w:r>
      <w:r>
        <w:rPr>
          <w:rFonts w:hint="eastAsia" w:ascii="仿宋_GB2312" w:hAnsi="仿宋_GB2312" w:eastAsia="仿宋_GB2312" w:cs="仿宋_GB2312"/>
          <w:bCs/>
          <w:kern w:val="0"/>
          <w:sz w:val="32"/>
          <w:szCs w:val="32"/>
          <w:lang w:eastAsia="zh-CN"/>
        </w:rPr>
        <w:t>岳阳市绿色建筑产业发展服务中心</w:t>
      </w:r>
      <w:r>
        <w:rPr>
          <w:rFonts w:hint="eastAsia" w:ascii="仿宋_GB2312" w:hAnsi="仿宋_GB2312" w:eastAsia="仿宋_GB2312" w:cs="仿宋_GB2312"/>
          <w:bCs/>
          <w:kern w:val="0"/>
          <w:sz w:val="32"/>
          <w:szCs w:val="32"/>
        </w:rPr>
        <w:t>单位</w:t>
      </w:r>
      <w:r>
        <w:rPr>
          <w:rFonts w:hint="eastAsia" w:ascii="仿宋_GB2312" w:hAnsi="仿宋_GB2312" w:eastAsia="仿宋_GB2312" w:cs="仿宋_GB2312"/>
          <w:bCs/>
          <w:kern w:val="0"/>
          <w:sz w:val="32"/>
          <w:szCs w:val="32"/>
          <w:lang w:eastAsia="zh-CN"/>
        </w:rPr>
        <w:t>本级，无下属单位。</w:t>
      </w: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both"/>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rFonts w:hint="eastAsia"/>
          <w:sz w:val="72"/>
          <w:szCs w:val="72"/>
        </w:rPr>
      </w:pPr>
      <w:r>
        <w:rPr>
          <w:rFonts w:hint="eastAsia"/>
          <w:sz w:val="72"/>
          <w:szCs w:val="72"/>
        </w:rPr>
        <w:t>部门决算表</w:t>
      </w:r>
    </w:p>
    <w:p>
      <w:pPr>
        <w:jc w:val="center"/>
        <w:rPr>
          <w:rFonts w:hint="eastAsia" w:eastAsiaTheme="minorEastAsia"/>
          <w:sz w:val="72"/>
          <w:szCs w:val="72"/>
          <w:lang w:eastAsia="zh-CN"/>
        </w:rPr>
      </w:pPr>
      <w:r>
        <w:rPr>
          <w:rFonts w:hint="eastAsia"/>
          <w:sz w:val="72"/>
          <w:szCs w:val="72"/>
          <w:lang w:eastAsia="zh-CN"/>
        </w:rPr>
        <w:t>（见附件）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2"/>
        <w:jc w:val="both"/>
        <w:rPr>
          <w:sz w:val="72"/>
          <w:szCs w:val="72"/>
        </w:rPr>
      </w:pPr>
    </w:p>
    <w:p>
      <w:pPr>
        <w:pStyle w:val="12"/>
        <w:jc w:val="center"/>
        <w:rPr>
          <w:sz w:val="72"/>
          <w:szCs w:val="72"/>
        </w:rPr>
      </w:pPr>
    </w:p>
    <w:p>
      <w:pPr>
        <w:pStyle w:val="12"/>
        <w:jc w:val="center"/>
        <w:rPr>
          <w:sz w:val="72"/>
          <w:szCs w:val="72"/>
        </w:rPr>
      </w:pPr>
      <w:r>
        <w:rPr>
          <w:rFonts w:hint="eastAsia"/>
          <w:sz w:val="72"/>
          <w:szCs w:val="72"/>
        </w:rPr>
        <w:t>第三部分</w:t>
      </w:r>
    </w:p>
    <w:p>
      <w:pPr>
        <w:pStyle w:val="12"/>
        <w:jc w:val="center"/>
        <w:rPr>
          <w:sz w:val="70"/>
          <w:szCs w:val="70"/>
        </w:rPr>
      </w:pPr>
    </w:p>
    <w:p>
      <w:pPr>
        <w:pStyle w:val="12"/>
        <w:jc w:val="center"/>
        <w:rPr>
          <w:sz w:val="70"/>
          <w:szCs w:val="70"/>
        </w:rPr>
      </w:pPr>
      <w:r>
        <w:rPr>
          <w:sz w:val="70"/>
          <w:szCs w:val="70"/>
        </w:rPr>
        <w:t>20</w:t>
      </w:r>
      <w:r>
        <w:rPr>
          <w:rFonts w:hint="eastAsia"/>
          <w:sz w:val="70"/>
          <w:szCs w:val="70"/>
        </w:rPr>
        <w:t>21年度部门决算情况说明</w:t>
      </w:r>
    </w:p>
    <w:p>
      <w:pPr>
        <w:widowControl/>
        <w:jc w:val="left"/>
        <w:rPr>
          <w:rFonts w:ascii="黑体" w:eastAsia="黑体" w:cs="黑体"/>
          <w:color w:val="000000"/>
          <w:kern w:val="0"/>
          <w:sz w:val="70"/>
          <w:szCs w:val="70"/>
        </w:rPr>
      </w:pPr>
      <w:r>
        <w:rPr>
          <w:sz w:val="70"/>
          <w:szCs w:val="70"/>
        </w:rPr>
        <w:br w:type="page"/>
      </w:r>
    </w:p>
    <w:p>
      <w:pPr>
        <w:pStyle w:val="12"/>
        <w:rPr>
          <w:rFonts w:asciiTheme="minorEastAsia" w:hAnsiTheme="minorEastAsia" w:eastAsiaTheme="minorEastAsia"/>
          <w:sz w:val="32"/>
          <w:szCs w:val="32"/>
        </w:rPr>
      </w:pPr>
    </w:p>
    <w:p>
      <w:pPr>
        <w:pStyle w:val="12"/>
        <w:rPr>
          <w:rFonts w:hAnsi="黑体"/>
          <w:b/>
          <w:sz w:val="32"/>
          <w:szCs w:val="32"/>
        </w:rPr>
      </w:pPr>
      <w:r>
        <w:rPr>
          <w:rFonts w:hint="eastAsia" w:hAnsi="黑体"/>
          <w:b/>
          <w:sz w:val="32"/>
          <w:szCs w:val="32"/>
        </w:rPr>
        <w:t>一、收入支出决算总体情况说明</w:t>
      </w:r>
    </w:p>
    <w:p>
      <w:pPr>
        <w:pStyle w:val="12"/>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2021年度收、支总计</w:t>
      </w:r>
      <w:r>
        <w:rPr>
          <w:rFonts w:hint="eastAsia" w:asciiTheme="minorEastAsia" w:hAnsiTheme="minorEastAsia" w:eastAsiaTheme="minorEastAsia"/>
          <w:sz w:val="32"/>
          <w:szCs w:val="32"/>
          <w:lang w:val="en-US" w:eastAsia="zh-CN"/>
        </w:rPr>
        <w:t>199.13</w:t>
      </w:r>
      <w:r>
        <w:rPr>
          <w:rFonts w:hint="eastAsia" w:asciiTheme="minorEastAsia" w:hAnsiTheme="minorEastAsia" w:eastAsiaTheme="minorEastAsia"/>
          <w:sz w:val="32"/>
          <w:szCs w:val="32"/>
        </w:rPr>
        <w:t>万元。与上年相比，增加</w:t>
      </w:r>
      <w:r>
        <w:rPr>
          <w:rFonts w:hint="eastAsia" w:asciiTheme="minorEastAsia" w:hAnsiTheme="minorEastAsia" w:eastAsiaTheme="minorEastAsia"/>
          <w:sz w:val="32"/>
          <w:szCs w:val="32"/>
          <w:lang w:val="en-US" w:eastAsia="zh-CN"/>
        </w:rPr>
        <w:t>33.82</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20.46</w:t>
      </w:r>
      <w:r>
        <w:rPr>
          <w:rFonts w:hint="eastAsia" w:asciiTheme="minorEastAsia" w:hAnsiTheme="minorEastAsia" w:eastAsiaTheme="minorEastAsia"/>
          <w:sz w:val="32"/>
          <w:szCs w:val="32"/>
        </w:rPr>
        <w:t>%，主要是因为</w:t>
      </w:r>
      <w:r>
        <w:rPr>
          <w:rFonts w:hint="eastAsia" w:ascii="宋体" w:hAnsi="宋体" w:eastAsia="宋体" w:cs="宋体"/>
          <w:sz w:val="32"/>
          <w:szCs w:val="32"/>
          <w:lang w:val="en-US" w:eastAsia="zh-CN"/>
        </w:rPr>
        <w:t>2021年增加装配式建筑及建筑新材料产业链专项经费。</w:t>
      </w:r>
    </w:p>
    <w:p>
      <w:pPr>
        <w:pStyle w:val="12"/>
        <w:rPr>
          <w:rFonts w:hAnsi="黑体"/>
          <w:b/>
          <w:sz w:val="32"/>
          <w:szCs w:val="32"/>
        </w:rPr>
      </w:pPr>
      <w:r>
        <w:rPr>
          <w:rFonts w:hint="eastAsia" w:hAnsi="黑体"/>
          <w:b/>
          <w:sz w:val="32"/>
          <w:szCs w:val="32"/>
        </w:rPr>
        <w:t>二、收入决算情况说明</w:t>
      </w:r>
    </w:p>
    <w:p>
      <w:pPr>
        <w:pStyle w:val="12"/>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2021年度收入合计</w:t>
      </w:r>
      <w:r>
        <w:rPr>
          <w:rFonts w:hint="eastAsia" w:asciiTheme="minorEastAsia" w:hAnsiTheme="minorEastAsia" w:eastAsiaTheme="minorEastAsia"/>
          <w:sz w:val="32"/>
          <w:szCs w:val="32"/>
          <w:lang w:val="en-US" w:eastAsia="zh-CN"/>
        </w:rPr>
        <w:t>183.2</w:t>
      </w:r>
      <w:r>
        <w:rPr>
          <w:rFonts w:hint="eastAsia" w:asciiTheme="minorEastAsia" w:hAnsiTheme="minorEastAsia" w:eastAsiaTheme="minorEastAsia"/>
          <w:sz w:val="32"/>
          <w:szCs w:val="32"/>
        </w:rPr>
        <w:t>万元，其中：财政拨款收入</w:t>
      </w:r>
      <w:r>
        <w:rPr>
          <w:rFonts w:hint="eastAsia" w:asciiTheme="minorEastAsia" w:hAnsiTheme="minorEastAsia" w:eastAsiaTheme="minorEastAsia"/>
          <w:sz w:val="32"/>
          <w:szCs w:val="32"/>
          <w:lang w:val="en-US" w:eastAsia="zh-CN"/>
        </w:rPr>
        <w:t>168.3</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91.87</w:t>
      </w:r>
      <w:r>
        <w:rPr>
          <w:rFonts w:hint="eastAsia" w:asciiTheme="minorEastAsia" w:hAnsiTheme="minorEastAsia" w:eastAsiaTheme="minorEastAsia"/>
          <w:sz w:val="32"/>
          <w:szCs w:val="32"/>
        </w:rPr>
        <w:t>%；上级补助收入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%；事业收入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%；经营收入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%；附属单位上缴收入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%；其他收入</w:t>
      </w:r>
      <w:r>
        <w:rPr>
          <w:rFonts w:hint="eastAsia" w:asciiTheme="minorEastAsia" w:hAnsiTheme="minorEastAsia" w:eastAsiaTheme="minorEastAsia"/>
          <w:sz w:val="32"/>
          <w:szCs w:val="32"/>
          <w:lang w:val="en-US" w:eastAsia="zh-CN"/>
        </w:rPr>
        <w:t>14.9</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8.13</w:t>
      </w:r>
      <w:r>
        <w:rPr>
          <w:rFonts w:hint="eastAsia" w:asciiTheme="minorEastAsia" w:hAnsiTheme="minorEastAsia" w:eastAsiaTheme="minorEastAsia"/>
          <w:sz w:val="32"/>
          <w:szCs w:val="32"/>
        </w:rPr>
        <w:t>%。</w:t>
      </w:r>
    </w:p>
    <w:p>
      <w:pPr>
        <w:pStyle w:val="12"/>
        <w:rPr>
          <w:rFonts w:hAnsi="黑体"/>
          <w:b/>
          <w:sz w:val="32"/>
          <w:szCs w:val="32"/>
        </w:rPr>
      </w:pPr>
      <w:r>
        <w:rPr>
          <w:rFonts w:hint="eastAsia" w:hAnsi="黑体"/>
          <w:b/>
          <w:sz w:val="32"/>
          <w:szCs w:val="32"/>
        </w:rPr>
        <w:t>三、支出决算情况说明</w:t>
      </w:r>
    </w:p>
    <w:p>
      <w:pPr>
        <w:pStyle w:val="12"/>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2021年度支出合计</w:t>
      </w:r>
      <w:r>
        <w:rPr>
          <w:rFonts w:hint="eastAsia" w:asciiTheme="minorEastAsia" w:hAnsiTheme="minorEastAsia" w:eastAsiaTheme="minorEastAsia"/>
          <w:sz w:val="32"/>
          <w:szCs w:val="32"/>
          <w:lang w:val="en-US" w:eastAsia="zh-CN"/>
        </w:rPr>
        <w:t>194.9</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194.9</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%；项目支出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%；上缴上级支出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%；经营支出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%；对附属单位补助支出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2"/>
        <w:rPr>
          <w:rFonts w:hAnsi="黑体"/>
          <w:b/>
          <w:sz w:val="32"/>
          <w:szCs w:val="32"/>
        </w:rPr>
      </w:pPr>
      <w:r>
        <w:rPr>
          <w:rFonts w:hint="eastAsia" w:hAnsi="黑体"/>
          <w:b/>
          <w:sz w:val="32"/>
          <w:szCs w:val="32"/>
        </w:rPr>
        <w:t>四、财政拨款收入支出决算总体情况说明</w:t>
      </w:r>
    </w:p>
    <w:p>
      <w:pPr>
        <w:pStyle w:val="12"/>
        <w:ind w:firstLine="640" w:firstLineChars="200"/>
        <w:rPr>
          <w:rFonts w:asciiTheme="minorEastAsia" w:hAnsiTheme="minorEastAsia" w:eastAsiaTheme="minorEastAsia"/>
          <w:i/>
          <w:iCs/>
          <w:sz w:val="32"/>
          <w:szCs w:val="32"/>
        </w:rPr>
      </w:pPr>
      <w:r>
        <w:rPr>
          <w:rFonts w:hint="eastAsia" w:asciiTheme="minorEastAsia" w:hAnsiTheme="minorEastAsia" w:eastAsiaTheme="minorEastAsia"/>
          <w:sz w:val="32"/>
          <w:szCs w:val="32"/>
        </w:rPr>
        <w:t xml:space="preserve"> 2021年度财政拨款收、支总计</w:t>
      </w:r>
      <w:r>
        <w:rPr>
          <w:rFonts w:hint="eastAsia" w:asciiTheme="minorEastAsia" w:hAnsiTheme="minorEastAsia" w:eastAsiaTheme="minorEastAsia"/>
          <w:sz w:val="32"/>
          <w:szCs w:val="32"/>
          <w:lang w:val="en-US" w:eastAsia="zh-CN"/>
        </w:rPr>
        <w:t>181.57</w:t>
      </w:r>
      <w:r>
        <w:rPr>
          <w:rFonts w:hint="eastAsia" w:asciiTheme="minorEastAsia" w:hAnsiTheme="minorEastAsia" w:eastAsiaTheme="minorEastAsia"/>
          <w:sz w:val="32"/>
          <w:szCs w:val="32"/>
        </w:rPr>
        <w:t>万元，与上年相比，增加</w:t>
      </w:r>
      <w:r>
        <w:rPr>
          <w:rFonts w:hint="eastAsia" w:asciiTheme="minorEastAsia" w:hAnsiTheme="minorEastAsia" w:eastAsiaTheme="minorEastAsia"/>
          <w:sz w:val="32"/>
          <w:szCs w:val="32"/>
          <w:lang w:val="en-US" w:eastAsia="zh-CN"/>
        </w:rPr>
        <w:t>37.21</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25.78</w:t>
      </w:r>
      <w:r>
        <w:rPr>
          <w:rFonts w:hint="eastAsia" w:asciiTheme="minorEastAsia" w:hAnsiTheme="minorEastAsia" w:eastAsiaTheme="minorEastAsia"/>
          <w:sz w:val="32"/>
          <w:szCs w:val="32"/>
        </w:rPr>
        <w:t>%，主要是因为</w:t>
      </w:r>
      <w:r>
        <w:rPr>
          <w:rFonts w:hint="eastAsia" w:ascii="宋体" w:hAnsi="宋体" w:eastAsia="宋体" w:cs="宋体"/>
          <w:sz w:val="32"/>
          <w:szCs w:val="32"/>
          <w:lang w:val="en-US" w:eastAsia="zh-CN"/>
        </w:rPr>
        <w:t>2021年增加装配式建筑及建筑新材料产业链专项经费。</w:t>
      </w:r>
    </w:p>
    <w:p>
      <w:pPr>
        <w:pStyle w:val="12"/>
        <w:rPr>
          <w:rFonts w:hAnsi="黑体"/>
          <w:b/>
          <w:sz w:val="32"/>
          <w:szCs w:val="32"/>
        </w:rPr>
      </w:pPr>
      <w:r>
        <w:rPr>
          <w:rFonts w:hint="eastAsia" w:hAnsi="黑体"/>
          <w:b/>
          <w:sz w:val="32"/>
          <w:szCs w:val="32"/>
        </w:rPr>
        <w:t>五、一般公共预算财政拨款支出决算情况说明</w:t>
      </w:r>
    </w:p>
    <w:p>
      <w:pPr>
        <w:pStyle w:val="12"/>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2"/>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2021年度财政拨款支出</w:t>
      </w:r>
      <w:r>
        <w:rPr>
          <w:rFonts w:hint="eastAsia" w:asciiTheme="minorEastAsia" w:hAnsiTheme="minorEastAsia" w:eastAsiaTheme="minorEastAsia"/>
          <w:sz w:val="32"/>
          <w:szCs w:val="32"/>
          <w:lang w:val="en-US" w:eastAsia="zh-CN"/>
        </w:rPr>
        <w:t>181.57</w:t>
      </w:r>
      <w:r>
        <w:rPr>
          <w:rFonts w:hint="eastAsia" w:asciiTheme="minorEastAsia" w:hAnsiTheme="minorEastAsia" w:eastAsiaTheme="minorEastAsia"/>
          <w:sz w:val="32"/>
          <w:szCs w:val="32"/>
        </w:rPr>
        <w:t>万元，占本年支出合计的</w:t>
      </w:r>
      <w:r>
        <w:rPr>
          <w:rFonts w:hint="eastAsia" w:asciiTheme="minorEastAsia" w:hAnsiTheme="minorEastAsia" w:eastAsiaTheme="minorEastAsia"/>
          <w:sz w:val="32"/>
          <w:szCs w:val="32"/>
          <w:lang w:val="en-US" w:eastAsia="zh-CN"/>
        </w:rPr>
        <w:t>91.18</w:t>
      </w:r>
      <w:r>
        <w:rPr>
          <w:rFonts w:hint="eastAsia" w:asciiTheme="minorEastAsia" w:hAnsiTheme="minorEastAsia" w:eastAsiaTheme="minorEastAsia"/>
          <w:sz w:val="32"/>
          <w:szCs w:val="32"/>
        </w:rPr>
        <w:t>%，与上年相比，财政拨款支出增加</w:t>
      </w:r>
      <w:r>
        <w:rPr>
          <w:rFonts w:hint="eastAsia" w:asciiTheme="minorEastAsia" w:hAnsiTheme="minorEastAsia" w:eastAsiaTheme="minorEastAsia"/>
          <w:sz w:val="32"/>
          <w:szCs w:val="32"/>
          <w:lang w:val="en-US" w:eastAsia="zh-CN"/>
        </w:rPr>
        <w:t>50.48</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38.51</w:t>
      </w:r>
      <w:r>
        <w:rPr>
          <w:rFonts w:hint="eastAsia" w:asciiTheme="minorEastAsia" w:hAnsiTheme="minorEastAsia" w:eastAsiaTheme="minorEastAsia"/>
          <w:sz w:val="32"/>
          <w:szCs w:val="32"/>
        </w:rPr>
        <w:t>%，主要是因为</w:t>
      </w:r>
      <w:r>
        <w:rPr>
          <w:rFonts w:hint="eastAsia" w:ascii="宋体" w:hAnsi="宋体" w:eastAsia="宋体" w:cs="宋体"/>
          <w:sz w:val="32"/>
          <w:szCs w:val="32"/>
          <w:lang w:val="en-US" w:eastAsia="zh-CN"/>
        </w:rPr>
        <w:t>2021年增加装配式建筑及建筑新材料产业链专项经费。</w:t>
      </w:r>
    </w:p>
    <w:p>
      <w:pPr>
        <w:pStyle w:val="12"/>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w:t>
      </w:r>
      <w:r>
        <w:rPr>
          <w:rFonts w:hint="eastAsia" w:asciiTheme="minorEastAsia" w:hAnsiTheme="minorEastAsia" w:eastAsiaTheme="minorEastAsia"/>
          <w:sz w:val="32"/>
          <w:szCs w:val="32"/>
          <w:lang w:val="en-US" w:eastAsia="zh-CN"/>
        </w:rPr>
        <w:t>181.57</w:t>
      </w:r>
      <w:r>
        <w:rPr>
          <w:rFonts w:hint="eastAsia" w:asciiTheme="minorEastAsia" w:hAnsiTheme="minorEastAsia" w:eastAsiaTheme="minorEastAsia"/>
          <w:sz w:val="32"/>
          <w:szCs w:val="32"/>
        </w:rPr>
        <w:t>万元，主要用于以下方面：一般公共服务（类）支出</w:t>
      </w:r>
      <w:r>
        <w:rPr>
          <w:rFonts w:hint="eastAsia" w:asciiTheme="minorEastAsia" w:hAnsiTheme="minorEastAsia" w:eastAsiaTheme="minorEastAsia"/>
          <w:sz w:val="32"/>
          <w:szCs w:val="32"/>
          <w:lang w:val="en-US" w:eastAsia="zh-CN"/>
        </w:rPr>
        <w:t>89.96</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49.55</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社会保障和就业</w:t>
      </w:r>
      <w:r>
        <w:rPr>
          <w:rFonts w:hint="eastAsia" w:asciiTheme="minorEastAsia" w:hAnsiTheme="minorEastAsia" w:eastAsiaTheme="minorEastAsia"/>
          <w:sz w:val="32"/>
          <w:szCs w:val="32"/>
        </w:rPr>
        <w:t>（类）支出</w:t>
      </w:r>
      <w:r>
        <w:rPr>
          <w:rFonts w:hint="eastAsia" w:asciiTheme="minorEastAsia" w:hAnsiTheme="minorEastAsia" w:eastAsiaTheme="minorEastAsia"/>
          <w:sz w:val="32"/>
          <w:szCs w:val="32"/>
          <w:lang w:val="en-US" w:eastAsia="zh-CN"/>
        </w:rPr>
        <w:t>2.79</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1.54</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卫生健康（类）支出</w:t>
      </w:r>
      <w:r>
        <w:rPr>
          <w:rFonts w:hint="eastAsia" w:asciiTheme="minorEastAsia" w:hAnsiTheme="minorEastAsia" w:eastAsiaTheme="minorEastAsia"/>
          <w:sz w:val="32"/>
          <w:szCs w:val="32"/>
          <w:lang w:val="en-US" w:eastAsia="zh-CN"/>
        </w:rPr>
        <w:t>1.37万元，占0.75%；资源勘探工业信息等支出67.73万元，占37.3%；其他支出19.72万元，占10.86%。</w:t>
      </w:r>
    </w:p>
    <w:p>
      <w:pPr>
        <w:pStyle w:val="12"/>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w:t>
      </w:r>
      <w:r>
        <w:rPr>
          <w:rFonts w:hint="eastAsia" w:asciiTheme="minorEastAsia" w:hAnsiTheme="minorEastAsia" w:eastAsiaTheme="minorEastAsia"/>
          <w:sz w:val="32"/>
          <w:szCs w:val="32"/>
          <w:lang w:val="en-US" w:eastAsia="zh-CN"/>
        </w:rPr>
        <w:t>96.43</w:t>
      </w:r>
      <w:r>
        <w:rPr>
          <w:rFonts w:hint="eastAsia" w:asciiTheme="minorEastAsia" w:hAnsiTheme="minorEastAsia" w:eastAsiaTheme="minorEastAsia"/>
          <w:sz w:val="32"/>
          <w:szCs w:val="32"/>
        </w:rPr>
        <w:t>万元，支出决算数为</w:t>
      </w:r>
      <w:r>
        <w:rPr>
          <w:rFonts w:hint="eastAsia" w:asciiTheme="minorEastAsia" w:hAnsiTheme="minorEastAsia" w:eastAsiaTheme="minorEastAsia"/>
          <w:sz w:val="32"/>
          <w:szCs w:val="32"/>
          <w:lang w:val="en-US" w:eastAsia="zh-CN"/>
        </w:rPr>
        <w:t>181.57</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188.29</w:t>
      </w:r>
      <w:r>
        <w:rPr>
          <w:rFonts w:hint="eastAsia" w:asciiTheme="minorEastAsia" w:hAnsiTheme="minorEastAsia" w:eastAsiaTheme="minorEastAsia"/>
          <w:sz w:val="32"/>
          <w:szCs w:val="32"/>
        </w:rPr>
        <w:t>%，其中：</w:t>
      </w:r>
    </w:p>
    <w:p>
      <w:pPr>
        <w:pStyle w:val="12"/>
        <w:numPr>
          <w:ilvl w:val="0"/>
          <w:numId w:val="2"/>
        </w:numPr>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一般公共服务支出（类）</w:t>
      </w:r>
      <w:r>
        <w:rPr>
          <w:rFonts w:hint="eastAsia" w:asciiTheme="minorEastAsia" w:hAnsiTheme="minorEastAsia" w:eastAsiaTheme="minorEastAsia"/>
          <w:sz w:val="32"/>
          <w:szCs w:val="32"/>
          <w:lang w:eastAsia="zh-CN"/>
        </w:rPr>
        <w:t>政府办公厅（室）及相关机构事务</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eastAsia="zh-CN"/>
        </w:rPr>
        <w:t>专项业务及机关事务管理</w:t>
      </w:r>
      <w:r>
        <w:rPr>
          <w:rFonts w:hint="eastAsia" w:asciiTheme="minorEastAsia" w:hAnsiTheme="minorEastAsia" w:eastAsiaTheme="minorEastAsia"/>
          <w:sz w:val="32"/>
          <w:szCs w:val="32"/>
        </w:rPr>
        <w:t>（项）。</w:t>
      </w:r>
    </w:p>
    <w:p>
      <w:pPr>
        <w:pStyle w:val="12"/>
        <w:numPr>
          <w:ilvl w:val="0"/>
          <w:numId w:val="0"/>
        </w:numPr>
        <w:ind w:firstLine="960" w:firstLineChars="300"/>
        <w:rPr>
          <w:rFonts w:hint="default" w:asciiTheme="minorEastAsia" w:hAnsiTheme="minorEastAsia" w:eastAsiaTheme="minorEastAsia"/>
          <w:color w:val="auto"/>
          <w:sz w:val="32"/>
          <w:szCs w:val="32"/>
          <w:lang w:val="en-US"/>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80.06</w:t>
      </w:r>
      <w:r>
        <w:rPr>
          <w:rFonts w:hint="eastAsia" w:asciiTheme="minorEastAsia" w:hAnsiTheme="minorEastAsia" w:eastAsiaTheme="minorEastAsia"/>
          <w:sz w:val="32"/>
          <w:szCs w:val="32"/>
        </w:rPr>
        <w:t>万元，</w:t>
      </w:r>
      <w:r>
        <w:rPr>
          <w:rFonts w:hint="eastAsia" w:asciiTheme="minorEastAsia" w:hAnsiTheme="minorEastAsia" w:eastAsiaTheme="minorEastAsia"/>
          <w:color w:val="auto"/>
          <w:sz w:val="32"/>
          <w:szCs w:val="32"/>
          <w:lang w:eastAsia="zh-CN"/>
        </w:rPr>
        <w:t>由于预算数为</w:t>
      </w:r>
      <w:r>
        <w:rPr>
          <w:rFonts w:hint="eastAsia" w:asciiTheme="minorEastAsia" w:hAnsiTheme="minorEastAsia" w:eastAsiaTheme="minorEastAsia"/>
          <w:color w:val="auto"/>
          <w:sz w:val="32"/>
          <w:szCs w:val="32"/>
          <w:lang w:val="en-US" w:eastAsia="zh-CN"/>
        </w:rPr>
        <w:t>0，无法计算百分比。</w:t>
      </w:r>
      <w:r>
        <w:rPr>
          <w:rFonts w:hint="eastAsia" w:asciiTheme="minorEastAsia" w:hAnsiTheme="minorEastAsia" w:eastAsiaTheme="minorEastAsia"/>
          <w:sz w:val="32"/>
          <w:szCs w:val="32"/>
        </w:rPr>
        <w:t>决算数大于年初预算数的主要原因是财政</w:t>
      </w:r>
      <w:r>
        <w:rPr>
          <w:rFonts w:hint="eastAsia" w:asciiTheme="minorEastAsia" w:hAnsiTheme="minorEastAsia" w:eastAsiaTheme="minorEastAsia"/>
          <w:sz w:val="32"/>
          <w:szCs w:val="32"/>
          <w:lang w:eastAsia="zh-CN"/>
        </w:rPr>
        <w:t>追加安排</w:t>
      </w:r>
      <w:r>
        <w:rPr>
          <w:rFonts w:hint="eastAsia" w:asciiTheme="minorEastAsia" w:hAnsiTheme="minorEastAsia" w:eastAsiaTheme="minorEastAsia"/>
          <w:sz w:val="32"/>
          <w:szCs w:val="32"/>
        </w:rPr>
        <w:t>202</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年综合绩效考评奖励、综治考核奖励、</w:t>
      </w:r>
      <w:r>
        <w:rPr>
          <w:rFonts w:hint="eastAsia" w:asciiTheme="minorEastAsia" w:hAnsiTheme="minorEastAsia" w:eastAsiaTheme="minorEastAsia"/>
          <w:sz w:val="32"/>
          <w:szCs w:val="32"/>
          <w:lang w:eastAsia="zh-CN"/>
        </w:rPr>
        <w:t>和</w:t>
      </w:r>
      <w:r>
        <w:rPr>
          <w:rFonts w:hint="eastAsia" w:asciiTheme="minorEastAsia" w:hAnsiTheme="minorEastAsia" w:eastAsiaTheme="minorEastAsia"/>
          <w:sz w:val="32"/>
          <w:szCs w:val="32"/>
        </w:rPr>
        <w:t>第13个月工资</w:t>
      </w:r>
      <w:r>
        <w:rPr>
          <w:rFonts w:hint="eastAsia" w:asciiTheme="minorEastAsia" w:hAnsiTheme="minorEastAsia" w:eastAsiaTheme="minorEastAsia"/>
          <w:sz w:val="32"/>
          <w:szCs w:val="32"/>
          <w:lang w:eastAsia="zh-CN"/>
        </w:rPr>
        <w:t>及科目调整</w:t>
      </w:r>
      <w:r>
        <w:rPr>
          <w:rFonts w:hint="eastAsia" w:asciiTheme="minorEastAsia" w:hAnsiTheme="minorEastAsia" w:eastAsiaTheme="minorEastAsia"/>
          <w:color w:val="auto"/>
          <w:sz w:val="32"/>
          <w:szCs w:val="32"/>
          <w:lang w:eastAsia="zh-CN"/>
        </w:rPr>
        <w:t>。</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2、一般公共服务支出（类）</w:t>
      </w:r>
      <w:r>
        <w:rPr>
          <w:rFonts w:hint="eastAsia" w:asciiTheme="minorEastAsia" w:hAnsiTheme="minorEastAsia" w:eastAsiaTheme="minorEastAsia"/>
          <w:sz w:val="32"/>
          <w:szCs w:val="32"/>
          <w:lang w:eastAsia="zh-CN"/>
        </w:rPr>
        <w:t>其他一般公共服务支出</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eastAsia="zh-CN"/>
        </w:rPr>
        <w:t>其他一般公共服务支出</w:t>
      </w:r>
      <w:r>
        <w:rPr>
          <w:rFonts w:hint="eastAsia" w:asciiTheme="minorEastAsia" w:hAnsiTheme="minorEastAsia" w:eastAsiaTheme="minorEastAsia"/>
          <w:sz w:val="32"/>
          <w:szCs w:val="32"/>
        </w:rPr>
        <w:t>（项）。</w:t>
      </w:r>
    </w:p>
    <w:p>
      <w:pPr>
        <w:pStyle w:val="12"/>
        <w:ind w:firstLine="800" w:firstLineChars="250"/>
        <w:rPr>
          <w:rFonts w:hint="eastAsia" w:asciiTheme="minorEastAsia" w:hAnsiTheme="minorEastAsia" w:eastAsiaTheme="minorEastAsia"/>
          <w:color w:val="auto"/>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13.93</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9.9</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71.07</w:t>
      </w:r>
      <w:r>
        <w:rPr>
          <w:rFonts w:hint="eastAsia" w:asciiTheme="minorEastAsia" w:hAnsiTheme="minorEastAsia" w:eastAsiaTheme="minorEastAsia"/>
          <w:sz w:val="32"/>
          <w:szCs w:val="32"/>
        </w:rPr>
        <w:t>%，决算数小于年初预算数的主要原因是</w:t>
      </w:r>
      <w:r>
        <w:rPr>
          <w:rFonts w:hint="eastAsia" w:asciiTheme="minorEastAsia" w:hAnsiTheme="minorEastAsia" w:eastAsiaTheme="minorEastAsia"/>
          <w:sz w:val="32"/>
          <w:szCs w:val="32"/>
          <w:lang w:eastAsia="zh-CN"/>
        </w:rPr>
        <w:t>科目调整</w:t>
      </w:r>
      <w:r>
        <w:rPr>
          <w:rFonts w:hint="eastAsia" w:asciiTheme="minorEastAsia" w:hAnsiTheme="minorEastAsia" w:eastAsiaTheme="minorEastAsia"/>
          <w:color w:val="auto"/>
          <w:sz w:val="32"/>
          <w:szCs w:val="32"/>
          <w:lang w:eastAsia="zh-CN"/>
        </w:rPr>
        <w:t>。</w:t>
      </w:r>
    </w:p>
    <w:p>
      <w:pPr>
        <w:pStyle w:val="12"/>
        <w:numPr>
          <w:ilvl w:val="0"/>
          <w:numId w:val="0"/>
        </w:numPr>
        <w:ind w:firstLine="960" w:firstLineChars="300"/>
        <w:rPr>
          <w:rFonts w:hint="eastAsia" w:ascii="宋体" w:hAnsi="Times New Roman" w:eastAsia="宋体" w:cs="宋体"/>
          <w:sz w:val="32"/>
          <w:szCs w:val="32"/>
          <w:highlight w:val="white"/>
        </w:rPr>
      </w:pPr>
      <w:r>
        <w:rPr>
          <w:rFonts w:hint="eastAsia" w:ascii="宋体" w:hAnsi="Times New Roman" w:eastAsia="宋体" w:cs="宋体"/>
          <w:sz w:val="32"/>
          <w:szCs w:val="32"/>
          <w:highlight w:val="white"/>
          <w:lang w:val="en-US" w:eastAsia="zh-CN"/>
        </w:rPr>
        <w:t>3、</w:t>
      </w:r>
      <w:r>
        <w:rPr>
          <w:rFonts w:hint="eastAsia" w:ascii="宋体" w:hAnsi="Times New Roman" w:eastAsia="宋体" w:cs="宋体"/>
          <w:sz w:val="32"/>
          <w:szCs w:val="32"/>
          <w:highlight w:val="white"/>
        </w:rPr>
        <w:t>社会保障和就业支出（类）行政事业单位养老支出（款）机关事业单位基本养老保险缴费支出（项）。</w:t>
      </w:r>
    </w:p>
    <w:p>
      <w:pPr>
        <w:pStyle w:val="12"/>
        <w:numPr>
          <w:ilvl w:val="0"/>
          <w:numId w:val="0"/>
        </w:numPr>
        <w:ind w:firstLine="960" w:firstLineChars="300"/>
        <w:rPr>
          <w:rFonts w:hint="eastAsia" w:hAnsi="黑体"/>
          <w:b/>
          <w:sz w:val="32"/>
          <w:szCs w:val="32"/>
        </w:rPr>
      </w:pPr>
      <w:r>
        <w:rPr>
          <w:rFonts w:hint="eastAsia" w:ascii="宋体" w:hAnsi="Times New Roman" w:eastAsia="宋体" w:cs="宋体"/>
          <w:sz w:val="32"/>
          <w:szCs w:val="32"/>
          <w:highlight w:val="white"/>
        </w:rPr>
        <w:t>年初预算为</w:t>
      </w:r>
      <w:r>
        <w:rPr>
          <w:rFonts w:hint="eastAsia" w:ascii="宋体" w:hAnsi="Times New Roman" w:eastAsia="宋体" w:cs="宋体"/>
          <w:sz w:val="32"/>
          <w:szCs w:val="32"/>
          <w:highlight w:val="white"/>
          <w:lang w:val="en-US" w:eastAsia="zh-CN"/>
        </w:rPr>
        <w:t>9.34</w:t>
      </w:r>
      <w:r>
        <w:rPr>
          <w:rFonts w:hint="eastAsia" w:ascii="宋体" w:hAnsi="Times New Roman" w:eastAsia="宋体" w:cs="宋体"/>
          <w:sz w:val="32"/>
          <w:szCs w:val="32"/>
          <w:highlight w:val="white"/>
        </w:rPr>
        <w:t>万元，支出决算为</w:t>
      </w:r>
      <w:r>
        <w:rPr>
          <w:rFonts w:hint="eastAsia" w:ascii="宋体" w:hAnsi="Times New Roman" w:eastAsia="宋体" w:cs="宋体"/>
          <w:sz w:val="32"/>
          <w:szCs w:val="32"/>
          <w:highlight w:val="white"/>
          <w:lang w:val="en-US" w:eastAsia="zh-CN"/>
        </w:rPr>
        <w:t>2.79</w:t>
      </w:r>
      <w:r>
        <w:rPr>
          <w:rFonts w:hint="eastAsia" w:ascii="宋体" w:hAnsi="Times New Roman" w:eastAsia="宋体" w:cs="宋体"/>
          <w:sz w:val="32"/>
          <w:szCs w:val="32"/>
          <w:highlight w:val="white"/>
        </w:rPr>
        <w:t>万元，</w:t>
      </w:r>
      <w:r>
        <w:rPr>
          <w:rFonts w:hint="eastAsia" w:asciiTheme="minorEastAsia" w:hAnsiTheme="minorEastAsia" w:eastAsiaTheme="minorEastAsia"/>
          <w:sz w:val="32"/>
          <w:szCs w:val="32"/>
        </w:rPr>
        <w:t>完成年初预算的</w:t>
      </w:r>
      <w:r>
        <w:rPr>
          <w:rFonts w:hint="eastAsia" w:asciiTheme="minorEastAsia" w:hAnsiTheme="minorEastAsia" w:eastAsiaTheme="minorEastAsia"/>
          <w:sz w:val="32"/>
          <w:szCs w:val="32"/>
          <w:lang w:val="en-US" w:eastAsia="zh-CN"/>
        </w:rPr>
        <w:t>29.87</w:t>
      </w:r>
      <w:r>
        <w:rPr>
          <w:rFonts w:hint="eastAsia" w:asciiTheme="minorEastAsia" w:hAnsiTheme="minorEastAsia" w:eastAsiaTheme="minorEastAsia"/>
          <w:sz w:val="32"/>
          <w:szCs w:val="32"/>
        </w:rPr>
        <w:t>%，决算数小于年初预算数的主要原因是</w:t>
      </w:r>
      <w:r>
        <w:rPr>
          <w:rFonts w:hint="eastAsia" w:asciiTheme="minorEastAsia" w:hAnsiTheme="minorEastAsia" w:eastAsiaTheme="minorEastAsia"/>
          <w:sz w:val="32"/>
          <w:szCs w:val="32"/>
          <w:lang w:eastAsia="zh-CN"/>
        </w:rPr>
        <w:t>科目调整</w:t>
      </w:r>
      <w:r>
        <w:rPr>
          <w:rFonts w:hint="eastAsia" w:asciiTheme="minorEastAsia" w:hAnsiTheme="minorEastAsia" w:eastAsiaTheme="minorEastAsia"/>
          <w:color w:val="auto"/>
          <w:sz w:val="32"/>
          <w:szCs w:val="32"/>
          <w:lang w:eastAsia="zh-CN"/>
        </w:rPr>
        <w:t>。</w:t>
      </w:r>
    </w:p>
    <w:p>
      <w:pPr>
        <w:pStyle w:val="12"/>
        <w:ind w:firstLine="960" w:firstLineChars="300"/>
        <w:rPr>
          <w:rFonts w:hint="eastAsia" w:hAnsi="黑体"/>
          <w:b/>
          <w:sz w:val="32"/>
          <w:szCs w:val="32"/>
        </w:rPr>
      </w:pPr>
      <w:r>
        <w:rPr>
          <w:rFonts w:hint="eastAsia" w:hAnsi="黑体"/>
          <w:sz w:val="32"/>
          <w:szCs w:val="32"/>
          <w:lang w:val="en-US" w:eastAsia="zh-CN"/>
        </w:rPr>
        <w:t>4</w:t>
      </w:r>
      <w:r>
        <w:rPr>
          <w:rFonts w:hint="eastAsia" w:hAnsi="黑体"/>
          <w:sz w:val="32"/>
          <w:szCs w:val="32"/>
        </w:rPr>
        <w:t>、</w:t>
      </w:r>
      <w:r>
        <w:rPr>
          <w:rFonts w:hint="eastAsia" w:ascii="宋体" w:hAnsi="Times New Roman" w:eastAsia="宋体" w:cs="宋体"/>
          <w:sz w:val="32"/>
          <w:szCs w:val="32"/>
          <w:highlight w:val="white"/>
        </w:rPr>
        <w:t>卫生健康支出（类）行政事业单位医疗（款）行政单位医疗（项）。年初预算为</w:t>
      </w:r>
      <w:r>
        <w:rPr>
          <w:rFonts w:hint="eastAsia" w:ascii="宋体" w:hAnsi="Times New Roman" w:eastAsia="宋体" w:cs="宋体"/>
          <w:sz w:val="32"/>
          <w:szCs w:val="32"/>
          <w:highlight w:val="white"/>
          <w:lang w:val="en-US" w:eastAsia="zh-CN"/>
        </w:rPr>
        <w:t>6.65</w:t>
      </w:r>
      <w:r>
        <w:rPr>
          <w:rFonts w:hint="eastAsia" w:ascii="宋体" w:hAnsi="Times New Roman" w:eastAsia="宋体" w:cs="宋体"/>
          <w:sz w:val="32"/>
          <w:szCs w:val="32"/>
          <w:highlight w:val="white"/>
        </w:rPr>
        <w:t>万元，支出决算为</w:t>
      </w:r>
      <w:r>
        <w:rPr>
          <w:rFonts w:hint="eastAsia" w:ascii="宋体" w:hAnsi="Times New Roman" w:eastAsia="宋体" w:cs="宋体"/>
          <w:sz w:val="32"/>
          <w:szCs w:val="32"/>
          <w:highlight w:val="white"/>
          <w:lang w:val="en-US" w:eastAsia="zh-CN"/>
        </w:rPr>
        <w:t>1.37</w:t>
      </w:r>
      <w:r>
        <w:rPr>
          <w:rFonts w:hint="eastAsia" w:ascii="宋体" w:hAnsi="Times New Roman" w:eastAsia="宋体" w:cs="宋体"/>
          <w:sz w:val="32"/>
          <w:szCs w:val="32"/>
          <w:highlight w:val="white"/>
        </w:rPr>
        <w:t>万元，</w:t>
      </w:r>
      <w:r>
        <w:rPr>
          <w:rFonts w:hint="eastAsia" w:asciiTheme="minorEastAsia" w:hAnsiTheme="minorEastAsia" w:eastAsiaTheme="minorEastAsia"/>
          <w:sz w:val="32"/>
          <w:szCs w:val="32"/>
        </w:rPr>
        <w:t>完成年初预算的</w:t>
      </w:r>
      <w:r>
        <w:rPr>
          <w:rFonts w:hint="eastAsia" w:asciiTheme="minorEastAsia" w:hAnsiTheme="minorEastAsia" w:eastAsiaTheme="minorEastAsia"/>
          <w:sz w:val="32"/>
          <w:szCs w:val="32"/>
          <w:lang w:val="en-US" w:eastAsia="zh-CN"/>
        </w:rPr>
        <w:t>20.6</w:t>
      </w:r>
      <w:r>
        <w:rPr>
          <w:rFonts w:hint="eastAsia" w:asciiTheme="minorEastAsia" w:hAnsiTheme="minorEastAsia" w:eastAsiaTheme="minorEastAsia"/>
          <w:sz w:val="32"/>
          <w:szCs w:val="32"/>
        </w:rPr>
        <w:t>%，决算数小于年初预算数的主要原因是</w:t>
      </w:r>
      <w:r>
        <w:rPr>
          <w:rFonts w:hint="eastAsia" w:asciiTheme="minorEastAsia" w:hAnsiTheme="minorEastAsia" w:eastAsiaTheme="minorEastAsia"/>
          <w:sz w:val="32"/>
          <w:szCs w:val="32"/>
          <w:lang w:eastAsia="zh-CN"/>
        </w:rPr>
        <w:t>科目调整。</w:t>
      </w:r>
    </w:p>
    <w:p>
      <w:pPr>
        <w:pStyle w:val="12"/>
        <w:numPr>
          <w:ilvl w:val="0"/>
          <w:numId w:val="0"/>
        </w:numPr>
        <w:ind w:firstLine="960" w:firstLineChars="300"/>
        <w:rPr>
          <w:rFonts w:hint="eastAsia" w:hAnsi="黑体"/>
          <w:sz w:val="32"/>
          <w:szCs w:val="32"/>
        </w:rPr>
      </w:pPr>
      <w:r>
        <w:rPr>
          <w:rFonts w:hint="eastAsia" w:hAnsi="黑体"/>
          <w:sz w:val="32"/>
          <w:szCs w:val="32"/>
          <w:lang w:val="en-US" w:eastAsia="zh-CN"/>
        </w:rPr>
        <w:t>5</w:t>
      </w:r>
      <w:r>
        <w:rPr>
          <w:rFonts w:hint="eastAsia" w:hAnsi="黑体"/>
          <w:sz w:val="32"/>
          <w:szCs w:val="32"/>
        </w:rPr>
        <w:t>、</w:t>
      </w:r>
      <w:r>
        <w:rPr>
          <w:rFonts w:hint="eastAsia" w:ascii="宋体" w:hAnsi="Times New Roman" w:eastAsia="宋体" w:cs="宋体"/>
          <w:sz w:val="32"/>
          <w:szCs w:val="32"/>
          <w:highlight w:val="white"/>
        </w:rPr>
        <w:t>资源勘探工业信息等支出（类）制造业（款）其他制造业支出（项）。年初预算为</w:t>
      </w:r>
      <w:r>
        <w:rPr>
          <w:rFonts w:ascii="宋体" w:hAnsi="Times New Roman" w:eastAsia="宋体" w:cs="宋体"/>
          <w:sz w:val="32"/>
          <w:szCs w:val="32"/>
          <w:highlight w:val="white"/>
        </w:rPr>
        <w:t>0</w:t>
      </w:r>
      <w:r>
        <w:rPr>
          <w:rFonts w:hint="eastAsia" w:ascii="宋体" w:hAnsi="Times New Roman" w:eastAsia="宋体" w:cs="宋体"/>
          <w:sz w:val="32"/>
          <w:szCs w:val="32"/>
          <w:highlight w:val="white"/>
        </w:rPr>
        <w:t>万元，支出决算为</w:t>
      </w:r>
      <w:r>
        <w:rPr>
          <w:rFonts w:hint="eastAsia" w:ascii="宋体" w:hAnsi="Times New Roman" w:eastAsia="宋体" w:cs="宋体"/>
          <w:sz w:val="32"/>
          <w:szCs w:val="32"/>
          <w:highlight w:val="white"/>
          <w:lang w:val="en-US" w:eastAsia="zh-CN"/>
        </w:rPr>
        <w:t>49.12</w:t>
      </w:r>
      <w:r>
        <w:rPr>
          <w:rFonts w:hint="eastAsia" w:ascii="宋体" w:hAnsi="Times New Roman" w:eastAsia="宋体" w:cs="宋体"/>
          <w:sz w:val="32"/>
          <w:szCs w:val="32"/>
          <w:highlight w:val="white"/>
        </w:rPr>
        <w:t>万元，</w:t>
      </w:r>
      <w:r>
        <w:rPr>
          <w:rFonts w:hint="eastAsia" w:asciiTheme="minorEastAsia" w:hAnsiTheme="minorEastAsia" w:eastAsiaTheme="minorEastAsia"/>
          <w:color w:val="auto"/>
          <w:sz w:val="32"/>
          <w:szCs w:val="32"/>
          <w:lang w:eastAsia="zh-CN"/>
        </w:rPr>
        <w:t>由于预算数为</w:t>
      </w:r>
      <w:r>
        <w:rPr>
          <w:rFonts w:hint="eastAsia" w:asciiTheme="minorEastAsia" w:hAnsiTheme="minorEastAsia" w:eastAsiaTheme="minorEastAsia"/>
          <w:color w:val="auto"/>
          <w:sz w:val="32"/>
          <w:szCs w:val="32"/>
          <w:lang w:val="en-US" w:eastAsia="zh-CN"/>
        </w:rPr>
        <w:t>0，无法计算百分比。</w:t>
      </w:r>
      <w:r>
        <w:rPr>
          <w:rFonts w:hint="eastAsia" w:ascii="宋体" w:hAnsi="Times New Roman" w:eastAsia="宋体" w:cs="宋体"/>
          <w:sz w:val="32"/>
          <w:szCs w:val="32"/>
          <w:highlight w:val="white"/>
        </w:rPr>
        <w:t>决算数大于预算数的主要原因是：</w:t>
      </w:r>
      <w:r>
        <w:rPr>
          <w:rFonts w:hint="eastAsia" w:asciiTheme="minorEastAsia" w:hAnsiTheme="minorEastAsia" w:eastAsiaTheme="minorEastAsia"/>
          <w:sz w:val="32"/>
          <w:szCs w:val="32"/>
        </w:rPr>
        <w:t>财政</w:t>
      </w:r>
      <w:r>
        <w:rPr>
          <w:rFonts w:hint="eastAsia" w:asciiTheme="minorEastAsia" w:hAnsiTheme="minorEastAsia" w:eastAsiaTheme="minorEastAsia"/>
          <w:sz w:val="32"/>
          <w:szCs w:val="32"/>
          <w:lang w:eastAsia="zh-CN"/>
        </w:rPr>
        <w:t>追加</w:t>
      </w:r>
      <w:r>
        <w:rPr>
          <w:rFonts w:hint="eastAsia" w:asciiTheme="minorEastAsia" w:hAnsiTheme="minorEastAsia" w:eastAsiaTheme="minorEastAsia"/>
          <w:sz w:val="32"/>
          <w:szCs w:val="32"/>
        </w:rPr>
        <w:t>安排202</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年经费缺口费用。</w:t>
      </w:r>
    </w:p>
    <w:p>
      <w:pPr>
        <w:pStyle w:val="12"/>
        <w:numPr>
          <w:ilvl w:val="0"/>
          <w:numId w:val="0"/>
        </w:numPr>
        <w:ind w:firstLine="960" w:firstLineChars="300"/>
        <w:rPr>
          <w:rFonts w:hint="eastAsia" w:asciiTheme="minorEastAsia" w:hAnsiTheme="minorEastAsia" w:eastAsiaTheme="minorEastAsia"/>
          <w:sz w:val="32"/>
          <w:szCs w:val="32"/>
        </w:rPr>
      </w:pPr>
      <w:r>
        <w:rPr>
          <w:rFonts w:hint="eastAsia" w:hAnsi="黑体"/>
          <w:sz w:val="32"/>
          <w:szCs w:val="32"/>
          <w:lang w:val="en-US" w:eastAsia="zh-CN"/>
        </w:rPr>
        <w:t>6</w:t>
      </w:r>
      <w:r>
        <w:rPr>
          <w:rFonts w:hint="eastAsia" w:hAnsi="黑体"/>
          <w:sz w:val="32"/>
          <w:szCs w:val="32"/>
        </w:rPr>
        <w:t>、</w:t>
      </w:r>
      <w:r>
        <w:rPr>
          <w:rFonts w:hint="eastAsia" w:ascii="宋体" w:hAnsi="Times New Roman" w:eastAsia="宋体" w:cs="宋体"/>
          <w:sz w:val="32"/>
          <w:szCs w:val="32"/>
          <w:highlight w:val="white"/>
        </w:rPr>
        <w:t>资源勘探工业信息等支出（类）</w:t>
      </w:r>
      <w:r>
        <w:rPr>
          <w:rFonts w:hint="eastAsia" w:ascii="宋体" w:hAnsi="Times New Roman" w:eastAsia="宋体" w:cs="宋体"/>
          <w:sz w:val="32"/>
          <w:szCs w:val="32"/>
          <w:highlight w:val="white"/>
          <w:lang w:eastAsia="zh-CN"/>
        </w:rPr>
        <w:t>建筑业</w:t>
      </w:r>
      <w:r>
        <w:rPr>
          <w:rFonts w:hint="eastAsia" w:ascii="宋体" w:hAnsi="Times New Roman" w:eastAsia="宋体" w:cs="宋体"/>
          <w:sz w:val="32"/>
          <w:szCs w:val="32"/>
          <w:highlight w:val="white"/>
        </w:rPr>
        <w:t>（款）</w:t>
      </w:r>
      <w:r>
        <w:rPr>
          <w:rFonts w:hint="eastAsia" w:ascii="宋体" w:hAnsi="Times New Roman" w:eastAsia="宋体" w:cs="宋体"/>
          <w:sz w:val="32"/>
          <w:szCs w:val="32"/>
          <w:highlight w:val="white"/>
          <w:lang w:eastAsia="zh-CN"/>
        </w:rPr>
        <w:t>行政运行</w:t>
      </w:r>
      <w:r>
        <w:rPr>
          <w:rFonts w:hint="eastAsia" w:ascii="宋体" w:hAnsi="Times New Roman" w:eastAsia="宋体" w:cs="宋体"/>
          <w:sz w:val="32"/>
          <w:szCs w:val="32"/>
          <w:highlight w:val="white"/>
        </w:rPr>
        <w:t>（项）。年初预算为</w:t>
      </w:r>
      <w:r>
        <w:rPr>
          <w:rFonts w:hint="eastAsia" w:ascii="宋体" w:hAnsi="Times New Roman" w:eastAsia="宋体" w:cs="宋体"/>
          <w:sz w:val="32"/>
          <w:szCs w:val="32"/>
          <w:highlight w:val="white"/>
          <w:lang w:val="en-US" w:eastAsia="zh-CN"/>
        </w:rPr>
        <w:t>58.35</w:t>
      </w:r>
      <w:r>
        <w:rPr>
          <w:rFonts w:hint="eastAsia" w:ascii="宋体" w:hAnsi="Times New Roman" w:eastAsia="宋体" w:cs="宋体"/>
          <w:sz w:val="32"/>
          <w:szCs w:val="32"/>
          <w:highlight w:val="white"/>
        </w:rPr>
        <w:t>万元，支出决算为</w:t>
      </w:r>
      <w:r>
        <w:rPr>
          <w:rFonts w:hint="eastAsia" w:ascii="宋体" w:hAnsi="Times New Roman" w:eastAsia="宋体" w:cs="宋体"/>
          <w:sz w:val="32"/>
          <w:szCs w:val="32"/>
          <w:highlight w:val="white"/>
          <w:lang w:val="en-US" w:eastAsia="zh-CN"/>
        </w:rPr>
        <w:t>18.61</w:t>
      </w:r>
      <w:r>
        <w:rPr>
          <w:rFonts w:hint="eastAsia" w:ascii="宋体" w:hAnsi="Times New Roman" w:eastAsia="宋体" w:cs="宋体"/>
          <w:sz w:val="32"/>
          <w:szCs w:val="32"/>
          <w:highlight w:val="white"/>
        </w:rPr>
        <w:t>万元，</w:t>
      </w:r>
      <w:r>
        <w:rPr>
          <w:rFonts w:hint="eastAsia" w:asciiTheme="minorEastAsia" w:hAnsiTheme="minorEastAsia" w:eastAsiaTheme="minorEastAsia"/>
          <w:sz w:val="32"/>
          <w:szCs w:val="32"/>
        </w:rPr>
        <w:t>完成年初预算的</w:t>
      </w:r>
      <w:r>
        <w:rPr>
          <w:rFonts w:hint="eastAsia" w:asciiTheme="minorEastAsia" w:hAnsiTheme="minorEastAsia" w:eastAsiaTheme="minorEastAsia"/>
          <w:sz w:val="32"/>
          <w:szCs w:val="32"/>
          <w:lang w:val="en-US" w:eastAsia="zh-CN"/>
        </w:rPr>
        <w:t>31.89</w:t>
      </w:r>
      <w:r>
        <w:rPr>
          <w:rFonts w:hint="eastAsia" w:asciiTheme="minorEastAsia" w:hAnsiTheme="minorEastAsia" w:eastAsiaTheme="minorEastAsia"/>
          <w:sz w:val="32"/>
          <w:szCs w:val="32"/>
        </w:rPr>
        <w:t>%，决算数小于年初预算数的主要原因是</w:t>
      </w:r>
      <w:r>
        <w:rPr>
          <w:rFonts w:hint="eastAsia" w:asciiTheme="minorEastAsia" w:hAnsiTheme="minorEastAsia" w:eastAsiaTheme="minorEastAsia"/>
          <w:sz w:val="32"/>
          <w:szCs w:val="32"/>
          <w:lang w:eastAsia="zh-CN"/>
        </w:rPr>
        <w:t>科目调整</w:t>
      </w:r>
      <w:r>
        <w:rPr>
          <w:rFonts w:hint="eastAsia" w:ascii="宋体" w:hAnsi="Times New Roman" w:eastAsia="宋体" w:cs="宋体"/>
          <w:sz w:val="32"/>
          <w:szCs w:val="32"/>
          <w:highlight w:val="white"/>
        </w:rPr>
        <w:t>。</w:t>
      </w:r>
    </w:p>
    <w:p>
      <w:pPr>
        <w:pStyle w:val="12"/>
        <w:ind w:firstLine="960" w:firstLineChars="300"/>
        <w:rPr>
          <w:rFonts w:hint="eastAsia" w:ascii="宋体" w:hAnsi="Times New Roman" w:eastAsia="宋体" w:cs="宋体"/>
          <w:sz w:val="32"/>
          <w:szCs w:val="32"/>
          <w:highlight w:val="white"/>
        </w:rPr>
      </w:pPr>
      <w:r>
        <w:rPr>
          <w:rFonts w:hint="eastAsia" w:asciiTheme="minorEastAsia" w:hAnsiTheme="minorEastAsia" w:eastAsiaTheme="minorEastAsia"/>
          <w:sz w:val="32"/>
          <w:szCs w:val="32"/>
          <w:lang w:val="en-US" w:eastAsia="zh-CN"/>
        </w:rPr>
        <w:t>7</w:t>
      </w:r>
      <w:r>
        <w:rPr>
          <w:rFonts w:hint="eastAsia" w:hAnsi="黑体"/>
          <w:sz w:val="32"/>
          <w:szCs w:val="32"/>
        </w:rPr>
        <w:t>、</w:t>
      </w:r>
      <w:r>
        <w:rPr>
          <w:rFonts w:hint="eastAsia" w:ascii="宋体" w:hAnsi="Times New Roman" w:eastAsia="宋体" w:cs="宋体"/>
          <w:sz w:val="32"/>
          <w:szCs w:val="32"/>
          <w:highlight w:val="white"/>
        </w:rPr>
        <w:t>其他支出（类）其他支出（款）其他支出（项）。</w:t>
      </w:r>
    </w:p>
    <w:p>
      <w:pPr>
        <w:pStyle w:val="12"/>
        <w:numPr>
          <w:ilvl w:val="0"/>
          <w:numId w:val="0"/>
        </w:numPr>
        <w:ind w:firstLine="960" w:firstLineChars="300"/>
        <w:rPr>
          <w:rFonts w:hint="eastAsia" w:hAnsi="黑体"/>
          <w:sz w:val="32"/>
          <w:szCs w:val="32"/>
        </w:rPr>
      </w:pPr>
      <w:r>
        <w:rPr>
          <w:rFonts w:hint="eastAsia" w:ascii="宋体" w:hAnsi="Times New Roman" w:eastAsia="宋体" w:cs="宋体"/>
          <w:sz w:val="32"/>
          <w:szCs w:val="32"/>
          <w:highlight w:val="white"/>
        </w:rPr>
        <w:t>年初预算为</w:t>
      </w:r>
      <w:r>
        <w:rPr>
          <w:rFonts w:ascii="宋体" w:hAnsi="Times New Roman" w:eastAsia="宋体" w:cs="宋体"/>
          <w:sz w:val="32"/>
          <w:szCs w:val="32"/>
          <w:highlight w:val="white"/>
        </w:rPr>
        <w:t>0</w:t>
      </w:r>
      <w:r>
        <w:rPr>
          <w:rFonts w:hint="eastAsia" w:ascii="宋体" w:hAnsi="Times New Roman" w:eastAsia="宋体" w:cs="宋体"/>
          <w:sz w:val="32"/>
          <w:szCs w:val="32"/>
          <w:highlight w:val="white"/>
        </w:rPr>
        <w:t>万元，支出决算为</w:t>
      </w:r>
      <w:r>
        <w:rPr>
          <w:rFonts w:hint="eastAsia" w:ascii="宋体" w:hAnsi="Times New Roman" w:eastAsia="宋体" w:cs="宋体"/>
          <w:sz w:val="32"/>
          <w:szCs w:val="32"/>
          <w:highlight w:val="white"/>
          <w:lang w:val="en-US" w:eastAsia="zh-CN"/>
        </w:rPr>
        <w:t>19.72</w:t>
      </w:r>
      <w:r>
        <w:rPr>
          <w:rFonts w:hint="eastAsia" w:ascii="宋体" w:hAnsi="Times New Roman" w:eastAsia="宋体" w:cs="宋体"/>
          <w:sz w:val="32"/>
          <w:szCs w:val="32"/>
          <w:highlight w:val="white"/>
        </w:rPr>
        <w:t>万元，</w:t>
      </w:r>
      <w:r>
        <w:rPr>
          <w:rFonts w:hint="eastAsia" w:asciiTheme="minorEastAsia" w:hAnsiTheme="minorEastAsia" w:eastAsiaTheme="minorEastAsia"/>
          <w:color w:val="auto"/>
          <w:sz w:val="32"/>
          <w:szCs w:val="32"/>
          <w:lang w:eastAsia="zh-CN"/>
        </w:rPr>
        <w:t>由于预算数为</w:t>
      </w:r>
      <w:r>
        <w:rPr>
          <w:rFonts w:hint="eastAsia" w:asciiTheme="minorEastAsia" w:hAnsiTheme="minorEastAsia" w:eastAsiaTheme="minorEastAsia"/>
          <w:color w:val="auto"/>
          <w:sz w:val="32"/>
          <w:szCs w:val="32"/>
          <w:lang w:val="en-US" w:eastAsia="zh-CN"/>
        </w:rPr>
        <w:t>0，无法计算百分比。</w:t>
      </w:r>
      <w:r>
        <w:rPr>
          <w:rFonts w:hint="eastAsia" w:ascii="宋体" w:hAnsi="Times New Roman" w:eastAsia="宋体" w:cs="宋体"/>
          <w:sz w:val="32"/>
          <w:szCs w:val="32"/>
          <w:highlight w:val="white"/>
        </w:rPr>
        <w:t>决算数大于预算数的主要原因是</w:t>
      </w:r>
      <w:r>
        <w:rPr>
          <w:rFonts w:hint="eastAsia" w:ascii="宋体" w:hAnsi="Calibri" w:eastAsia="宋体"/>
          <w:sz w:val="32"/>
        </w:rPr>
        <w:t>利用上年结余资金</w:t>
      </w:r>
      <w:r>
        <w:rPr>
          <w:rFonts w:hint="eastAsia" w:ascii="宋体" w:hAnsi="Times New Roman" w:eastAsia="宋体" w:cs="宋体"/>
          <w:sz w:val="32"/>
          <w:szCs w:val="32"/>
          <w:highlight w:val="white"/>
        </w:rPr>
        <w:t>。</w:t>
      </w:r>
    </w:p>
    <w:p>
      <w:pPr>
        <w:pStyle w:val="12"/>
        <w:rPr>
          <w:rFonts w:hAnsi="黑体"/>
          <w:b/>
          <w:sz w:val="32"/>
          <w:szCs w:val="32"/>
        </w:rPr>
      </w:pPr>
      <w:r>
        <w:rPr>
          <w:rFonts w:hint="eastAsia" w:hAnsi="黑体"/>
          <w:b/>
          <w:sz w:val="32"/>
          <w:szCs w:val="32"/>
        </w:rPr>
        <w:t>六、一般公共预算财政拨款基本支出决算情况说明</w:t>
      </w:r>
    </w:p>
    <w:p>
      <w:pPr>
        <w:pStyle w:val="12"/>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2021年度财政拨款基本支出</w:t>
      </w:r>
      <w:r>
        <w:rPr>
          <w:rFonts w:hint="eastAsia" w:asciiTheme="minorEastAsia" w:hAnsiTheme="minorEastAsia" w:eastAsiaTheme="minorEastAsia"/>
          <w:sz w:val="32"/>
          <w:szCs w:val="32"/>
          <w:lang w:val="en-US" w:eastAsia="zh-CN"/>
        </w:rPr>
        <w:t>181.57</w:t>
      </w:r>
      <w:r>
        <w:rPr>
          <w:rFonts w:hint="eastAsia" w:asciiTheme="minorEastAsia" w:hAnsiTheme="minorEastAsia" w:eastAsiaTheme="minorEastAsia"/>
          <w:sz w:val="32"/>
          <w:szCs w:val="32"/>
        </w:rPr>
        <w:t>万元，其中：</w:t>
      </w:r>
      <w:r>
        <w:rPr>
          <w:rFonts w:hint="eastAsia" w:asciiTheme="minorEastAsia" w:hAnsiTheme="minorEastAsia" w:eastAsiaTheme="minorEastAsia"/>
          <w:b/>
          <w:bCs/>
          <w:sz w:val="32"/>
          <w:szCs w:val="32"/>
        </w:rPr>
        <w:t>人员经费</w:t>
      </w:r>
      <w:r>
        <w:rPr>
          <w:rFonts w:hint="eastAsia" w:asciiTheme="minorEastAsia" w:hAnsiTheme="minorEastAsia" w:eastAsiaTheme="minorEastAsia"/>
          <w:sz w:val="32"/>
          <w:szCs w:val="32"/>
          <w:lang w:val="en-US" w:eastAsia="zh-CN"/>
        </w:rPr>
        <w:t>135.79</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74.79</w:t>
      </w:r>
      <w:r>
        <w:rPr>
          <w:rFonts w:hint="eastAsia" w:asciiTheme="minorEastAsia" w:hAnsiTheme="minorEastAsia" w:eastAsiaTheme="minorEastAsia"/>
          <w:sz w:val="32"/>
          <w:szCs w:val="32"/>
        </w:rPr>
        <w:t>%,主要包括主要包括基本工资、津贴补贴、</w:t>
      </w:r>
      <w:r>
        <w:rPr>
          <w:rFonts w:hint="eastAsia" w:asciiTheme="minorEastAsia" w:hAnsiTheme="minorEastAsia" w:eastAsiaTheme="minorEastAsia"/>
          <w:sz w:val="32"/>
          <w:szCs w:val="32"/>
          <w:lang w:val="zh-CN"/>
        </w:rPr>
        <w:t>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w:t>
      </w:r>
      <w:r>
        <w:rPr>
          <w:rFonts w:hint="eastAsia" w:asciiTheme="minorEastAsia" w:hAnsiTheme="minorEastAsia" w:eastAsiaTheme="minorEastAsia"/>
          <w:sz w:val="32"/>
          <w:szCs w:val="32"/>
        </w:rPr>
        <w:t>；</w:t>
      </w:r>
      <w:r>
        <w:rPr>
          <w:rFonts w:hint="eastAsia" w:asciiTheme="minorEastAsia" w:hAnsiTheme="minorEastAsia" w:eastAsiaTheme="minorEastAsia"/>
          <w:b/>
          <w:bCs/>
          <w:sz w:val="32"/>
          <w:szCs w:val="32"/>
        </w:rPr>
        <w:t>公用经费</w:t>
      </w:r>
      <w:r>
        <w:rPr>
          <w:rFonts w:hint="eastAsia" w:asciiTheme="minorEastAsia" w:hAnsiTheme="minorEastAsia" w:eastAsiaTheme="minorEastAsia"/>
          <w:sz w:val="32"/>
          <w:szCs w:val="32"/>
          <w:lang w:val="en-US" w:eastAsia="zh-CN"/>
        </w:rPr>
        <w:t>45.78</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25.21</w:t>
      </w:r>
      <w:r>
        <w:rPr>
          <w:rFonts w:hint="eastAsia" w:asciiTheme="minorEastAsia" w:hAnsiTheme="minorEastAsia" w:eastAsiaTheme="minorEastAsia"/>
          <w:sz w:val="32"/>
          <w:szCs w:val="32"/>
        </w:rPr>
        <w:t>%，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公务用车购置、其他交通工具购置、文物和陈列品购置、无形资产购置、其他资本性支出、赠与。</w:t>
      </w:r>
    </w:p>
    <w:p>
      <w:pPr>
        <w:pStyle w:val="12"/>
        <w:rPr>
          <w:rFonts w:hAnsi="黑体"/>
          <w:b/>
          <w:sz w:val="32"/>
          <w:szCs w:val="32"/>
        </w:rPr>
      </w:pPr>
      <w:r>
        <w:rPr>
          <w:rFonts w:hint="eastAsia" w:hAnsi="黑体"/>
          <w:b/>
          <w:sz w:val="32"/>
          <w:szCs w:val="32"/>
        </w:rPr>
        <w:t>七、一般公共预算财政拨款“三公”经费支出决算情况说明</w:t>
      </w:r>
    </w:p>
    <w:p>
      <w:pPr>
        <w:pStyle w:val="12"/>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color w:val="auto"/>
          <w:sz w:val="32"/>
          <w:szCs w:val="32"/>
          <w:lang w:eastAsia="zh-CN"/>
        </w:rPr>
        <w:t>由于预算数为</w:t>
      </w:r>
      <w:r>
        <w:rPr>
          <w:rFonts w:hint="eastAsia" w:asciiTheme="minorEastAsia" w:hAnsiTheme="minorEastAsia" w:eastAsiaTheme="minorEastAsia"/>
          <w:color w:val="auto"/>
          <w:sz w:val="32"/>
          <w:szCs w:val="32"/>
          <w:lang w:val="en-US" w:eastAsia="zh-CN"/>
        </w:rPr>
        <w:t>0，无法计算百分比</w:t>
      </w:r>
      <w:r>
        <w:rPr>
          <w:rFonts w:hint="eastAsia" w:asciiTheme="minorEastAsia" w:hAnsiTheme="minorEastAsia" w:eastAsiaTheme="minorEastAsia"/>
          <w:sz w:val="32"/>
          <w:szCs w:val="32"/>
        </w:rPr>
        <w:t>，其中：</w:t>
      </w:r>
    </w:p>
    <w:p>
      <w:pPr>
        <w:keepNext/>
        <w:keepLines/>
        <w:autoSpaceDE w:val="0"/>
        <w:autoSpaceDN w:val="0"/>
        <w:adjustRightInd w:val="0"/>
        <w:spacing w:beforeLines="0" w:afterLines="0" w:line="560" w:lineRule="exact"/>
        <w:ind w:firstLine="64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color w:val="auto"/>
          <w:sz w:val="32"/>
          <w:szCs w:val="32"/>
          <w:lang w:eastAsia="zh-CN"/>
        </w:rPr>
        <w:t>由于预算数为</w:t>
      </w:r>
      <w:r>
        <w:rPr>
          <w:rFonts w:hint="eastAsia" w:asciiTheme="minorEastAsia" w:hAnsiTheme="minorEastAsia" w:eastAsiaTheme="minorEastAsia"/>
          <w:color w:val="auto"/>
          <w:sz w:val="32"/>
          <w:szCs w:val="32"/>
          <w:lang w:val="en-US" w:eastAsia="zh-CN"/>
        </w:rPr>
        <w:t>0，无法计算百分比</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eastAsia="zh-CN"/>
        </w:rPr>
        <w:t>与</w:t>
      </w:r>
      <w:r>
        <w:rPr>
          <w:rFonts w:hint="eastAsia" w:asciiTheme="minorEastAsia" w:hAnsiTheme="minorEastAsia" w:eastAsiaTheme="minorEastAsia"/>
          <w:sz w:val="32"/>
          <w:szCs w:val="32"/>
        </w:rPr>
        <w:t>预算数</w:t>
      </w:r>
      <w:r>
        <w:rPr>
          <w:rFonts w:hint="eastAsia" w:asciiTheme="minorEastAsia" w:hAnsiTheme="minorEastAsia" w:eastAsiaTheme="minorEastAsia"/>
          <w:sz w:val="32"/>
          <w:szCs w:val="32"/>
          <w:lang w:eastAsia="zh-CN"/>
        </w:rPr>
        <w:t>一致无差异，</w:t>
      </w:r>
      <w:r>
        <w:rPr>
          <w:rFonts w:hint="eastAsia" w:asciiTheme="minorEastAsia" w:hAnsiTheme="minorEastAsia" w:eastAsiaTheme="minorEastAsia"/>
          <w:sz w:val="32"/>
          <w:szCs w:val="32"/>
        </w:rPr>
        <w:t>主要原因是</w:t>
      </w:r>
      <w:r>
        <w:rPr>
          <w:rFonts w:hint="eastAsia" w:ascii="宋体" w:hAnsi="Times New Roman" w:eastAsia="宋体"/>
          <w:sz w:val="32"/>
          <w:highlight w:val="white"/>
          <w:lang w:val="zh-CN"/>
        </w:rPr>
        <w:t>认真贯彻落实中央“八项规定”精神和厉行节约要求，从严控制“三公”经费开支，全年未作出国（境）公务安排。</w:t>
      </w:r>
      <w:r>
        <w:rPr>
          <w:rFonts w:hint="eastAsia" w:ascii="宋体" w:hAnsi="Times New Roman" w:eastAsia="宋体"/>
          <w:sz w:val="32"/>
          <w:highlight w:val="white"/>
        </w:rPr>
        <w:t>与上年相比无增减变化，主要原因是持续</w:t>
      </w:r>
      <w:r>
        <w:rPr>
          <w:rFonts w:hint="eastAsia" w:ascii="宋体" w:hAnsi="Times New Roman" w:eastAsia="宋体"/>
          <w:sz w:val="32"/>
          <w:highlight w:val="white"/>
          <w:lang w:val="zh-CN"/>
        </w:rPr>
        <w:t>认真贯彻落实中央“八项规定”精神和厉行节约要求，从严控制“三公”经费开支，未作出国（境）公务安排。</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color w:val="auto"/>
          <w:sz w:val="32"/>
          <w:szCs w:val="32"/>
          <w:lang w:eastAsia="zh-CN"/>
        </w:rPr>
        <w:t>由于预算数为</w:t>
      </w:r>
      <w:r>
        <w:rPr>
          <w:rFonts w:hint="eastAsia" w:asciiTheme="minorEastAsia" w:hAnsiTheme="minorEastAsia" w:eastAsiaTheme="minorEastAsia"/>
          <w:color w:val="auto"/>
          <w:sz w:val="32"/>
          <w:szCs w:val="32"/>
          <w:lang w:val="en-US" w:eastAsia="zh-CN"/>
        </w:rPr>
        <w:t>0，无法计算百分比</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eastAsia="zh-CN"/>
        </w:rPr>
        <w:t>与</w:t>
      </w:r>
      <w:r>
        <w:rPr>
          <w:rFonts w:hint="eastAsia" w:asciiTheme="minorEastAsia" w:hAnsiTheme="minorEastAsia" w:eastAsiaTheme="minorEastAsia"/>
          <w:sz w:val="32"/>
          <w:szCs w:val="32"/>
        </w:rPr>
        <w:t>预算数</w:t>
      </w:r>
      <w:r>
        <w:rPr>
          <w:rFonts w:hint="eastAsia" w:asciiTheme="minorEastAsia" w:hAnsiTheme="minorEastAsia" w:eastAsiaTheme="minorEastAsia"/>
          <w:sz w:val="32"/>
          <w:szCs w:val="32"/>
          <w:lang w:eastAsia="zh-CN"/>
        </w:rPr>
        <w:t>一致无差异，</w:t>
      </w:r>
      <w:r>
        <w:rPr>
          <w:rFonts w:hint="eastAsia" w:asciiTheme="minorEastAsia" w:hAnsiTheme="minorEastAsia" w:eastAsiaTheme="minorEastAsia"/>
          <w:sz w:val="32"/>
          <w:szCs w:val="32"/>
        </w:rPr>
        <w:t>主要原因是</w:t>
      </w:r>
      <w:r>
        <w:rPr>
          <w:rFonts w:hint="eastAsia" w:ascii="宋体" w:hAnsi="Times New Roman" w:eastAsia="宋体"/>
          <w:sz w:val="32"/>
          <w:highlight w:val="white"/>
          <w:lang w:val="zh-CN"/>
        </w:rPr>
        <w:t>认真贯彻落实中央“八项规定”精神和厉行节约要求，从严控制“三公”经费开支</w:t>
      </w:r>
      <w:r>
        <w:rPr>
          <w:rFonts w:hint="eastAsia" w:asciiTheme="minorEastAsia" w:hAnsiTheme="minorEastAsia" w:eastAsiaTheme="minorEastAsia"/>
          <w:sz w:val="32"/>
          <w:szCs w:val="32"/>
        </w:rPr>
        <w:t>，与上年相比</w:t>
      </w:r>
      <w:r>
        <w:rPr>
          <w:rFonts w:hint="eastAsia" w:ascii="宋体" w:hAnsi="Times New Roman" w:eastAsia="宋体"/>
          <w:sz w:val="32"/>
          <w:highlight w:val="white"/>
        </w:rPr>
        <w:t>无增减变化，</w:t>
      </w:r>
      <w:r>
        <w:rPr>
          <w:rFonts w:hint="eastAsia" w:asciiTheme="minorEastAsia" w:hAnsiTheme="minorEastAsia" w:eastAsiaTheme="minorEastAsia"/>
          <w:sz w:val="32"/>
          <w:szCs w:val="32"/>
        </w:rPr>
        <w:t>主要原因是</w:t>
      </w:r>
      <w:r>
        <w:rPr>
          <w:rFonts w:hint="eastAsia" w:asciiTheme="minorEastAsia" w:hAnsiTheme="minorEastAsia" w:eastAsiaTheme="minorEastAsia"/>
          <w:sz w:val="32"/>
          <w:szCs w:val="32"/>
          <w:lang w:eastAsia="zh-CN"/>
        </w:rPr>
        <w:t>持续</w:t>
      </w:r>
      <w:r>
        <w:rPr>
          <w:rFonts w:hint="eastAsia" w:ascii="宋体" w:hAnsi="Times New Roman" w:eastAsia="宋体"/>
          <w:sz w:val="32"/>
          <w:highlight w:val="white"/>
          <w:lang w:val="zh-CN"/>
        </w:rPr>
        <w:t>认真贯彻落实中央“八项规定”精神和厉行节约要求，从严控制“三公”经费开支</w:t>
      </w:r>
      <w:r>
        <w:rPr>
          <w:rFonts w:hint="eastAsia" w:asciiTheme="minorEastAsia" w:hAnsiTheme="minorEastAsia" w:eastAsiaTheme="minorEastAsia"/>
          <w:sz w:val="32"/>
          <w:szCs w:val="32"/>
        </w:rPr>
        <w:t>。</w:t>
      </w:r>
    </w:p>
    <w:p>
      <w:pPr>
        <w:keepNext/>
        <w:keepLines/>
        <w:autoSpaceDE w:val="0"/>
        <w:autoSpaceDN w:val="0"/>
        <w:adjustRightInd w:val="0"/>
        <w:spacing w:beforeLines="0" w:afterLines="0" w:line="560" w:lineRule="exact"/>
        <w:ind w:firstLine="640"/>
        <w:rPr>
          <w:rFonts w:hint="eastAsia" w:ascii="宋体" w:hAnsi="Times New Roman" w:eastAsia="宋体"/>
          <w:sz w:val="32"/>
          <w:highlight w:val="white"/>
          <w:lang w:val="zh-CN"/>
        </w:rPr>
      </w:pPr>
      <w:r>
        <w:rPr>
          <w:rFonts w:hint="eastAsia" w:ascii="宋体" w:hAnsi="Times New Roman" w:eastAsia="宋体"/>
          <w:color w:val="000000"/>
          <w:sz w:val="32"/>
          <w:highlight w:val="white"/>
        </w:rPr>
        <w:t>公务用车购置费支出预算为0万元，支出决算为0万元，</w:t>
      </w:r>
      <w:r>
        <w:rPr>
          <w:rFonts w:hint="eastAsia" w:asciiTheme="minorEastAsia" w:hAnsiTheme="minorEastAsia" w:eastAsiaTheme="minorEastAsia"/>
          <w:color w:val="auto"/>
          <w:sz w:val="32"/>
          <w:szCs w:val="32"/>
          <w:lang w:eastAsia="zh-CN"/>
        </w:rPr>
        <w:t>由于预算数为</w:t>
      </w:r>
      <w:r>
        <w:rPr>
          <w:rFonts w:hint="eastAsia" w:asciiTheme="minorEastAsia" w:hAnsiTheme="minorEastAsia" w:eastAsiaTheme="minorEastAsia"/>
          <w:color w:val="auto"/>
          <w:sz w:val="32"/>
          <w:szCs w:val="32"/>
          <w:lang w:val="en-US" w:eastAsia="zh-CN"/>
        </w:rPr>
        <w:t>0，无法计算百分比</w:t>
      </w:r>
      <w:r>
        <w:rPr>
          <w:rFonts w:hint="eastAsia" w:ascii="宋体" w:hAnsi="Times New Roman" w:eastAsia="宋体"/>
          <w:color w:val="000000"/>
          <w:sz w:val="32"/>
          <w:highlight w:val="white"/>
        </w:rPr>
        <w:t>，决算数与预算数一致</w:t>
      </w:r>
      <w:r>
        <w:rPr>
          <w:rFonts w:hint="eastAsia" w:ascii="宋体" w:hAnsi="Times New Roman" w:eastAsia="宋体"/>
          <w:color w:val="000000"/>
          <w:sz w:val="32"/>
          <w:highlight w:val="white"/>
          <w:lang w:eastAsia="zh-CN"/>
        </w:rPr>
        <w:t>无差异</w:t>
      </w:r>
      <w:r>
        <w:rPr>
          <w:rFonts w:hint="eastAsia" w:ascii="宋体" w:hAnsi="Times New Roman" w:eastAsia="宋体"/>
          <w:color w:val="000000"/>
          <w:sz w:val="32"/>
          <w:highlight w:val="white"/>
        </w:rPr>
        <w:t>，主要原因是</w:t>
      </w:r>
      <w:r>
        <w:rPr>
          <w:rFonts w:hint="eastAsia" w:ascii="宋体" w:hAnsi="Times New Roman" w:eastAsia="宋体"/>
          <w:color w:val="000000"/>
          <w:sz w:val="32"/>
          <w:highlight w:val="white"/>
          <w:lang w:val="zh-CN"/>
        </w:rPr>
        <w:t>认真贯彻落实中央</w:t>
      </w:r>
      <w:r>
        <w:rPr>
          <w:rFonts w:hint="default" w:ascii="Times New Roman" w:hAnsi="Times New Roman" w:eastAsia="宋体"/>
          <w:color w:val="000000"/>
          <w:sz w:val="32"/>
          <w:highlight w:val="white"/>
          <w:lang w:val="zh-CN"/>
        </w:rPr>
        <w:t>“</w:t>
      </w:r>
      <w:r>
        <w:rPr>
          <w:rFonts w:hint="eastAsia" w:ascii="宋体" w:hAnsi="Times New Roman" w:eastAsia="宋体"/>
          <w:color w:val="000000"/>
          <w:sz w:val="32"/>
          <w:highlight w:val="white"/>
          <w:lang w:val="zh-CN"/>
        </w:rPr>
        <w:t>八项规定</w:t>
      </w:r>
      <w:r>
        <w:rPr>
          <w:rFonts w:hint="default" w:ascii="Times New Roman" w:hAnsi="Times New Roman" w:eastAsia="宋体"/>
          <w:color w:val="000000"/>
          <w:sz w:val="32"/>
          <w:highlight w:val="white"/>
          <w:lang w:val="zh-CN"/>
        </w:rPr>
        <w:t>”</w:t>
      </w:r>
      <w:r>
        <w:rPr>
          <w:rFonts w:hint="eastAsia" w:ascii="宋体" w:hAnsi="Times New Roman" w:eastAsia="宋体"/>
          <w:color w:val="000000"/>
          <w:sz w:val="32"/>
          <w:highlight w:val="white"/>
          <w:lang w:val="zh-CN"/>
        </w:rPr>
        <w:t>精神和厉行节约要求，从严控制</w:t>
      </w:r>
      <w:r>
        <w:rPr>
          <w:rFonts w:hint="default" w:ascii="Times New Roman" w:hAnsi="Times New Roman" w:eastAsia="宋体"/>
          <w:color w:val="000000"/>
          <w:sz w:val="32"/>
          <w:highlight w:val="white"/>
          <w:lang w:val="zh-CN"/>
        </w:rPr>
        <w:t>“</w:t>
      </w:r>
      <w:r>
        <w:rPr>
          <w:rFonts w:hint="eastAsia" w:ascii="宋体" w:hAnsi="Times New Roman" w:eastAsia="宋体"/>
          <w:color w:val="000000"/>
          <w:sz w:val="32"/>
          <w:highlight w:val="white"/>
          <w:lang w:val="zh-CN"/>
        </w:rPr>
        <w:t>三公</w:t>
      </w:r>
      <w:r>
        <w:rPr>
          <w:rFonts w:hint="default" w:ascii="Times New Roman" w:hAnsi="Times New Roman" w:eastAsia="宋体"/>
          <w:color w:val="000000"/>
          <w:sz w:val="32"/>
          <w:highlight w:val="white"/>
          <w:lang w:val="zh-CN"/>
        </w:rPr>
        <w:t>”</w:t>
      </w:r>
      <w:r>
        <w:rPr>
          <w:rFonts w:hint="eastAsia" w:ascii="宋体" w:hAnsi="Times New Roman" w:eastAsia="宋体"/>
          <w:color w:val="000000"/>
          <w:sz w:val="32"/>
          <w:highlight w:val="white"/>
          <w:lang w:val="zh-CN"/>
        </w:rPr>
        <w:t>经费开支，未作公务用车购置安排。</w:t>
      </w:r>
      <w:r>
        <w:rPr>
          <w:rFonts w:hint="eastAsia" w:ascii="宋体" w:hAnsi="Times New Roman" w:eastAsia="宋体"/>
          <w:sz w:val="32"/>
          <w:highlight w:val="white"/>
        </w:rPr>
        <w:t>与上年相比无增减变化，主要原因是持续</w:t>
      </w:r>
      <w:r>
        <w:rPr>
          <w:rFonts w:hint="eastAsia" w:ascii="宋体" w:hAnsi="Times New Roman" w:eastAsia="宋体"/>
          <w:sz w:val="32"/>
          <w:highlight w:val="white"/>
          <w:lang w:val="zh-CN"/>
        </w:rPr>
        <w:t>认真贯彻落实中央“八项规定”精神和厉行节约要求，从严控制“三公”经费开支，</w:t>
      </w:r>
      <w:r>
        <w:rPr>
          <w:rFonts w:hint="eastAsia" w:ascii="宋体" w:hAnsi="Times New Roman" w:eastAsia="宋体"/>
          <w:color w:val="000000"/>
          <w:sz w:val="32"/>
          <w:highlight w:val="white"/>
          <w:lang w:val="zh-CN"/>
        </w:rPr>
        <w:t>未作公务用车购置安排</w:t>
      </w:r>
      <w:r>
        <w:rPr>
          <w:rFonts w:hint="eastAsia" w:ascii="宋体" w:hAnsi="Times New Roman" w:eastAsia="宋体"/>
          <w:sz w:val="32"/>
          <w:highlight w:val="white"/>
          <w:lang w:val="zh-CN"/>
        </w:rPr>
        <w:t>。</w:t>
      </w:r>
    </w:p>
    <w:p>
      <w:pPr>
        <w:pStyle w:val="12"/>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color w:val="auto"/>
          <w:sz w:val="32"/>
          <w:szCs w:val="32"/>
          <w:lang w:eastAsia="zh-CN"/>
        </w:rPr>
        <w:t>由于预算数为</w:t>
      </w:r>
      <w:r>
        <w:rPr>
          <w:rFonts w:hint="eastAsia" w:asciiTheme="minorEastAsia" w:hAnsiTheme="minorEastAsia" w:eastAsiaTheme="minorEastAsia"/>
          <w:color w:val="auto"/>
          <w:sz w:val="32"/>
          <w:szCs w:val="32"/>
          <w:lang w:val="en-US" w:eastAsia="zh-CN"/>
        </w:rPr>
        <w:t>0，无法计算百分比</w:t>
      </w:r>
      <w:r>
        <w:rPr>
          <w:rFonts w:hint="eastAsia" w:asciiTheme="minorEastAsia" w:hAnsiTheme="minorEastAsia" w:eastAsiaTheme="minorEastAsia"/>
          <w:sz w:val="32"/>
          <w:szCs w:val="32"/>
        </w:rPr>
        <w:t>，</w:t>
      </w:r>
      <w:r>
        <w:rPr>
          <w:rFonts w:hint="eastAsia" w:ascii="宋体" w:hAnsi="Times New Roman" w:eastAsia="宋体"/>
          <w:color w:val="000000"/>
          <w:sz w:val="32"/>
          <w:highlight w:val="white"/>
        </w:rPr>
        <w:t>决算数与预算数一致</w:t>
      </w:r>
      <w:r>
        <w:rPr>
          <w:rFonts w:hint="eastAsia" w:ascii="宋体" w:hAnsi="Times New Roman" w:eastAsia="宋体"/>
          <w:color w:val="000000"/>
          <w:sz w:val="32"/>
          <w:highlight w:val="white"/>
          <w:lang w:eastAsia="zh-CN"/>
        </w:rPr>
        <w:t>无差异，</w:t>
      </w:r>
      <w:r>
        <w:rPr>
          <w:rFonts w:hint="eastAsia" w:asciiTheme="minorEastAsia" w:hAnsiTheme="minorEastAsia" w:eastAsiaTheme="minorEastAsia"/>
          <w:sz w:val="32"/>
          <w:szCs w:val="32"/>
        </w:rPr>
        <w:t>主要原因是</w:t>
      </w:r>
      <w:r>
        <w:rPr>
          <w:rFonts w:hint="eastAsia" w:asciiTheme="minorEastAsia" w:hAnsiTheme="minorEastAsia" w:eastAsiaTheme="minorEastAsia"/>
          <w:sz w:val="32"/>
          <w:szCs w:val="32"/>
          <w:lang w:eastAsia="zh-CN"/>
        </w:rPr>
        <w:t>单位无公务用车</w:t>
      </w:r>
      <w:r>
        <w:rPr>
          <w:rFonts w:hint="eastAsia" w:asciiTheme="minorEastAsia" w:hAnsiTheme="minorEastAsia" w:eastAsiaTheme="minorEastAsia"/>
          <w:sz w:val="32"/>
          <w:szCs w:val="32"/>
        </w:rPr>
        <w:t>，与上年相比</w:t>
      </w:r>
      <w:r>
        <w:rPr>
          <w:rFonts w:hint="eastAsia" w:ascii="宋体" w:hAnsi="Times New Roman" w:eastAsia="宋体"/>
          <w:sz w:val="32"/>
          <w:highlight w:val="white"/>
        </w:rPr>
        <w:t>无增减变化</w:t>
      </w:r>
      <w:r>
        <w:rPr>
          <w:rFonts w:hint="eastAsia" w:ascii="宋体" w:hAnsi="Times New Roman" w:eastAsia="宋体"/>
          <w:sz w:val="32"/>
          <w:highlight w:val="white"/>
          <w:lang w:eastAsia="zh-CN"/>
        </w:rPr>
        <w:t>，</w:t>
      </w:r>
      <w:r>
        <w:rPr>
          <w:rFonts w:hint="eastAsia" w:asciiTheme="minorEastAsia" w:hAnsiTheme="minorEastAsia" w:eastAsiaTheme="minorEastAsia"/>
          <w:sz w:val="32"/>
          <w:szCs w:val="32"/>
        </w:rPr>
        <w:t>主要原因是</w:t>
      </w:r>
      <w:r>
        <w:rPr>
          <w:rFonts w:hint="eastAsia" w:asciiTheme="minorEastAsia" w:hAnsiTheme="minorEastAsia" w:eastAsiaTheme="minorEastAsia"/>
          <w:sz w:val="32"/>
          <w:szCs w:val="32"/>
          <w:lang w:eastAsia="zh-CN"/>
        </w:rPr>
        <w:t>单位无公务用车</w:t>
      </w:r>
      <w:r>
        <w:rPr>
          <w:rFonts w:hint="eastAsia" w:asciiTheme="minorEastAsia" w:hAnsiTheme="minorEastAsia" w:eastAsiaTheme="minorEastAsia"/>
          <w:sz w:val="32"/>
          <w:szCs w:val="32"/>
        </w:rPr>
        <w:t>。</w:t>
      </w:r>
    </w:p>
    <w:p>
      <w:pPr>
        <w:pStyle w:val="12"/>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（岳阳市绿色建筑产业发展服务</w:t>
      </w:r>
      <w:r>
        <w:rPr>
          <w:rFonts w:hint="eastAsia" w:asciiTheme="minorEastAsia" w:hAnsiTheme="minorEastAsia" w:eastAsiaTheme="minorEastAsia"/>
          <w:i w:val="0"/>
          <w:iCs w:val="0"/>
          <w:sz w:val="32"/>
          <w:szCs w:val="32"/>
        </w:rPr>
        <w:t>中心</w:t>
      </w:r>
      <w:r>
        <w:rPr>
          <w:rFonts w:hint="eastAsia" w:asciiTheme="minorEastAsia" w:hAnsiTheme="minorEastAsia" w:eastAsiaTheme="minorEastAsia"/>
          <w:i w:val="0"/>
          <w:iCs w:val="0"/>
          <w:color w:val="000000" w:themeColor="text1"/>
          <w:sz w:val="32"/>
          <w:szCs w:val="32"/>
          <w14:textFill>
            <w14:solidFill>
              <w14:schemeClr w14:val="tx1"/>
            </w14:solidFill>
          </w14:textFill>
        </w:rPr>
        <w:t>无</w:t>
      </w:r>
      <w:r>
        <w:rPr>
          <w:rFonts w:hint="eastAsia" w:asciiTheme="minorEastAsia" w:hAnsiTheme="minorEastAsia" w:eastAsiaTheme="minorEastAsia"/>
          <w:i w:val="0"/>
          <w:iCs w:val="0"/>
          <w:color w:val="000000" w:themeColor="text1"/>
          <w:sz w:val="32"/>
          <w:szCs w:val="32"/>
          <w:lang w:eastAsia="zh-CN"/>
          <w14:textFill>
            <w14:solidFill>
              <w14:schemeClr w14:val="tx1"/>
            </w14:solidFill>
          </w14:textFill>
        </w:rPr>
        <w:t>“三公”经费支出</w:t>
      </w:r>
      <w:r>
        <w:rPr>
          <w:rFonts w:hint="eastAsia" w:asciiTheme="minorEastAsia" w:hAnsiTheme="minorEastAsia" w:eastAsiaTheme="minorEastAsia"/>
          <w:i w:val="0"/>
          <w:iCs w:val="0"/>
          <w:color w:val="000000" w:themeColor="text1"/>
          <w:sz w:val="32"/>
          <w:szCs w:val="32"/>
          <w14:textFill>
            <w14:solidFill>
              <w14:schemeClr w14:val="tx1"/>
            </w14:solidFill>
          </w14:textFill>
        </w:rPr>
        <w:t>）</w:t>
      </w:r>
    </w:p>
    <w:p>
      <w:pPr>
        <w:pStyle w:val="12"/>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%,因公出国（境）费支出决算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%,公务用车购置费及运行维护费支出决算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%。其中：</w:t>
      </w:r>
    </w:p>
    <w:p>
      <w:pPr>
        <w:pStyle w:val="12"/>
        <w:ind w:firstLine="640" w:firstLineChars="200"/>
        <w:rPr>
          <w:rFonts w:hint="eastAsia" w:asciiTheme="minorEastAsia" w:hAnsiTheme="minorEastAsia" w:eastAsiaTheme="minorEastAsia"/>
          <w:b/>
          <w:sz w:val="32"/>
          <w:szCs w:val="32"/>
          <w:lang w:eastAsia="zh-CN"/>
        </w:rPr>
      </w:pPr>
      <w:r>
        <w:rPr>
          <w:rFonts w:hint="eastAsia" w:asciiTheme="minorEastAsia" w:hAnsiTheme="minorEastAsia" w:eastAsiaTheme="minorEastAsia"/>
          <w:sz w:val="32"/>
          <w:szCs w:val="32"/>
        </w:rPr>
        <w:t>1、因公出国（境）费支出决算为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万元，全年安排因公出国（境）团组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个，累计</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w:t>
      </w:r>
      <w:r>
        <w:rPr>
          <w:rFonts w:hint="eastAsia" w:asciiTheme="minorEastAsia" w:hAnsiTheme="minorEastAsia" w:eastAsiaTheme="minorEastAsia"/>
          <w:sz w:val="32"/>
          <w:szCs w:val="32"/>
          <w:lang w:eastAsia="zh-CN"/>
        </w:rPr>
        <w:t>。</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万元，全年共接待来访团组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个、来宾</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w:t>
      </w:r>
    </w:p>
    <w:p>
      <w:pPr>
        <w:ind w:firstLine="640" w:firstLineChars="200"/>
        <w:rPr>
          <w:rFonts w:hint="eastAsia" w:asciiTheme="minorEastAsia" w:hAnsiTheme="minorEastAsia"/>
          <w:sz w:val="32"/>
          <w:szCs w:val="32"/>
        </w:rPr>
      </w:pPr>
      <w:r>
        <w:rPr>
          <w:rFonts w:hint="eastAsia" w:asciiTheme="minorEastAsia" w:hAnsiTheme="minorEastAsia"/>
          <w:sz w:val="32"/>
          <w:szCs w:val="32"/>
        </w:rPr>
        <w:t>3、公务用车购置费及运行维护费支出决算为</w:t>
      </w:r>
      <w:r>
        <w:rPr>
          <w:rFonts w:hint="eastAsia" w:asciiTheme="minorEastAsia" w:hAnsiTheme="minorEastAsia"/>
          <w:sz w:val="32"/>
          <w:szCs w:val="32"/>
          <w:lang w:val="en-US" w:eastAsia="zh-CN"/>
        </w:rPr>
        <w:t>0</w:t>
      </w:r>
      <w:r>
        <w:rPr>
          <w:rFonts w:hint="eastAsia" w:asciiTheme="minorEastAsia" w:hAnsiTheme="minorEastAsia"/>
          <w:sz w:val="32"/>
          <w:szCs w:val="32"/>
        </w:rPr>
        <w:t>万元，其中：公务用车购置费</w:t>
      </w:r>
      <w:r>
        <w:rPr>
          <w:rFonts w:hint="eastAsia" w:asciiTheme="minorEastAsia" w:hAnsiTheme="minorEastAsia"/>
          <w:sz w:val="32"/>
          <w:szCs w:val="32"/>
          <w:lang w:val="en-US" w:eastAsia="zh-CN"/>
        </w:rPr>
        <w:t>0</w:t>
      </w:r>
      <w:r>
        <w:rPr>
          <w:rFonts w:hint="eastAsia" w:asciiTheme="minorEastAsia" w:hAnsiTheme="minorEastAsia"/>
          <w:sz w:val="32"/>
          <w:szCs w:val="32"/>
        </w:rPr>
        <w:t>万元，单位本级更新公务用车</w:t>
      </w:r>
      <w:r>
        <w:rPr>
          <w:rFonts w:hint="eastAsia" w:asciiTheme="minorEastAsia" w:hAnsiTheme="minorEastAsia"/>
          <w:sz w:val="32"/>
          <w:szCs w:val="32"/>
          <w:lang w:val="en-US" w:eastAsia="zh-CN"/>
        </w:rPr>
        <w:t>0</w:t>
      </w:r>
      <w:r>
        <w:rPr>
          <w:rFonts w:hint="eastAsia" w:asciiTheme="minorEastAsia" w:hAnsiTheme="minorEastAsia"/>
          <w:sz w:val="32"/>
          <w:szCs w:val="32"/>
        </w:rPr>
        <w:t>辆</w:t>
      </w:r>
      <w:r>
        <w:rPr>
          <w:rFonts w:hint="eastAsia" w:asciiTheme="minorEastAsia" w:hAnsiTheme="minorEastAsia"/>
          <w:color w:val="000000" w:themeColor="text1"/>
          <w:sz w:val="32"/>
          <w:szCs w:val="32"/>
          <w14:textFill>
            <w14:solidFill>
              <w14:schemeClr w14:val="tx1"/>
            </w14:solidFill>
          </w14:textFill>
        </w:rPr>
        <w:t>。</w:t>
      </w:r>
      <w:r>
        <w:rPr>
          <w:rFonts w:hint="eastAsia" w:asciiTheme="minorEastAsia" w:hAnsiTheme="minorEastAsia"/>
          <w:sz w:val="32"/>
          <w:szCs w:val="32"/>
        </w:rPr>
        <w:t>公务用车运行维护费</w:t>
      </w:r>
      <w:r>
        <w:rPr>
          <w:rFonts w:hint="eastAsia" w:asciiTheme="minorEastAsia" w:hAnsiTheme="minorEastAsia"/>
          <w:sz w:val="32"/>
          <w:szCs w:val="32"/>
          <w:lang w:val="en-US" w:eastAsia="zh-CN"/>
        </w:rPr>
        <w:t>0</w:t>
      </w:r>
      <w:r>
        <w:rPr>
          <w:rFonts w:hint="eastAsia" w:asciiTheme="minorEastAsia" w:hAnsiTheme="minorEastAsia"/>
          <w:sz w:val="32"/>
          <w:szCs w:val="32"/>
        </w:rPr>
        <w:t>万元，截止2021年12月31日，我单位开支财政拨款的公务用车保有量为</w:t>
      </w:r>
      <w:r>
        <w:rPr>
          <w:rFonts w:hint="eastAsia" w:asciiTheme="minorEastAsia" w:hAnsiTheme="minorEastAsia"/>
          <w:sz w:val="32"/>
          <w:szCs w:val="32"/>
          <w:lang w:val="en-US" w:eastAsia="zh-CN"/>
        </w:rPr>
        <w:t>0</w:t>
      </w:r>
      <w:r>
        <w:rPr>
          <w:rFonts w:hint="eastAsia" w:asciiTheme="minorEastAsia" w:hAnsiTheme="minorEastAsia"/>
          <w:sz w:val="32"/>
          <w:szCs w:val="32"/>
        </w:rPr>
        <w:t>辆。</w:t>
      </w:r>
    </w:p>
    <w:p>
      <w:pPr>
        <w:pStyle w:val="12"/>
        <w:rPr>
          <w:rFonts w:hAnsi="黑体"/>
          <w:b/>
          <w:sz w:val="32"/>
          <w:szCs w:val="32"/>
        </w:rPr>
      </w:pPr>
      <w:r>
        <w:rPr>
          <w:rFonts w:hint="eastAsia" w:hAnsi="黑体"/>
          <w:b/>
          <w:sz w:val="32"/>
          <w:szCs w:val="32"/>
        </w:rPr>
        <w:t>八、政府性基金预算收入支出决算情况</w:t>
      </w:r>
    </w:p>
    <w:p>
      <w:pPr>
        <w:pStyle w:val="12"/>
        <w:ind w:firstLine="640" w:firstLineChars="200"/>
        <w:rPr>
          <w:rFonts w:hint="eastAsia" w:asciiTheme="minorEastAsia" w:hAnsiTheme="minorEastAsia" w:eastAsiaTheme="minorEastAsia"/>
          <w:i w:val="0"/>
          <w:iCs w:val="0"/>
          <w:color w:val="000000" w:themeColor="text1"/>
          <w:sz w:val="32"/>
          <w:szCs w:val="32"/>
          <w:lang w:val="en-US" w:eastAsia="zh-CN"/>
          <w14:textFill>
            <w14:solidFill>
              <w14:schemeClr w14:val="tx1"/>
            </w14:solidFill>
          </w14:textFill>
        </w:rPr>
      </w:pPr>
      <w:r>
        <w:rPr>
          <w:rFonts w:hint="eastAsia" w:asciiTheme="minorEastAsia" w:hAnsiTheme="minorEastAsia" w:eastAsiaTheme="minorEastAsia"/>
          <w:sz w:val="32"/>
          <w:szCs w:val="32"/>
        </w:rPr>
        <w:t>岳阳市绿色建筑产业发展服务</w:t>
      </w:r>
      <w:r>
        <w:rPr>
          <w:rFonts w:hint="eastAsia" w:asciiTheme="minorEastAsia" w:hAnsiTheme="minorEastAsia" w:eastAsiaTheme="minorEastAsia"/>
          <w:i w:val="0"/>
          <w:iCs w:val="0"/>
          <w:sz w:val="32"/>
          <w:szCs w:val="32"/>
        </w:rPr>
        <w:t>中心</w:t>
      </w:r>
      <w:r>
        <w:rPr>
          <w:rFonts w:hint="eastAsia" w:asciiTheme="minorEastAsia" w:hAnsiTheme="minorEastAsia" w:eastAsiaTheme="minorEastAsia"/>
          <w:i w:val="0"/>
          <w:iCs w:val="0"/>
          <w:color w:val="000000" w:themeColor="text1"/>
          <w:sz w:val="32"/>
          <w:szCs w:val="32"/>
          <w14:textFill>
            <w14:solidFill>
              <w14:schemeClr w14:val="tx1"/>
            </w14:solidFill>
          </w14:textFill>
        </w:rPr>
        <w:t>无政府性基金收支</w:t>
      </w:r>
      <w:r>
        <w:rPr>
          <w:rFonts w:hint="eastAsia" w:asciiTheme="minorEastAsia" w:hAnsiTheme="minorEastAsia" w:eastAsiaTheme="minorEastAsia"/>
          <w:i w:val="0"/>
          <w:iCs w:val="0"/>
          <w:color w:val="000000" w:themeColor="text1"/>
          <w:sz w:val="32"/>
          <w:szCs w:val="32"/>
          <w:lang w:val="en-US" w:eastAsia="zh-CN"/>
          <w14:textFill>
            <w14:solidFill>
              <w14:schemeClr w14:val="tx1"/>
            </w14:solidFill>
          </w14:textFill>
        </w:rPr>
        <w:t>。</w:t>
      </w:r>
    </w:p>
    <w:p>
      <w:pPr>
        <w:pStyle w:val="12"/>
        <w:numPr>
          <w:ilvl w:val="0"/>
          <w:numId w:val="3"/>
        </w:numPr>
        <w:rPr>
          <w:rFonts w:hint="eastAsia" w:hAnsi="黑体"/>
          <w:b/>
          <w:sz w:val="32"/>
          <w:szCs w:val="32"/>
          <w:lang w:eastAsia="zh-CN"/>
        </w:rPr>
      </w:pPr>
      <w:r>
        <w:rPr>
          <w:rFonts w:hint="eastAsia" w:hAnsi="黑体"/>
          <w:b/>
          <w:sz w:val="32"/>
          <w:szCs w:val="32"/>
        </w:rPr>
        <w:t>国有资本经营预算财政拨款支出决算</w:t>
      </w:r>
      <w:r>
        <w:rPr>
          <w:rFonts w:hint="eastAsia" w:hAnsi="黑体"/>
          <w:b/>
          <w:sz w:val="32"/>
          <w:szCs w:val="32"/>
          <w:lang w:eastAsia="zh-CN"/>
        </w:rPr>
        <w:t>情况</w:t>
      </w:r>
    </w:p>
    <w:p>
      <w:pPr>
        <w:pStyle w:val="12"/>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岳阳市绿色建筑产业发展服务中心无国有资本经营预算财政拨款支出</w:t>
      </w:r>
      <w:r>
        <w:rPr>
          <w:rFonts w:asciiTheme="minorEastAsia" w:hAnsiTheme="minorEastAsia" w:eastAsiaTheme="minorEastAsia"/>
          <w:sz w:val="32"/>
          <w:szCs w:val="32"/>
        </w:rPr>
        <w:t>。</w:t>
      </w:r>
    </w:p>
    <w:p>
      <w:pPr>
        <w:pStyle w:val="12"/>
        <w:rPr>
          <w:rFonts w:hAnsi="黑体"/>
          <w:b/>
          <w:sz w:val="32"/>
          <w:szCs w:val="32"/>
        </w:rPr>
      </w:pPr>
      <w:r>
        <w:rPr>
          <w:rFonts w:hint="eastAsia" w:hAnsi="黑体"/>
          <w:b/>
          <w:sz w:val="32"/>
          <w:szCs w:val="32"/>
        </w:rPr>
        <w:t>十、机关运行经费支出说明</w:t>
      </w:r>
    </w:p>
    <w:p>
      <w:pPr>
        <w:pStyle w:val="12"/>
        <w:ind w:firstLine="640" w:firstLineChars="200"/>
        <w:rPr>
          <w:rFonts w:hint="eastAsia" w:asciiTheme="minorEastAsia" w:hAnsiTheme="minorEastAsia" w:eastAsiaTheme="minorEastAsia" w:cstheme="minorBidi"/>
          <w:color w:val="auto"/>
          <w:kern w:val="2"/>
          <w:sz w:val="32"/>
          <w:szCs w:val="32"/>
          <w:lang w:val="en-US" w:eastAsia="zh-CN" w:bidi="ar-SA"/>
        </w:rPr>
      </w:pPr>
      <w:r>
        <w:rPr>
          <w:rFonts w:hint="eastAsia" w:asciiTheme="minorEastAsia" w:hAnsiTheme="minorEastAsia" w:eastAsiaTheme="minorEastAsia"/>
          <w:sz w:val="32"/>
          <w:szCs w:val="32"/>
        </w:rPr>
        <w:t>本部门2021年度机关运行经费支出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万元，主要原因是：</w:t>
      </w:r>
      <w:r>
        <w:rPr>
          <w:rFonts w:hint="eastAsia" w:asciiTheme="minorEastAsia" w:hAnsiTheme="minorEastAsia" w:eastAsiaTheme="minorEastAsia"/>
          <w:sz w:val="32"/>
          <w:szCs w:val="32"/>
          <w:lang w:eastAsia="zh-CN"/>
        </w:rPr>
        <w:t>单</w:t>
      </w:r>
      <w:r>
        <w:rPr>
          <w:rFonts w:hint="eastAsia" w:asciiTheme="minorEastAsia" w:hAnsiTheme="minorEastAsia" w:eastAsiaTheme="minorEastAsia" w:cstheme="minorBidi"/>
          <w:color w:val="auto"/>
          <w:kern w:val="2"/>
          <w:sz w:val="32"/>
          <w:szCs w:val="32"/>
          <w:lang w:val="en-US" w:eastAsia="zh-CN" w:bidi="ar-SA"/>
        </w:rPr>
        <w:t>位性质非行政单位和参照公务员法管理事业单位。</w:t>
      </w:r>
    </w:p>
    <w:p>
      <w:pPr>
        <w:pStyle w:val="12"/>
        <w:rPr>
          <w:rFonts w:hAnsi="黑体"/>
          <w:b/>
          <w:sz w:val="32"/>
          <w:szCs w:val="32"/>
        </w:rPr>
      </w:pPr>
      <w:r>
        <w:rPr>
          <w:rFonts w:hint="eastAsia" w:hAnsi="黑体"/>
          <w:b/>
          <w:sz w:val="32"/>
          <w:szCs w:val="32"/>
        </w:rPr>
        <w:t>十一、一般性支出情况说明</w:t>
      </w:r>
    </w:p>
    <w:p>
      <w:pPr>
        <w:pStyle w:val="12"/>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2021年本部门开支会议费</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未召开</w:t>
      </w:r>
      <w:r>
        <w:rPr>
          <w:rFonts w:hint="eastAsia" w:asciiTheme="minorEastAsia" w:hAnsiTheme="minorEastAsia" w:eastAsiaTheme="minorEastAsia"/>
          <w:sz w:val="32"/>
          <w:szCs w:val="32"/>
        </w:rPr>
        <w:t>会议，人数</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人；开支培训费</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未开展培训，</w:t>
      </w:r>
      <w:r>
        <w:rPr>
          <w:rFonts w:hint="eastAsia" w:asciiTheme="minorEastAsia" w:hAnsiTheme="minorEastAsia" w:eastAsiaTheme="minorEastAsia"/>
          <w:sz w:val="32"/>
          <w:szCs w:val="32"/>
        </w:rPr>
        <w:t>人数</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w:t>
      </w:r>
      <w:r>
        <w:rPr>
          <w:rFonts w:hint="eastAsia" w:asciiTheme="minorEastAsia" w:hAnsiTheme="minorEastAsia" w:eastAsiaTheme="minorEastAsia"/>
          <w:sz w:val="32"/>
          <w:szCs w:val="32"/>
          <w:lang w:eastAsia="zh-CN"/>
        </w:rPr>
        <w:t>未</w:t>
      </w:r>
      <w:r>
        <w:rPr>
          <w:rFonts w:hint="eastAsia" w:asciiTheme="minorEastAsia" w:hAnsiTheme="minorEastAsia" w:eastAsiaTheme="minorEastAsia"/>
          <w:sz w:val="32"/>
          <w:szCs w:val="32"/>
        </w:rPr>
        <w:t>举</w:t>
      </w:r>
      <w:r>
        <w:rPr>
          <w:rFonts w:hint="eastAsia" w:asciiTheme="minorEastAsia" w:hAnsiTheme="minorEastAsia" w:eastAsiaTheme="minorEastAsia"/>
          <w:sz w:val="32"/>
          <w:szCs w:val="32"/>
          <w:lang w:eastAsia="zh-CN"/>
        </w:rPr>
        <w:t>办</w:t>
      </w:r>
      <w:r>
        <w:rPr>
          <w:rFonts w:hint="eastAsia" w:asciiTheme="minorEastAsia" w:hAnsiTheme="minorEastAsia" w:eastAsiaTheme="minorEastAsia"/>
          <w:sz w:val="32"/>
          <w:szCs w:val="32"/>
        </w:rPr>
        <w:t>节庆、晚会、论坛、赛事活动，开支</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p>
    <w:p>
      <w:pPr>
        <w:pStyle w:val="12"/>
        <w:rPr>
          <w:rFonts w:hAnsi="黑体"/>
          <w:b/>
          <w:sz w:val="32"/>
          <w:szCs w:val="32"/>
        </w:rPr>
      </w:pPr>
      <w:r>
        <w:rPr>
          <w:rFonts w:hint="eastAsia" w:hAnsi="黑体"/>
          <w:b/>
          <w:sz w:val="32"/>
          <w:szCs w:val="32"/>
        </w:rPr>
        <w:t>十二、政府采购支出说明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万元，其中：政府采购货物支出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 xml:space="preserve"> 万元、政府采购工程支出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万元、政府采购服务支出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万元。授予中小企业合同金额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%，其中：授予小微企业合同金额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万元，占授予中小企业合同金额的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%；货物采购授予中小企业合同金额占货物支出金额的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%，工程采购授予中小企业合同金额占工程支出金额的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%，服务采购授予中小企业合同金额占服务支出金额的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2"/>
        <w:rPr>
          <w:rFonts w:hAnsi="黑体"/>
          <w:b/>
          <w:sz w:val="32"/>
          <w:szCs w:val="32"/>
        </w:rPr>
      </w:pPr>
      <w:r>
        <w:rPr>
          <w:rFonts w:hint="eastAsia" w:hAnsi="黑体"/>
          <w:b/>
          <w:sz w:val="32"/>
          <w:szCs w:val="32"/>
        </w:rPr>
        <w:t>十三、国有资产占用情况说明</w:t>
      </w:r>
    </w:p>
    <w:p>
      <w:pPr>
        <w:pStyle w:val="12"/>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截至2021年12月31日，部门（单位）共有车辆</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辆，其中，主要领导干部用车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辆，机要通信用车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辆、应急保障用车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辆、执法执勤用车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辆、特种专业技术用车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辆、其他用车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辆；单位价值50万元以上通用设备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台（套）；单位价值100万元以上专用设备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w:t>
      </w:r>
    </w:p>
    <w:p>
      <w:pPr>
        <w:pStyle w:val="12"/>
        <w:rPr>
          <w:rFonts w:hAnsi="黑体"/>
          <w:b/>
          <w:sz w:val="32"/>
          <w:szCs w:val="32"/>
        </w:rPr>
      </w:pPr>
      <w:r>
        <w:rPr>
          <w:rFonts w:hint="eastAsia" w:hAnsi="黑体"/>
          <w:b/>
          <w:sz w:val="32"/>
          <w:szCs w:val="32"/>
          <w:lang w:eastAsia="zh-CN"/>
        </w:rPr>
        <w:t>十四、</w:t>
      </w:r>
      <w:r>
        <w:rPr>
          <w:rFonts w:hint="eastAsia" w:hAnsi="黑体"/>
          <w:b/>
          <w:sz w:val="32"/>
          <w:szCs w:val="32"/>
        </w:rPr>
        <w:t>2021年度预算绩效情况说明</w:t>
      </w:r>
    </w:p>
    <w:p>
      <w:pPr>
        <w:autoSpaceDE w:val="0"/>
        <w:autoSpaceDN w:val="0"/>
        <w:adjustRightInd w:val="0"/>
        <w:ind w:firstLine="640" w:firstLineChars="200"/>
        <w:jc w:val="left"/>
        <w:rPr>
          <w:rFonts w:ascii="宋体" w:hAnsi="宋体" w:cs="黑体"/>
          <w:color w:val="000000"/>
          <w:kern w:val="0"/>
          <w:sz w:val="32"/>
          <w:szCs w:val="32"/>
        </w:rPr>
      </w:pPr>
      <w:r>
        <w:rPr>
          <w:rFonts w:hint="eastAsia" w:ascii="宋体" w:hAnsi="宋体" w:cs="黑体"/>
          <w:b/>
          <w:color w:val="000000"/>
          <w:kern w:val="0"/>
          <w:sz w:val="32"/>
          <w:szCs w:val="32"/>
        </w:rPr>
        <w:t>（1）绩效管理评价工作开展情况</w:t>
      </w:r>
      <w:r>
        <w:rPr>
          <w:rFonts w:hint="eastAsia" w:ascii="宋体" w:hAnsi="宋体" w:cs="黑体"/>
          <w:color w:val="000000"/>
          <w:kern w:val="0"/>
          <w:sz w:val="32"/>
          <w:szCs w:val="32"/>
        </w:rPr>
        <w:t>。</w:t>
      </w:r>
    </w:p>
    <w:p>
      <w:pPr>
        <w:autoSpaceDE w:val="0"/>
        <w:autoSpaceDN w:val="0"/>
        <w:adjustRightInd w:val="0"/>
        <w:ind w:firstLine="640" w:firstLineChars="200"/>
        <w:jc w:val="left"/>
        <w:rPr>
          <w:rFonts w:ascii="宋体" w:hAnsi="宋体" w:cs="黑体"/>
          <w:color w:val="000000"/>
          <w:kern w:val="0"/>
          <w:sz w:val="32"/>
          <w:szCs w:val="32"/>
        </w:rPr>
      </w:pPr>
      <w:r>
        <w:rPr>
          <w:rFonts w:hint="eastAsia" w:ascii="宋体" w:hAnsi="宋体" w:cs="黑体"/>
          <w:color w:val="000000"/>
          <w:kern w:val="0"/>
          <w:sz w:val="32"/>
          <w:szCs w:val="32"/>
        </w:rPr>
        <w:t>根据预算绩效管理要求，我部门组织对</w:t>
      </w:r>
      <w:r>
        <w:rPr>
          <w:rFonts w:ascii="宋体" w:hAnsi="宋体" w:cs="黑体"/>
          <w:color w:val="000000"/>
          <w:kern w:val="0"/>
          <w:sz w:val="32"/>
          <w:szCs w:val="32"/>
        </w:rPr>
        <w:t>2021</w:t>
      </w:r>
      <w:r>
        <w:rPr>
          <w:rFonts w:hint="eastAsia" w:ascii="宋体" w:hAnsi="宋体" w:cs="黑体"/>
          <w:color w:val="000000"/>
          <w:kern w:val="0"/>
          <w:sz w:val="32"/>
          <w:szCs w:val="32"/>
        </w:rPr>
        <w:t>年度一般公共预算项目支出全面开展绩效自评，其中，一级项目</w:t>
      </w:r>
      <w:r>
        <w:rPr>
          <w:rFonts w:hint="eastAsia" w:ascii="宋体" w:hAnsi="宋体" w:cs="黑体"/>
          <w:color w:val="000000"/>
          <w:kern w:val="0"/>
          <w:sz w:val="32"/>
          <w:szCs w:val="32"/>
          <w:lang w:val="en-US" w:eastAsia="zh-CN"/>
        </w:rPr>
        <w:t>0</w:t>
      </w:r>
      <w:r>
        <w:rPr>
          <w:rFonts w:hint="eastAsia" w:ascii="宋体" w:hAnsi="宋体" w:cs="黑体"/>
          <w:color w:val="000000"/>
          <w:kern w:val="0"/>
          <w:sz w:val="32"/>
          <w:szCs w:val="32"/>
        </w:rPr>
        <w:t>个，二级项目</w:t>
      </w:r>
      <w:r>
        <w:rPr>
          <w:rFonts w:hint="eastAsia" w:ascii="宋体" w:hAnsi="宋体" w:cs="黑体"/>
          <w:color w:val="000000"/>
          <w:kern w:val="0"/>
          <w:sz w:val="32"/>
          <w:szCs w:val="32"/>
          <w:lang w:val="en-US" w:eastAsia="zh-CN"/>
        </w:rPr>
        <w:t>0</w:t>
      </w:r>
      <w:r>
        <w:rPr>
          <w:rFonts w:hint="eastAsia" w:ascii="宋体" w:hAnsi="宋体" w:cs="黑体"/>
          <w:color w:val="000000"/>
          <w:kern w:val="0"/>
          <w:sz w:val="32"/>
          <w:szCs w:val="32"/>
        </w:rPr>
        <w:t>个，共涉及资金</w:t>
      </w:r>
      <w:r>
        <w:rPr>
          <w:rFonts w:hint="eastAsia" w:ascii="宋体" w:hAnsi="宋体" w:cs="黑体"/>
          <w:color w:val="000000"/>
          <w:kern w:val="0"/>
          <w:sz w:val="32"/>
          <w:szCs w:val="32"/>
          <w:lang w:val="en-US" w:eastAsia="zh-CN"/>
        </w:rPr>
        <w:t>0</w:t>
      </w:r>
      <w:r>
        <w:rPr>
          <w:rFonts w:hint="eastAsia" w:ascii="宋体" w:hAnsi="宋体" w:cs="黑体"/>
          <w:color w:val="000000"/>
          <w:kern w:val="0"/>
          <w:sz w:val="32"/>
          <w:szCs w:val="32"/>
        </w:rPr>
        <w:t>万元，占一般公共预算项目支出总额的</w:t>
      </w:r>
      <w:r>
        <w:rPr>
          <w:rFonts w:hint="eastAsia" w:ascii="宋体" w:hAnsi="宋体" w:cs="黑体"/>
          <w:color w:val="000000"/>
          <w:kern w:val="0"/>
          <w:sz w:val="32"/>
          <w:szCs w:val="32"/>
          <w:lang w:val="en-US" w:eastAsia="zh-CN"/>
        </w:rPr>
        <w:t>0</w:t>
      </w:r>
      <w:r>
        <w:rPr>
          <w:rFonts w:ascii="宋体" w:hAnsi="宋体" w:cs="黑体"/>
          <w:color w:val="000000"/>
          <w:kern w:val="0"/>
          <w:sz w:val="32"/>
          <w:szCs w:val="32"/>
        </w:rPr>
        <w:t>%</w:t>
      </w:r>
      <w:r>
        <w:rPr>
          <w:rFonts w:hint="eastAsia" w:ascii="宋体" w:hAnsi="宋体" w:cs="黑体"/>
          <w:color w:val="000000"/>
          <w:kern w:val="0"/>
          <w:sz w:val="32"/>
          <w:szCs w:val="32"/>
        </w:rPr>
        <w:t>。组织对</w:t>
      </w:r>
      <w:r>
        <w:rPr>
          <w:rFonts w:ascii="宋体" w:hAnsi="宋体" w:cs="黑体"/>
          <w:color w:val="000000"/>
          <w:kern w:val="0"/>
          <w:sz w:val="32"/>
          <w:szCs w:val="32"/>
        </w:rPr>
        <w:t>2021</w:t>
      </w:r>
      <w:r>
        <w:rPr>
          <w:rFonts w:hint="eastAsia" w:ascii="宋体" w:hAnsi="宋体" w:cs="黑体"/>
          <w:color w:val="000000"/>
          <w:kern w:val="0"/>
          <w:sz w:val="32"/>
          <w:szCs w:val="32"/>
        </w:rPr>
        <w:t>年度等</w:t>
      </w:r>
      <w:r>
        <w:rPr>
          <w:rFonts w:hint="eastAsia" w:ascii="宋体" w:hAnsi="宋体" w:cs="黑体"/>
          <w:color w:val="000000"/>
          <w:kern w:val="0"/>
          <w:sz w:val="32"/>
          <w:szCs w:val="32"/>
          <w:lang w:val="en-US" w:eastAsia="zh-CN"/>
        </w:rPr>
        <w:t>0</w:t>
      </w:r>
      <w:r>
        <w:rPr>
          <w:rFonts w:hint="eastAsia" w:ascii="宋体" w:hAnsi="宋体" w:cs="黑体"/>
          <w:color w:val="000000"/>
          <w:kern w:val="0"/>
          <w:sz w:val="32"/>
          <w:szCs w:val="32"/>
        </w:rPr>
        <w:t>个政府性基金预算项目支出开展绩效自评，共涉及资金</w:t>
      </w:r>
      <w:r>
        <w:rPr>
          <w:rFonts w:hint="eastAsia" w:ascii="宋体" w:hAnsi="宋体" w:cs="黑体"/>
          <w:color w:val="000000"/>
          <w:kern w:val="0"/>
          <w:sz w:val="32"/>
          <w:szCs w:val="32"/>
          <w:lang w:val="en-US" w:eastAsia="zh-CN"/>
        </w:rPr>
        <w:t>0</w:t>
      </w:r>
      <w:r>
        <w:rPr>
          <w:rFonts w:hint="eastAsia" w:ascii="宋体" w:hAnsi="宋体" w:cs="黑体"/>
          <w:color w:val="000000"/>
          <w:kern w:val="0"/>
          <w:sz w:val="32"/>
          <w:szCs w:val="32"/>
        </w:rPr>
        <w:t>万元，占政府性基金预算项目支出总额的</w:t>
      </w:r>
      <w:r>
        <w:rPr>
          <w:rFonts w:hint="eastAsia" w:ascii="宋体" w:hAnsi="宋体" w:cs="黑体"/>
          <w:color w:val="000000"/>
          <w:kern w:val="0"/>
          <w:sz w:val="32"/>
          <w:szCs w:val="32"/>
          <w:lang w:val="en-US" w:eastAsia="zh-CN"/>
        </w:rPr>
        <w:t>0</w:t>
      </w:r>
      <w:r>
        <w:rPr>
          <w:rFonts w:ascii="宋体" w:hAnsi="宋体" w:cs="黑体"/>
          <w:color w:val="000000"/>
          <w:kern w:val="0"/>
          <w:sz w:val="32"/>
          <w:szCs w:val="32"/>
        </w:rPr>
        <w:t>%</w:t>
      </w:r>
      <w:r>
        <w:rPr>
          <w:rFonts w:hint="eastAsia" w:ascii="宋体" w:hAnsi="宋体" w:cs="黑体"/>
          <w:color w:val="000000"/>
          <w:kern w:val="0"/>
          <w:sz w:val="32"/>
          <w:szCs w:val="32"/>
        </w:rPr>
        <w:t>。组织对</w:t>
      </w:r>
      <w:r>
        <w:rPr>
          <w:rFonts w:ascii="宋体" w:hAnsi="宋体" w:cs="黑体"/>
          <w:color w:val="000000"/>
          <w:kern w:val="0"/>
          <w:sz w:val="32"/>
          <w:szCs w:val="32"/>
        </w:rPr>
        <w:t>2021</w:t>
      </w:r>
      <w:r>
        <w:rPr>
          <w:rFonts w:hint="eastAsia" w:ascii="宋体" w:hAnsi="宋体" w:cs="黑体"/>
          <w:color w:val="000000"/>
          <w:kern w:val="0"/>
          <w:sz w:val="32"/>
          <w:szCs w:val="32"/>
        </w:rPr>
        <w:t>年度等</w:t>
      </w:r>
      <w:r>
        <w:rPr>
          <w:rFonts w:hint="eastAsia" w:ascii="宋体" w:hAnsi="宋体" w:cs="黑体"/>
          <w:color w:val="000000"/>
          <w:kern w:val="0"/>
          <w:sz w:val="32"/>
          <w:szCs w:val="32"/>
          <w:lang w:val="en-US" w:eastAsia="zh-CN"/>
        </w:rPr>
        <w:t>0</w:t>
      </w:r>
      <w:r>
        <w:rPr>
          <w:rFonts w:hint="eastAsia" w:ascii="宋体" w:hAnsi="宋体" w:cs="黑体"/>
          <w:color w:val="000000"/>
          <w:kern w:val="0"/>
          <w:sz w:val="32"/>
          <w:szCs w:val="32"/>
        </w:rPr>
        <w:t>个国有资本经营预算项目支出开展绩效自评，共涉及资金</w:t>
      </w:r>
      <w:r>
        <w:rPr>
          <w:rFonts w:hint="eastAsia" w:ascii="宋体" w:hAnsi="宋体" w:cs="黑体"/>
          <w:color w:val="000000"/>
          <w:kern w:val="0"/>
          <w:sz w:val="32"/>
          <w:szCs w:val="32"/>
          <w:lang w:val="en-US" w:eastAsia="zh-CN"/>
        </w:rPr>
        <w:t>0</w:t>
      </w:r>
      <w:r>
        <w:rPr>
          <w:rFonts w:hint="eastAsia" w:ascii="宋体" w:hAnsi="宋体" w:cs="黑体"/>
          <w:color w:val="000000"/>
          <w:kern w:val="0"/>
          <w:sz w:val="32"/>
          <w:szCs w:val="32"/>
        </w:rPr>
        <w:t>万元，占国有资本经营预算项目支出总额的</w:t>
      </w:r>
      <w:r>
        <w:rPr>
          <w:rFonts w:hint="eastAsia" w:ascii="宋体" w:hAnsi="宋体" w:cs="黑体"/>
          <w:color w:val="000000"/>
          <w:kern w:val="0"/>
          <w:sz w:val="32"/>
          <w:szCs w:val="32"/>
          <w:lang w:val="en-US" w:eastAsia="zh-CN"/>
        </w:rPr>
        <w:t>0</w:t>
      </w:r>
      <w:r>
        <w:rPr>
          <w:rFonts w:ascii="宋体" w:hAnsi="宋体" w:cs="黑体"/>
          <w:color w:val="000000"/>
          <w:kern w:val="0"/>
          <w:sz w:val="32"/>
          <w:szCs w:val="32"/>
        </w:rPr>
        <w:t>%</w:t>
      </w:r>
      <w:r>
        <w:rPr>
          <w:rFonts w:hint="eastAsia" w:ascii="宋体" w:hAnsi="宋体" w:cs="黑体"/>
          <w:color w:val="000000"/>
          <w:kern w:val="0"/>
          <w:sz w:val="32"/>
          <w:szCs w:val="32"/>
        </w:rPr>
        <w:t>。</w:t>
      </w:r>
    </w:p>
    <w:p>
      <w:pPr>
        <w:autoSpaceDE w:val="0"/>
        <w:autoSpaceDN w:val="0"/>
        <w:adjustRightInd w:val="0"/>
        <w:ind w:firstLine="640" w:firstLineChars="200"/>
        <w:jc w:val="left"/>
        <w:rPr>
          <w:rFonts w:ascii="宋体" w:hAnsi="宋体" w:cs="黑体"/>
          <w:color w:val="000000"/>
          <w:kern w:val="0"/>
          <w:sz w:val="32"/>
          <w:szCs w:val="32"/>
        </w:rPr>
      </w:pPr>
      <w:r>
        <w:rPr>
          <w:rFonts w:hint="eastAsia" w:ascii="宋体" w:hAnsi="宋体" w:cs="黑体"/>
          <w:color w:val="000000"/>
          <w:kern w:val="0"/>
          <w:sz w:val="32"/>
          <w:szCs w:val="32"/>
        </w:rPr>
        <w:t>组织开展整体支出绩效评价，涉及一般公共预算支出</w:t>
      </w:r>
      <w:r>
        <w:rPr>
          <w:rFonts w:hint="eastAsia" w:ascii="宋体" w:hAnsi="宋体" w:cs="黑体"/>
          <w:color w:val="000000"/>
          <w:kern w:val="0"/>
          <w:sz w:val="32"/>
          <w:szCs w:val="32"/>
          <w:lang w:val="en-US" w:eastAsia="zh-CN"/>
        </w:rPr>
        <w:t>194.9</w:t>
      </w:r>
      <w:r>
        <w:rPr>
          <w:rFonts w:hint="eastAsia" w:ascii="宋体" w:hAnsi="宋体" w:cs="黑体"/>
          <w:color w:val="000000"/>
          <w:kern w:val="0"/>
          <w:sz w:val="32"/>
          <w:szCs w:val="32"/>
        </w:rPr>
        <w:t>万元，政府性基金预算支出</w:t>
      </w:r>
      <w:r>
        <w:rPr>
          <w:rFonts w:hint="eastAsia" w:ascii="宋体" w:hAnsi="宋体" w:cs="黑体"/>
          <w:color w:val="000000"/>
          <w:kern w:val="0"/>
          <w:sz w:val="32"/>
          <w:szCs w:val="32"/>
          <w:lang w:val="en-US" w:eastAsia="zh-CN"/>
        </w:rPr>
        <w:t>0</w:t>
      </w:r>
      <w:r>
        <w:rPr>
          <w:rFonts w:hint="eastAsia" w:ascii="宋体" w:hAnsi="宋体" w:cs="黑体"/>
          <w:color w:val="000000"/>
          <w:kern w:val="0"/>
          <w:sz w:val="32"/>
          <w:szCs w:val="32"/>
        </w:rPr>
        <w:t>万元。从评价情况来看，</w:t>
      </w:r>
      <w:r>
        <w:rPr>
          <w:rFonts w:hint="eastAsia" w:ascii="宋体" w:hAnsi="宋体" w:cs="黑体"/>
          <w:color w:val="000000"/>
          <w:kern w:val="0"/>
          <w:sz w:val="32"/>
          <w:szCs w:val="32"/>
          <w:lang w:eastAsia="zh-CN"/>
        </w:rPr>
        <w:t>完成年度工作任务，一般公共预算基本支出中包括人员支出</w:t>
      </w:r>
      <w:r>
        <w:rPr>
          <w:rFonts w:hint="eastAsia" w:ascii="宋体" w:hAnsi="宋体" w:cs="黑体"/>
          <w:color w:val="000000"/>
          <w:kern w:val="0"/>
          <w:sz w:val="32"/>
          <w:szCs w:val="32"/>
          <w:lang w:val="en-US" w:eastAsia="zh-CN"/>
        </w:rPr>
        <w:t>142.34万元，公用支出52.56万元，无项目支出</w:t>
      </w:r>
      <w:r>
        <w:rPr>
          <w:rFonts w:hint="eastAsia" w:ascii="宋体" w:hAnsi="宋体" w:cs="黑体"/>
          <w:color w:val="000000"/>
          <w:kern w:val="0"/>
          <w:sz w:val="32"/>
          <w:szCs w:val="32"/>
        </w:rPr>
        <w:t>。</w:t>
      </w:r>
    </w:p>
    <w:p>
      <w:pPr>
        <w:autoSpaceDE w:val="0"/>
        <w:autoSpaceDN w:val="0"/>
        <w:adjustRightInd w:val="0"/>
        <w:ind w:firstLine="640" w:firstLineChars="200"/>
        <w:jc w:val="left"/>
        <w:rPr>
          <w:rFonts w:ascii="宋体" w:hAnsi="宋体" w:cs="黑体"/>
          <w:b/>
          <w:color w:val="000000"/>
          <w:kern w:val="0"/>
          <w:sz w:val="32"/>
          <w:szCs w:val="32"/>
        </w:rPr>
      </w:pPr>
      <w:r>
        <w:rPr>
          <w:rFonts w:hint="eastAsia" w:ascii="宋体" w:hAnsi="宋体" w:cs="黑体"/>
          <w:b/>
          <w:color w:val="000000"/>
          <w:kern w:val="0"/>
          <w:sz w:val="32"/>
          <w:szCs w:val="32"/>
        </w:rPr>
        <w:t>（2）部门决算中项目绩效自评结果。</w:t>
      </w:r>
    </w:p>
    <w:p>
      <w:pPr>
        <w:autoSpaceDE w:val="0"/>
        <w:autoSpaceDN w:val="0"/>
        <w:adjustRightInd w:val="0"/>
        <w:ind w:firstLine="640" w:firstLineChars="200"/>
        <w:jc w:val="left"/>
        <w:rPr>
          <w:rFonts w:hint="eastAsia" w:ascii="宋体" w:hAnsi="宋体" w:cs="黑体"/>
          <w:color w:val="000000"/>
          <w:kern w:val="0"/>
          <w:sz w:val="32"/>
          <w:szCs w:val="32"/>
        </w:rPr>
      </w:pPr>
      <w:r>
        <w:rPr>
          <w:rFonts w:hint="eastAsia" w:ascii="宋体" w:hAnsi="宋体" w:cs="黑体"/>
          <w:color w:val="000000"/>
          <w:kern w:val="0"/>
          <w:sz w:val="32"/>
          <w:szCs w:val="32"/>
        </w:rPr>
        <w:t>本单位无项目支出，故未</w:t>
      </w:r>
      <w:r>
        <w:rPr>
          <w:rFonts w:hint="eastAsia" w:ascii="宋体" w:hAnsi="宋体" w:cs="黑体"/>
          <w:color w:val="000000"/>
          <w:kern w:val="0"/>
          <w:sz w:val="32"/>
          <w:szCs w:val="32"/>
          <w:lang w:eastAsia="zh-CN"/>
        </w:rPr>
        <w:t>开</w:t>
      </w:r>
      <w:r>
        <w:rPr>
          <w:rFonts w:hint="eastAsia" w:ascii="宋体" w:hAnsi="宋体" w:cs="黑体"/>
          <w:color w:val="000000"/>
          <w:kern w:val="0"/>
          <w:sz w:val="32"/>
          <w:szCs w:val="32"/>
        </w:rPr>
        <w:t>展项目自评，无自评结果。</w:t>
      </w:r>
    </w:p>
    <w:p>
      <w:pPr>
        <w:autoSpaceDE w:val="0"/>
        <w:autoSpaceDN w:val="0"/>
        <w:adjustRightInd w:val="0"/>
        <w:ind w:firstLine="640" w:firstLineChars="200"/>
        <w:jc w:val="left"/>
        <w:rPr>
          <w:rFonts w:ascii="宋体" w:hAnsi="宋体" w:cs="黑体"/>
          <w:color w:val="000000"/>
          <w:kern w:val="0"/>
          <w:sz w:val="32"/>
          <w:szCs w:val="32"/>
        </w:rPr>
      </w:pPr>
      <w:r>
        <w:rPr>
          <w:rFonts w:hint="eastAsia" w:ascii="宋体" w:hAnsi="宋体" w:cs="黑体"/>
          <w:b/>
          <w:color w:val="000000"/>
          <w:kern w:val="0"/>
          <w:sz w:val="32"/>
          <w:szCs w:val="32"/>
        </w:rPr>
        <w:t>（</w:t>
      </w:r>
      <w:r>
        <w:rPr>
          <w:rFonts w:ascii="宋体" w:hAnsi="宋体" w:cs="黑体"/>
          <w:b/>
          <w:color w:val="000000"/>
          <w:kern w:val="0"/>
          <w:sz w:val="32"/>
          <w:szCs w:val="32"/>
        </w:rPr>
        <w:t>3</w:t>
      </w:r>
      <w:r>
        <w:rPr>
          <w:rFonts w:hint="eastAsia" w:ascii="宋体" w:hAnsi="宋体" w:cs="黑体"/>
          <w:b/>
          <w:color w:val="000000"/>
          <w:kern w:val="0"/>
          <w:sz w:val="32"/>
          <w:szCs w:val="32"/>
        </w:rPr>
        <w:t>）部门评价项目绩效评价结果。</w:t>
      </w:r>
    </w:p>
    <w:p>
      <w:pPr>
        <w:autoSpaceDE w:val="0"/>
        <w:autoSpaceDN w:val="0"/>
        <w:adjustRightInd w:val="0"/>
        <w:ind w:firstLine="640" w:firstLineChars="200"/>
        <w:jc w:val="left"/>
        <w:rPr>
          <w:rFonts w:hint="eastAsia" w:ascii="宋体" w:hAnsi="宋体" w:cs="黑体"/>
          <w:color w:val="000000"/>
          <w:kern w:val="0"/>
          <w:sz w:val="32"/>
          <w:szCs w:val="32"/>
        </w:rPr>
      </w:pPr>
      <w:r>
        <w:rPr>
          <w:rFonts w:hint="eastAsia" w:ascii="宋体" w:hAnsi="宋体" w:cs="黑体"/>
          <w:color w:val="000000"/>
          <w:kern w:val="0"/>
          <w:sz w:val="32"/>
          <w:szCs w:val="32"/>
        </w:rPr>
        <w:t>本单位无项目支出，故未</w:t>
      </w:r>
      <w:r>
        <w:rPr>
          <w:rFonts w:hint="eastAsia" w:ascii="宋体" w:hAnsi="宋体" w:cs="黑体"/>
          <w:color w:val="000000"/>
          <w:kern w:val="0"/>
          <w:sz w:val="32"/>
          <w:szCs w:val="32"/>
          <w:lang w:eastAsia="zh-CN"/>
        </w:rPr>
        <w:t>开</w:t>
      </w:r>
      <w:r>
        <w:rPr>
          <w:rFonts w:hint="eastAsia" w:ascii="宋体" w:hAnsi="宋体" w:cs="黑体"/>
          <w:color w:val="000000"/>
          <w:kern w:val="0"/>
          <w:sz w:val="32"/>
          <w:szCs w:val="32"/>
        </w:rPr>
        <w:t>展项目自评，无自评结果。</w:t>
      </w:r>
    </w:p>
    <w:p>
      <w:pPr>
        <w:ind w:firstLine="640" w:firstLineChars="200"/>
        <w:rPr>
          <w:sz w:val="32"/>
          <w:szCs w:val="32"/>
        </w:rPr>
      </w:pPr>
      <w:r>
        <w:rPr>
          <w:rFonts w:hint="eastAsia"/>
          <w:sz w:val="32"/>
          <w:szCs w:val="32"/>
        </w:rPr>
        <w:t>预算绩效管理开展情况、绩效目标和绩效评价报告等，一并作为附件公开。</w:t>
      </w:r>
    </w:p>
    <w:p>
      <w:pPr>
        <w:pStyle w:val="12"/>
        <w:rPr>
          <w:sz w:val="72"/>
          <w:szCs w:val="72"/>
        </w:rPr>
      </w:pPr>
      <w:bookmarkStart w:id="0" w:name="_GoBack"/>
      <w:bookmarkEnd w:id="0"/>
    </w:p>
    <w:p>
      <w:pPr>
        <w:pStyle w:val="12"/>
        <w:rPr>
          <w:sz w:val="72"/>
          <w:szCs w:val="72"/>
        </w:rPr>
      </w:pPr>
    </w:p>
    <w:p>
      <w:pPr>
        <w:pStyle w:val="12"/>
        <w:rPr>
          <w:sz w:val="72"/>
          <w:szCs w:val="72"/>
        </w:rPr>
      </w:pPr>
    </w:p>
    <w:p>
      <w:pPr>
        <w:pStyle w:val="12"/>
        <w:rPr>
          <w:sz w:val="72"/>
          <w:szCs w:val="72"/>
        </w:rPr>
      </w:pPr>
    </w:p>
    <w:p>
      <w:pPr>
        <w:pStyle w:val="12"/>
        <w:jc w:val="both"/>
        <w:rPr>
          <w:sz w:val="72"/>
          <w:szCs w:val="72"/>
        </w:rPr>
      </w:pPr>
    </w:p>
    <w:p>
      <w:pPr>
        <w:pStyle w:val="12"/>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cs="黑体" w:asciiTheme="minorEastAsia" w:hAnsiTheme="minorEastAsia"/>
          <w:color w:val="000000"/>
          <w:kern w:val="0"/>
          <w:sz w:val="32"/>
          <w:szCs w:val="32"/>
        </w:rPr>
      </w:pPr>
      <w:r>
        <w:rPr>
          <w:rFonts w:ascii="黑体" w:eastAsia="黑体" w:cs="黑体"/>
          <w:color w:val="000000"/>
          <w:kern w:val="0"/>
          <w:sz w:val="70"/>
          <w:szCs w:val="70"/>
        </w:rPr>
        <w:br w:type="page"/>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二、机关运行经费</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left"/>
        <w:rPr>
          <w:rFonts w:hint="eastAsia" w:cs="黑体" w:asciiTheme="minorEastAsia" w:hAnsiTheme="minorEastAsia" w:eastAsiaTheme="minorEastAsia"/>
          <w:b/>
          <w:bCs w:val="0"/>
          <w:color w:val="000000"/>
          <w:kern w:val="0"/>
          <w:sz w:val="32"/>
          <w:szCs w:val="32"/>
          <w:lang w:val="en-US" w:eastAsia="zh-CN"/>
        </w:rPr>
      </w:pPr>
      <w:r>
        <w:rPr>
          <w:rFonts w:hint="eastAsia" w:cs="黑体" w:asciiTheme="minorEastAsia" w:hAnsiTheme="minorEastAsia"/>
          <w:b/>
          <w:bCs w:val="0"/>
          <w:color w:val="000000"/>
          <w:kern w:val="0"/>
          <w:sz w:val="32"/>
          <w:szCs w:val="32"/>
          <w:lang w:val="en-US" w:eastAsia="zh-CN"/>
        </w:rPr>
        <w:t>1、2021年部门决算公开表格</w:t>
      </w:r>
    </w:p>
    <w:p>
      <w:pPr>
        <w:ind w:firstLine="640" w:firstLineChars="200"/>
        <w:jc w:val="left"/>
        <w:rPr>
          <w:rFonts w:hint="eastAsia" w:cs="黑体" w:asciiTheme="minorEastAsia" w:hAnsiTheme="minorEastAsia" w:eastAsiaTheme="minorEastAsia"/>
          <w:b/>
          <w:bCs w:val="0"/>
          <w:color w:val="000000"/>
          <w:kern w:val="0"/>
          <w:sz w:val="32"/>
          <w:szCs w:val="32"/>
          <w:lang w:eastAsia="zh-CN"/>
        </w:rPr>
      </w:pPr>
      <w:r>
        <w:rPr>
          <w:rFonts w:hint="eastAsia" w:cs="黑体" w:asciiTheme="minorEastAsia" w:hAnsiTheme="minorEastAsia"/>
          <w:b/>
          <w:bCs w:val="0"/>
          <w:color w:val="000000"/>
          <w:kern w:val="0"/>
          <w:sz w:val="32"/>
          <w:szCs w:val="32"/>
          <w:lang w:val="en-US" w:eastAsia="zh-CN"/>
        </w:rPr>
        <w:t>2、</w:t>
      </w:r>
      <w:r>
        <w:rPr>
          <w:rFonts w:hint="eastAsia" w:cs="黑体" w:asciiTheme="minorEastAsia" w:hAnsiTheme="minorEastAsia"/>
          <w:b/>
          <w:bCs w:val="0"/>
          <w:color w:val="000000"/>
          <w:kern w:val="0"/>
          <w:sz w:val="32"/>
          <w:szCs w:val="32"/>
        </w:rPr>
        <w:t>部门整体支出绩效</w:t>
      </w:r>
      <w:r>
        <w:rPr>
          <w:rFonts w:hint="eastAsia" w:cs="黑体" w:asciiTheme="minorEastAsia" w:hAnsiTheme="minorEastAsia"/>
          <w:b/>
          <w:bCs w:val="0"/>
          <w:color w:val="000000"/>
          <w:kern w:val="0"/>
          <w:sz w:val="32"/>
          <w:szCs w:val="32"/>
          <w:lang w:eastAsia="zh-CN"/>
        </w:rPr>
        <w:t>情况</w:t>
      </w:r>
    </w:p>
    <w:p>
      <w:pPr>
        <w:ind w:firstLine="640" w:firstLineChars="200"/>
        <w:jc w:val="left"/>
        <w:rPr>
          <w:rFonts w:cs="黑体" w:asciiTheme="minorEastAsia" w:hAnsiTheme="minorEastAsia"/>
          <w:color w:val="000000"/>
          <w:kern w:val="0"/>
          <w:sz w:val="32"/>
          <w:szCs w:val="32"/>
        </w:rPr>
        <w:sectPr>
          <w:pgSz w:w="11906" w:h="16838"/>
          <w:pgMar w:top="720" w:right="720" w:bottom="720" w:left="720" w:header="851" w:footer="992" w:gutter="0"/>
          <w:cols w:space="425" w:num="1"/>
          <w:docGrid w:type="linesAndChars" w:linePitch="312" w:charSpace="0"/>
        </w:sectPr>
      </w:pPr>
    </w:p>
    <w:p>
      <w:pPr>
        <w:spacing w:line="800" w:lineRule="exact"/>
        <w:jc w:val="center"/>
        <w:rPr>
          <w:rFonts w:hint="eastAsia" w:eastAsia="方正小标宋简体"/>
          <w:bCs/>
          <w:sz w:val="46"/>
          <w:szCs w:val="46"/>
        </w:rPr>
      </w:pPr>
      <w:r>
        <w:rPr>
          <w:rFonts w:hint="eastAsia" w:eastAsia="方正小标宋简体"/>
          <w:bCs/>
          <w:sz w:val="46"/>
          <w:szCs w:val="46"/>
        </w:rPr>
        <w:t>岳阳市</w:t>
      </w:r>
      <w:r>
        <w:rPr>
          <w:rFonts w:hint="eastAsia" w:eastAsia="方正小标宋简体"/>
          <w:bCs/>
          <w:sz w:val="46"/>
          <w:szCs w:val="46"/>
          <w:u w:val="single"/>
        </w:rPr>
        <w:t>20</w:t>
      </w:r>
      <w:r>
        <w:rPr>
          <w:rFonts w:hint="eastAsia" w:eastAsia="方正小标宋简体"/>
          <w:bCs/>
          <w:sz w:val="46"/>
          <w:szCs w:val="46"/>
          <w:u w:val="single"/>
          <w:lang w:val="en-US" w:eastAsia="zh-CN"/>
        </w:rPr>
        <w:t>21</w:t>
      </w:r>
      <w:r>
        <w:rPr>
          <w:rFonts w:hint="eastAsia" w:eastAsia="方正小标宋简体"/>
          <w:bCs/>
          <w:sz w:val="46"/>
          <w:szCs w:val="46"/>
        </w:rPr>
        <w:t>年度</w:t>
      </w:r>
      <w:r>
        <w:rPr>
          <w:rFonts w:hint="eastAsia" w:eastAsia="方正小标宋简体"/>
          <w:bCs/>
          <w:sz w:val="46"/>
          <w:szCs w:val="46"/>
          <w:lang w:eastAsia="zh-CN"/>
        </w:rPr>
        <w:t>单位</w:t>
      </w:r>
      <w:r>
        <w:rPr>
          <w:rFonts w:hint="eastAsia" w:eastAsia="方正小标宋简体"/>
          <w:bCs/>
          <w:sz w:val="46"/>
          <w:szCs w:val="46"/>
        </w:rPr>
        <w:t>整体支出</w:t>
      </w:r>
    </w:p>
    <w:p>
      <w:pPr>
        <w:spacing w:line="800" w:lineRule="exact"/>
        <w:jc w:val="center"/>
        <w:rPr>
          <w:rFonts w:hint="eastAsia" w:eastAsia="方正小标宋简体"/>
          <w:bCs/>
          <w:sz w:val="46"/>
          <w:szCs w:val="46"/>
          <w:lang w:eastAsia="zh-CN"/>
        </w:rPr>
      </w:pPr>
      <w:r>
        <w:rPr>
          <w:rFonts w:hint="eastAsia" w:eastAsia="方正小标宋简体"/>
          <w:bCs/>
          <w:sz w:val="46"/>
          <w:szCs w:val="46"/>
        </w:rPr>
        <w:t>绩效</w:t>
      </w:r>
      <w:r>
        <w:rPr>
          <w:rFonts w:hint="eastAsia" w:eastAsia="方正小标宋简体"/>
          <w:bCs/>
          <w:sz w:val="46"/>
          <w:szCs w:val="46"/>
          <w:lang w:eastAsia="zh-CN"/>
        </w:rPr>
        <w:t>情况表</w:t>
      </w:r>
    </w:p>
    <w:tbl>
      <w:tblPr>
        <w:tblStyle w:val="8"/>
        <w:tblW w:w="939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1654"/>
        <w:gridCol w:w="46"/>
        <w:gridCol w:w="1410"/>
        <w:gridCol w:w="9"/>
        <w:gridCol w:w="83"/>
        <w:gridCol w:w="421"/>
        <w:gridCol w:w="742"/>
        <w:gridCol w:w="155"/>
        <w:gridCol w:w="230"/>
        <w:gridCol w:w="465"/>
        <w:gridCol w:w="331"/>
        <w:gridCol w:w="384"/>
        <w:gridCol w:w="368"/>
        <w:gridCol w:w="733"/>
        <w:gridCol w:w="312"/>
        <w:gridCol w:w="126"/>
        <w:gridCol w:w="377"/>
        <w:gridCol w:w="558"/>
        <w:gridCol w:w="9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394" w:type="dxa"/>
            <w:gridSpan w:val="19"/>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一、单位基本概况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人员编制</w:t>
            </w:r>
          </w:p>
        </w:tc>
        <w:tc>
          <w:tcPr>
            <w:tcW w:w="3561" w:type="dxa"/>
            <w:gridSpan w:val="9"/>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10</w:t>
            </w:r>
          </w:p>
        </w:tc>
        <w:tc>
          <w:tcPr>
            <w:tcW w:w="715"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实有人数</w:t>
            </w:r>
          </w:p>
        </w:tc>
        <w:tc>
          <w:tcPr>
            <w:tcW w:w="3464"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645" w:hRule="atLeast"/>
          <w:jc w:val="center"/>
        </w:trPr>
        <w:tc>
          <w:tcPr>
            <w:tcW w:w="1654"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职能职责概述</w:t>
            </w:r>
          </w:p>
        </w:tc>
        <w:tc>
          <w:tcPr>
            <w:tcW w:w="7740" w:type="dxa"/>
            <w:gridSpan w:val="18"/>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lang w:val="en-US" w:eastAsia="zh-CN"/>
              </w:rPr>
              <w:t>1</w:t>
            </w:r>
            <w:r>
              <w:rPr>
                <w:rFonts w:hint="eastAsia" w:ascii="仿宋_GB2312" w:hAnsi="仿宋_GB2312" w:eastAsia="仿宋_GB2312" w:cs="仿宋_GB2312"/>
                <w:sz w:val="24"/>
                <w:szCs w:val="24"/>
                <w:lang w:val="en-US" w:eastAsia="zh-CN"/>
              </w:rPr>
              <w:t>.负责贯彻执行发展新型墙体材料、散装水泥的法律法规和政策规定；2.负责草拟和执行全市墙体材料革新、建筑节能和推广以及散装水泥、预拌混凝土、预拌砂浆发展的总体规划好年度计划；3.负责推广新型墙体材料和发展绿色墙体材料，制定实施全市“限粘”和县城“禁实”工作方案，组织编制利用废渣生产新型墙体材料的计划，参与使用新型墙体材料的建筑工程竣工验收；4.负责预拌混凝土企业资质申报、升级、增项、年审等情况的受理、核实、报批，指导协调全市散装水泥、预拌混凝土、预拌砂浆的生产、运输、使用以及新建、扩建预拌混凝土和预拌砂浆项目工作，监督检查预拌混凝土及预拌砂浆生产质量，组织实施禁止市区现场搅拌混凝土和现场搅拌砂浆具体工作；5.指导各县市区墙体材料改革与散装水泥服务工作；6.完成市住建局交办的其它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221" w:hRule="atLeast"/>
          <w:jc w:val="center"/>
        </w:trPr>
        <w:tc>
          <w:tcPr>
            <w:tcW w:w="1654"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年度主要</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工作内容</w:t>
            </w:r>
          </w:p>
        </w:tc>
        <w:tc>
          <w:tcPr>
            <w:tcW w:w="7740" w:type="dxa"/>
            <w:gridSpan w:val="18"/>
            <w:noWrap w:val="0"/>
            <w:vAlign w:val="center"/>
          </w:tcPr>
          <w:p>
            <w:pPr>
              <w:autoSpaceDN w:val="0"/>
              <w:spacing w:line="320" w:lineRule="exact"/>
              <w:jc w:val="left"/>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4"/>
              </w:rPr>
              <w:t>任务1：</w:t>
            </w:r>
            <w:r>
              <w:rPr>
                <w:rFonts w:hint="eastAsia" w:ascii="仿宋_GB2312" w:hAnsi="仿宋_GB2312" w:eastAsia="仿宋_GB2312" w:cs="仿宋_GB2312"/>
                <w:b w:val="0"/>
                <w:bCs w:val="0"/>
                <w:sz w:val="24"/>
                <w:szCs w:val="24"/>
              </w:rPr>
              <w:t>大力</w:t>
            </w:r>
            <w:r>
              <w:rPr>
                <w:rFonts w:hint="eastAsia" w:ascii="仿宋_GB2312" w:hAnsi="仿宋_GB2312" w:eastAsia="仿宋_GB2312" w:cs="仿宋_GB2312"/>
                <w:b w:val="0"/>
                <w:bCs w:val="0"/>
                <w:sz w:val="24"/>
                <w:szCs w:val="24"/>
                <w:lang w:eastAsia="zh-CN"/>
              </w:rPr>
              <w:t>发展绿色</w:t>
            </w:r>
            <w:r>
              <w:rPr>
                <w:rFonts w:hint="eastAsia" w:ascii="仿宋_GB2312" w:hAnsi="仿宋_GB2312" w:eastAsia="仿宋_GB2312" w:cs="仿宋_GB2312"/>
                <w:b w:val="0"/>
                <w:bCs w:val="0"/>
                <w:sz w:val="24"/>
                <w:szCs w:val="24"/>
                <w:lang w:val="en-US" w:eastAsia="zh-CN"/>
              </w:rPr>
              <w:t>新型建材</w:t>
            </w: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任务2：</w:t>
            </w:r>
            <w:r>
              <w:rPr>
                <w:rFonts w:hint="eastAsia" w:ascii="仿宋_GB2312" w:hAnsi="仿宋_GB2312" w:eastAsia="仿宋_GB2312" w:cs="仿宋_GB2312"/>
                <w:sz w:val="24"/>
                <w:szCs w:val="24"/>
              </w:rPr>
              <w:t>加大产品质量监管力度</w:t>
            </w: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任务3：</w:t>
            </w:r>
            <w:r>
              <w:rPr>
                <w:rFonts w:hint="eastAsia" w:ascii="仿宋_GB2312" w:hAnsi="仿宋_GB2312" w:eastAsia="仿宋_GB2312" w:cs="仿宋_GB2312"/>
                <w:bCs/>
                <w:sz w:val="24"/>
                <w:szCs w:val="24"/>
              </w:rPr>
              <w:t>继</w:t>
            </w:r>
            <w:r>
              <w:rPr>
                <w:rFonts w:hint="eastAsia" w:ascii="仿宋_GB2312" w:hAnsi="仿宋_GB2312" w:eastAsia="仿宋_GB2312" w:cs="仿宋_GB2312"/>
                <w:kern w:val="0"/>
                <w:sz w:val="24"/>
                <w:szCs w:val="24"/>
                <w:lang w:val="zh-CN"/>
              </w:rPr>
              <w:t>续加大</w:t>
            </w:r>
            <w:r>
              <w:rPr>
                <w:rFonts w:hint="eastAsia" w:ascii="仿宋_GB2312" w:hAnsi="仿宋_GB2312" w:eastAsia="仿宋_GB2312" w:cs="仿宋_GB2312"/>
                <w:b/>
                <w:sz w:val="24"/>
                <w:szCs w:val="24"/>
              </w:rPr>
              <w:t>“禁现”</w:t>
            </w:r>
            <w:r>
              <w:rPr>
                <w:rFonts w:hint="eastAsia" w:ascii="仿宋_GB2312" w:hAnsi="仿宋_GB2312" w:eastAsia="仿宋_GB2312" w:cs="仿宋_GB2312"/>
                <w:kern w:val="0"/>
                <w:sz w:val="24"/>
                <w:szCs w:val="24"/>
                <w:lang w:val="zh-CN"/>
              </w:rPr>
              <w:t>力度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831" w:hRule="atLeast"/>
          <w:jc w:val="center"/>
        </w:trPr>
        <w:tc>
          <w:tcPr>
            <w:tcW w:w="1654" w:type="dxa"/>
            <w:noWrap w:val="0"/>
            <w:vAlign w:val="center"/>
          </w:tcPr>
          <w:p>
            <w:pPr>
              <w:autoSpaceDN w:val="0"/>
              <w:spacing w:line="320" w:lineRule="exact"/>
              <w:jc w:val="center"/>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总体运行情况及取得的成绩</w:t>
            </w:r>
          </w:p>
        </w:tc>
        <w:tc>
          <w:tcPr>
            <w:tcW w:w="7740" w:type="dxa"/>
            <w:gridSpan w:val="18"/>
            <w:noWrap w:val="0"/>
            <w:vAlign w:val="center"/>
          </w:tcPr>
          <w:p>
            <w:pPr>
              <w:pStyle w:val="3"/>
              <w:rPr>
                <w:rFonts w:hint="eastAsia" w:ascii="仿宋_GB2312" w:hAnsi="仿宋_GB2312" w:eastAsia="仿宋_GB2312" w:cs="仿宋_GB2312"/>
                <w:color w:val="000000"/>
                <w:sz w:val="24"/>
              </w:rPr>
            </w:pPr>
            <w:r>
              <w:rPr>
                <w:rStyle w:val="17"/>
                <w:rFonts w:hint="eastAsia" w:ascii="仿宋_GB2312" w:hAnsi="仿宋_GB2312" w:eastAsia="仿宋_GB2312" w:cs="仿宋_GB2312"/>
                <w:bCs/>
                <w:sz w:val="24"/>
                <w:szCs w:val="24"/>
                <w:lang w:val="en-US" w:eastAsia="zh-CN"/>
              </w:rPr>
              <w:t>1.</w:t>
            </w:r>
            <w:r>
              <w:rPr>
                <w:rFonts w:hint="eastAsia" w:ascii="仿宋_GB2312" w:eastAsia="仿宋_GB2312"/>
                <w:sz w:val="24"/>
                <w:szCs w:val="24"/>
              </w:rPr>
              <w:t>全市新增新墙材企业2家（在建），新增获得《湖南省新型墙体材料认定证书》新墙材企业5家，认定企业总数达到了34家；预计至12月底，全市新型墙体材料产品产量15.58亿标砖（折标），新墙材使用率达86%</w:t>
            </w:r>
            <w:r>
              <w:rPr>
                <w:rFonts w:hint="eastAsia" w:ascii="仿宋_GB2312" w:hAnsi="仿宋_GB2312" w:eastAsia="仿宋_GB2312" w:cs="仿宋_GB2312"/>
                <w:sz w:val="24"/>
                <w:szCs w:val="24"/>
              </w:rPr>
              <w:t>。</w:t>
            </w:r>
            <w:r>
              <w:rPr>
                <w:rStyle w:val="17"/>
                <w:rFonts w:hint="eastAsia" w:ascii="仿宋_GB2312" w:hAnsi="仿宋_GB2312" w:eastAsia="仿宋_GB2312" w:cs="仿宋_GB2312"/>
                <w:b/>
                <w:sz w:val="24"/>
                <w:szCs w:val="24"/>
                <w:lang w:val="en-US" w:eastAsia="zh-CN"/>
              </w:rPr>
              <w:t>2.</w:t>
            </w:r>
            <w:r>
              <w:rPr>
                <w:rFonts w:hint="eastAsia" w:ascii="仿宋_GB2312" w:eastAsia="仿宋_GB2312"/>
                <w:sz w:val="24"/>
                <w:szCs w:val="24"/>
              </w:rPr>
              <w:t>我市新投产预拌砂浆生产企业3家，生产企业总数达到12家，全市共有建设承包资质的商品混凝土生产企业45家90条生产线。1-11月，全市全年共生产预拌砂浆约为89.215万吨（散装76.222万吨、包装11.375万吨、特种砂浆1.619万吨），其中市中心城区用量为：41.385万吨；商品混凝土生产量为约586.66万立米；全市水泥产供应量为806.98  散装水泥供应量为504.60万吨、散装率为62.53%。</w:t>
            </w:r>
            <w:r>
              <w:rPr>
                <w:rFonts w:hint="eastAsia" w:ascii="仿宋_GB2312" w:eastAsia="仿宋_GB2312"/>
                <w:sz w:val="24"/>
                <w:szCs w:val="24"/>
                <w:lang w:val="en-US" w:eastAsia="zh-CN"/>
              </w:rPr>
              <w:t>3.</w:t>
            </w:r>
            <w:r>
              <w:rPr>
                <w:rFonts w:hint="eastAsia" w:ascii="仿宋_GB2312" w:eastAsia="仿宋_GB2312"/>
                <w:sz w:val="24"/>
                <w:szCs w:val="24"/>
              </w:rPr>
              <w:t>围绕装配式建筑、绿色建筑、建筑节能产业链，积极培育绿色建材，鼓励企业申报绿色建材星级标识评价，全年新增二星级绿色建材标识认证企业3家，至目前为止，全市获得</w:t>
            </w:r>
            <w:r>
              <w:rPr>
                <w:rFonts w:hint="eastAsia" w:ascii="仿宋_GB2312" w:hAnsi="仿宋_GB2312" w:eastAsia="仿宋_GB2312" w:cs="仿宋_GB2312"/>
                <w:sz w:val="24"/>
                <w:szCs w:val="24"/>
              </w:rPr>
              <w:t>星级标识认证产品</w:t>
            </w:r>
            <w:r>
              <w:rPr>
                <w:rFonts w:hint="eastAsia" w:ascii="仿宋_GB2312" w:eastAsia="仿宋_GB2312"/>
                <w:sz w:val="24"/>
                <w:szCs w:val="24"/>
              </w:rPr>
              <w:t>(新型墙材、预拌混凝土、预拌砂浆)已</w:t>
            </w:r>
            <w:r>
              <w:rPr>
                <w:rFonts w:hint="eastAsia" w:ascii="仿宋_GB2312" w:hAnsi="仿宋_GB2312" w:eastAsia="仿宋_GB2312" w:cs="仿宋_GB2312"/>
                <w:sz w:val="24"/>
                <w:szCs w:val="24"/>
              </w:rPr>
              <w:t>达到23个</w:t>
            </w:r>
            <w:r>
              <w:rPr>
                <w:rFonts w:hint="eastAsia" w:ascii="仿宋_GB2312" w:hAnsi="仿宋_GB2312" w:eastAsia="仿宋_GB2312" w:cs="仿宋_GB2312"/>
                <w:sz w:val="24"/>
                <w:szCs w:val="24"/>
                <w:lang w:eastAsia="zh-CN"/>
              </w:rPr>
              <w:t>。</w:t>
            </w:r>
            <w:r>
              <w:rPr>
                <w:rStyle w:val="17"/>
                <w:rFonts w:hint="eastAsia" w:ascii="华文楷体" w:hAnsi="华文楷体" w:eastAsia="华文楷体" w:cs="华文楷体"/>
                <w:b/>
                <w:sz w:val="24"/>
                <w:szCs w:val="24"/>
                <w:lang w:val="en-US" w:eastAsia="zh-CN"/>
              </w:rPr>
              <w:t>4.</w:t>
            </w:r>
            <w:r>
              <w:rPr>
                <w:rFonts w:hint="eastAsia" w:ascii="仿宋_GB2312" w:hAnsi="仿宋_GB2312" w:eastAsia="仿宋_GB2312" w:cs="仿宋_GB2312"/>
                <w:kern w:val="0"/>
                <w:sz w:val="24"/>
                <w:szCs w:val="24"/>
                <w:lang w:val="zh-CN"/>
              </w:rPr>
              <w:t>我中心执法人员对全市建设工程的“禁现”情况进行了日常执法检查，</w:t>
            </w:r>
            <w:r>
              <w:rPr>
                <w:rFonts w:hint="eastAsia" w:ascii="仿宋_GB2312" w:hAnsi="仿宋_GB2312" w:eastAsia="仿宋_GB2312" w:cs="仿宋_GB2312"/>
                <w:sz w:val="24"/>
                <w:szCs w:val="24"/>
              </w:rPr>
              <w:t>到工地执法巡查100余次，下达整改通知书28份，下达停工通知8份，约谈施工企业8个（次），现场拆除砂浆搅拌机26台，下达不良行为记录告知书3个，现场搅拌砂浆违法行为得到了有效遏制。</w:t>
            </w:r>
            <w:r>
              <w:rPr>
                <w:rFonts w:hint="eastAsia" w:ascii="仿宋_GB2312" w:hAnsi="仿宋_GB2312" w:eastAsia="仿宋_GB2312" w:cs="仿宋_GB2312"/>
                <w:kern w:val="0"/>
                <w:sz w:val="24"/>
                <w:szCs w:val="24"/>
                <w:lang w:val="zh-CN"/>
              </w:rPr>
              <w:t>把“禁现”工作到</w:t>
            </w:r>
            <w:r>
              <w:rPr>
                <w:rFonts w:hint="eastAsia" w:ascii="仿宋_GB2312" w:hAnsi="仿宋_GB2312" w:eastAsia="仿宋_GB2312" w:cs="仿宋_GB2312"/>
                <w:kern w:val="0"/>
                <w:sz w:val="24"/>
                <w:szCs w:val="24"/>
              </w:rPr>
              <w:t>延伸</w:t>
            </w:r>
            <w:r>
              <w:rPr>
                <w:rFonts w:hint="eastAsia" w:ascii="仿宋_GB2312" w:hAnsi="仿宋_GB2312" w:eastAsia="仿宋_GB2312" w:cs="仿宋_GB2312"/>
                <w:kern w:val="0"/>
                <w:sz w:val="24"/>
                <w:szCs w:val="24"/>
                <w:lang w:val="zh-CN"/>
              </w:rPr>
              <w:t>向全市各县市区，</w:t>
            </w:r>
            <w:r>
              <w:rPr>
                <w:rFonts w:hint="eastAsia" w:ascii="仿宋_GB2312" w:hAnsi="仿宋_GB2312" w:eastAsia="仿宋_GB2312" w:cs="仿宋_GB2312"/>
                <w:kern w:val="0"/>
                <w:sz w:val="24"/>
                <w:szCs w:val="24"/>
              </w:rPr>
              <w:t>目前，除岳阳县、汩罗市外，其他</w:t>
            </w:r>
            <w:r>
              <w:rPr>
                <w:rFonts w:hint="eastAsia" w:ascii="仿宋_GB2312" w:hAnsi="仿宋_GB2312" w:eastAsia="仿宋_GB2312" w:cs="仿宋_GB2312"/>
                <w:kern w:val="0"/>
                <w:sz w:val="24"/>
                <w:szCs w:val="24"/>
                <w:lang w:val="zh-CN"/>
              </w:rPr>
              <w:t>向各县市区</w:t>
            </w:r>
            <w:r>
              <w:rPr>
                <w:rFonts w:hint="eastAsia" w:ascii="仿宋_GB2312" w:hAnsi="仿宋_GB2312" w:eastAsia="仿宋_GB2312" w:cs="仿宋_GB2312"/>
                <w:kern w:val="0"/>
                <w:sz w:val="24"/>
                <w:szCs w:val="24"/>
              </w:rPr>
              <w:t>均出台了政策文件</w:t>
            </w:r>
            <w:r>
              <w:rPr>
                <w:rFonts w:hint="eastAsia" w:ascii="仿宋_GB2312" w:hAnsi="仿宋_GB2312" w:eastAsia="仿宋_GB2312" w:cs="仿宋_GB2312"/>
                <w:kern w:val="0"/>
                <w:sz w:val="24"/>
                <w:szCs w:val="24"/>
                <w:lang w:val="zh-CN"/>
              </w:rPr>
              <w:t>，</w:t>
            </w:r>
            <w:r>
              <w:rPr>
                <w:rFonts w:hint="eastAsia" w:ascii="仿宋_GB2312" w:hAnsi="仿宋_GB2312" w:eastAsia="仿宋_GB2312" w:cs="仿宋_GB2312"/>
                <w:kern w:val="0"/>
                <w:sz w:val="24"/>
                <w:szCs w:val="24"/>
              </w:rPr>
              <w:t>正在积极有序</w:t>
            </w:r>
            <w:r>
              <w:rPr>
                <w:rFonts w:hint="eastAsia" w:ascii="仿宋_GB2312" w:hAnsi="仿宋_GB2312" w:eastAsia="仿宋_GB2312" w:cs="仿宋_GB2312"/>
                <w:kern w:val="0"/>
                <w:sz w:val="24"/>
                <w:szCs w:val="24"/>
                <w:lang w:val="zh-CN"/>
              </w:rPr>
              <w:t>推进。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394" w:type="dxa"/>
            <w:gridSpan w:val="19"/>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二、部门（单位）收支情况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394" w:type="dxa"/>
            <w:gridSpan w:val="19"/>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b/>
                <w:bCs/>
                <w:color w:val="000000"/>
                <w:sz w:val="24"/>
              </w:rPr>
              <w:t>年度收入情况（万元）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vMerge w:val="restart"/>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收入合计</w:t>
            </w:r>
          </w:p>
        </w:tc>
        <w:tc>
          <w:tcPr>
            <w:tcW w:w="7740" w:type="dxa"/>
            <w:gridSpan w:val="18"/>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14" w:hRule="atLeast"/>
          <w:jc w:val="center"/>
        </w:trPr>
        <w:tc>
          <w:tcPr>
            <w:tcW w:w="1654" w:type="dxa"/>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548" w:type="dxa"/>
            <w:gridSpan w:val="4"/>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上年结转</w:t>
            </w:r>
          </w:p>
        </w:tc>
        <w:tc>
          <w:tcPr>
            <w:tcW w:w="1548"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公共财</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政拨款</w:t>
            </w:r>
          </w:p>
        </w:tc>
        <w:tc>
          <w:tcPr>
            <w:tcW w:w="1548"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政府基金拨款</w:t>
            </w:r>
          </w:p>
        </w:tc>
        <w:tc>
          <w:tcPr>
            <w:tcW w:w="1548"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纳入专户管理的非税收入</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拨款</w:t>
            </w:r>
          </w:p>
        </w:tc>
        <w:tc>
          <w:tcPr>
            <w:tcW w:w="1548"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69" w:hRule="atLeast"/>
          <w:jc w:val="center"/>
        </w:trPr>
        <w:tc>
          <w:tcPr>
            <w:tcW w:w="1654" w:type="dxa"/>
            <w:tcBorders>
              <w:right w:val="single" w:color="auto" w:sz="4" w:space="0"/>
            </w:tcBorders>
            <w:noWrap w:val="0"/>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199.13</w:t>
            </w:r>
          </w:p>
        </w:tc>
        <w:tc>
          <w:tcPr>
            <w:tcW w:w="1548" w:type="dxa"/>
            <w:gridSpan w:val="4"/>
            <w:tcBorders>
              <w:left w:val="single" w:color="auto" w:sz="4" w:space="0"/>
            </w:tcBorders>
            <w:noWrap w:val="0"/>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15.93</w:t>
            </w:r>
          </w:p>
        </w:tc>
        <w:tc>
          <w:tcPr>
            <w:tcW w:w="1548" w:type="dxa"/>
            <w:gridSpan w:val="4"/>
            <w:noWrap w:val="0"/>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168.3</w:t>
            </w:r>
          </w:p>
        </w:tc>
        <w:tc>
          <w:tcPr>
            <w:tcW w:w="1548"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548"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548" w:type="dxa"/>
            <w:gridSpan w:val="2"/>
            <w:noWrap w:val="0"/>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14.9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9394" w:type="dxa"/>
            <w:gridSpan w:val="19"/>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b/>
                <w:bCs/>
                <w:color w:val="000000"/>
                <w:sz w:val="24"/>
              </w:rPr>
              <w:t>年度支出和结余情况（万元）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66" w:hRule="atLeast"/>
          <w:jc w:val="center"/>
        </w:trPr>
        <w:tc>
          <w:tcPr>
            <w:tcW w:w="1700" w:type="dxa"/>
            <w:gridSpan w:val="2"/>
            <w:vMerge w:val="restart"/>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支出合计</w:t>
            </w:r>
          </w:p>
        </w:tc>
        <w:tc>
          <w:tcPr>
            <w:tcW w:w="1419" w:type="dxa"/>
            <w:gridSpan w:val="2"/>
            <w:vMerge w:val="restart"/>
            <w:tcBorders>
              <w:left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基本支出</w:t>
            </w:r>
          </w:p>
        </w:tc>
        <w:tc>
          <w:tcPr>
            <w:tcW w:w="2811" w:type="dxa"/>
            <w:gridSpan w:val="8"/>
            <w:tcBorders>
              <w:left w:val="single" w:color="auto" w:sz="4" w:space="0"/>
              <w:bottom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413" w:type="dxa"/>
            <w:gridSpan w:val="3"/>
            <w:vMerge w:val="restart"/>
            <w:tcBorders>
              <w:left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项目支出</w:t>
            </w:r>
          </w:p>
        </w:tc>
        <w:tc>
          <w:tcPr>
            <w:tcW w:w="2051" w:type="dxa"/>
            <w:gridSpan w:val="4"/>
            <w:tcBorders>
              <w:left w:val="single" w:color="auto" w:sz="4" w:space="0"/>
              <w:bottom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700" w:type="dxa"/>
            <w:gridSpan w:val="2"/>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419" w:type="dxa"/>
            <w:gridSpan w:val="2"/>
            <w:vMerge w:val="continue"/>
            <w:tcBorders>
              <w:left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401" w:type="dxa"/>
            <w:gridSpan w:val="4"/>
            <w:tcBorders>
              <w:top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人员支出</w:t>
            </w:r>
          </w:p>
        </w:tc>
        <w:tc>
          <w:tcPr>
            <w:tcW w:w="1410" w:type="dxa"/>
            <w:gridSpan w:val="4"/>
            <w:tcBorders>
              <w:top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公用支出</w:t>
            </w:r>
          </w:p>
        </w:tc>
        <w:tc>
          <w:tcPr>
            <w:tcW w:w="1413" w:type="dxa"/>
            <w:gridSpan w:val="3"/>
            <w:vMerge w:val="continue"/>
            <w:tcBorders>
              <w:left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61" w:type="dxa"/>
            <w:gridSpan w:val="3"/>
            <w:tcBorders>
              <w:top w:val="single" w:color="auto" w:sz="4" w:space="0"/>
              <w:left w:val="single" w:color="auto" w:sz="4" w:space="0"/>
              <w:right w:val="single" w:color="auto" w:sz="4" w:space="0"/>
            </w:tcBorders>
            <w:noWrap w:val="0"/>
            <w:vAlign w:val="center"/>
          </w:tcPr>
          <w:p>
            <w:pPr>
              <w:autoSpaceDN w:val="0"/>
              <w:spacing w:line="32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当年结余</w:t>
            </w:r>
          </w:p>
        </w:tc>
        <w:tc>
          <w:tcPr>
            <w:tcW w:w="990" w:type="dxa"/>
            <w:tcBorders>
              <w:top w:val="single" w:color="auto" w:sz="4" w:space="0"/>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累计结余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tcBorders>
              <w:righ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194.9</w:t>
            </w:r>
          </w:p>
        </w:tc>
        <w:tc>
          <w:tcPr>
            <w:tcW w:w="1410" w:type="dxa"/>
            <w:tcBorders>
              <w:lef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194.9</w:t>
            </w:r>
          </w:p>
        </w:tc>
        <w:tc>
          <w:tcPr>
            <w:tcW w:w="1410" w:type="dxa"/>
            <w:gridSpan w:val="5"/>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142.34</w:t>
            </w:r>
          </w:p>
        </w:tc>
        <w:tc>
          <w:tcPr>
            <w:tcW w:w="1410" w:type="dxa"/>
            <w:gridSpan w:val="4"/>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52.56</w:t>
            </w:r>
          </w:p>
        </w:tc>
        <w:tc>
          <w:tcPr>
            <w:tcW w:w="1413" w:type="dxa"/>
            <w:gridSpan w:val="3"/>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061" w:type="dxa"/>
            <w:gridSpan w:val="3"/>
            <w:tcBorders>
              <w:left w:val="single" w:color="auto" w:sz="4" w:space="0"/>
              <w:righ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4.23</w:t>
            </w:r>
          </w:p>
        </w:tc>
        <w:tc>
          <w:tcPr>
            <w:tcW w:w="990" w:type="dxa"/>
            <w:tcBorders>
              <w:lef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4.23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34" w:hRule="atLeast"/>
          <w:jc w:val="center"/>
        </w:trPr>
        <w:tc>
          <w:tcPr>
            <w:tcW w:w="1700" w:type="dxa"/>
            <w:gridSpan w:val="2"/>
            <w:vMerge w:val="restart"/>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三公经费合计</w:t>
            </w:r>
          </w:p>
        </w:tc>
        <w:tc>
          <w:tcPr>
            <w:tcW w:w="7694" w:type="dxa"/>
            <w:gridSpan w:val="17"/>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923" w:type="dxa"/>
            <w:gridSpan w:val="4"/>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公务接待费</w:t>
            </w:r>
          </w:p>
        </w:tc>
        <w:tc>
          <w:tcPr>
            <w:tcW w:w="1923"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公务用车运维费</w:t>
            </w:r>
          </w:p>
        </w:tc>
        <w:tc>
          <w:tcPr>
            <w:tcW w:w="1923"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公务用车购置费</w:t>
            </w:r>
          </w:p>
        </w:tc>
        <w:tc>
          <w:tcPr>
            <w:tcW w:w="1925"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因公出国费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923" w:type="dxa"/>
            <w:gridSpan w:val="4"/>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923"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923"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925"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34" w:hRule="atLeast"/>
          <w:jc w:val="center"/>
        </w:trPr>
        <w:tc>
          <w:tcPr>
            <w:tcW w:w="1700" w:type="dxa"/>
            <w:gridSpan w:val="2"/>
            <w:vMerge w:val="restart"/>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固定资产合计</w:t>
            </w:r>
          </w:p>
        </w:tc>
        <w:tc>
          <w:tcPr>
            <w:tcW w:w="5331" w:type="dxa"/>
            <w:gridSpan w:val="12"/>
            <w:tcBorders>
              <w:left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2363" w:type="dxa"/>
            <w:gridSpan w:val="5"/>
            <w:vMerge w:val="restart"/>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665" w:type="dxa"/>
            <w:gridSpan w:val="5"/>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在用固定资产</w:t>
            </w:r>
          </w:p>
        </w:tc>
        <w:tc>
          <w:tcPr>
            <w:tcW w:w="2666" w:type="dxa"/>
            <w:gridSpan w:val="7"/>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出租固定资产</w:t>
            </w:r>
          </w:p>
        </w:tc>
        <w:tc>
          <w:tcPr>
            <w:tcW w:w="2363" w:type="dxa"/>
            <w:gridSpan w:val="5"/>
            <w:vMerge w:val="continue"/>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tcBorders>
              <w:righ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24.37</w:t>
            </w:r>
          </w:p>
        </w:tc>
        <w:tc>
          <w:tcPr>
            <w:tcW w:w="2665" w:type="dxa"/>
            <w:gridSpan w:val="5"/>
            <w:tcBorders>
              <w:lef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24.37</w:t>
            </w:r>
          </w:p>
        </w:tc>
        <w:tc>
          <w:tcPr>
            <w:tcW w:w="2666" w:type="dxa"/>
            <w:gridSpan w:val="7"/>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2363" w:type="dxa"/>
            <w:gridSpan w:val="5"/>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9394" w:type="dxa"/>
            <w:gridSpan w:val="19"/>
            <w:noWrap w:val="0"/>
            <w:vAlign w:val="center"/>
          </w:tcPr>
          <w:p>
            <w:pPr>
              <w:keepNext w:val="0"/>
              <w:keepLines w:val="0"/>
              <w:pageBreakBefore w:val="0"/>
              <w:widowControl w:val="0"/>
              <w:kinsoku/>
              <w:wordWrap/>
              <w:overflowPunct/>
              <w:topLinePunct w:val="0"/>
              <w:autoSpaceDE/>
              <w:autoSpaceDN w:val="0"/>
              <w:bidi w:val="0"/>
              <w:adjustRightInd/>
              <w:snapToGrid/>
              <w:spacing w:before="157" w:beforeLines="50" w:line="320" w:lineRule="exact"/>
              <w:ind w:firstLine="240" w:firstLineChars="100"/>
              <w:jc w:val="left"/>
              <w:textAlignment w:val="center"/>
              <w:outlineLvl w:val="9"/>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单位领导（</w:t>
            </w:r>
            <w:r>
              <w:rPr>
                <w:rFonts w:hint="eastAsia" w:ascii="仿宋_GB2312" w:hAnsi="仿宋_GB2312" w:eastAsia="仿宋_GB2312" w:cs="仿宋_GB2312"/>
                <w:color w:val="000000"/>
                <w:sz w:val="24"/>
              </w:rPr>
              <w:t>签字）：</w:t>
            </w: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 xml:space="preserve">                                                                 公章</w:t>
            </w:r>
          </w:p>
          <w:p>
            <w:pPr>
              <w:autoSpaceDN w:val="0"/>
              <w:spacing w:line="320" w:lineRule="exact"/>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 xml:space="preserve"> </w:t>
            </w: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lang w:val="en-US" w:eastAsia="zh-CN"/>
              </w:rPr>
              <w:t>2021</w:t>
            </w:r>
            <w:r>
              <w:rPr>
                <w:rFonts w:hint="eastAsia" w:ascii="仿宋_GB2312" w:hAnsi="仿宋_GB2312" w:eastAsia="仿宋_GB2312" w:cs="仿宋_GB2312"/>
                <w:color w:val="000000"/>
                <w:sz w:val="24"/>
              </w:rPr>
              <w:t xml:space="preserve">年 </w:t>
            </w:r>
            <w:r>
              <w:rPr>
                <w:rFonts w:hint="eastAsia" w:ascii="仿宋_GB2312" w:hAnsi="仿宋_GB2312" w:eastAsia="仿宋_GB2312" w:cs="仿宋_GB2312"/>
                <w:color w:val="000000"/>
                <w:sz w:val="24"/>
                <w:lang w:val="en-US" w:eastAsia="zh-CN"/>
              </w:rPr>
              <w:t>6</w:t>
            </w:r>
            <w:r>
              <w:rPr>
                <w:rFonts w:hint="eastAsia" w:ascii="仿宋_GB2312" w:hAnsi="仿宋_GB2312" w:eastAsia="仿宋_GB2312" w:cs="仿宋_GB2312"/>
                <w:color w:val="000000"/>
                <w:sz w:val="24"/>
              </w:rPr>
              <w:t xml:space="preserve"> 月 </w:t>
            </w:r>
            <w:r>
              <w:rPr>
                <w:rFonts w:hint="eastAsia" w:ascii="仿宋_GB2312" w:hAnsi="仿宋_GB2312" w:eastAsia="仿宋_GB2312" w:cs="仿宋_GB2312"/>
                <w:color w:val="000000"/>
                <w:sz w:val="24"/>
                <w:lang w:val="en-US" w:eastAsia="zh-CN"/>
              </w:rPr>
              <w:t>11</w:t>
            </w:r>
            <w:r>
              <w:rPr>
                <w:rFonts w:hint="eastAsia" w:ascii="仿宋_GB2312" w:hAnsi="仿宋_GB2312" w:eastAsia="仿宋_GB2312" w:cs="仿宋_GB2312"/>
                <w:color w:val="000000"/>
                <w:sz w:val="24"/>
              </w:rPr>
              <w:t xml:space="preserve">  日</w:t>
            </w:r>
          </w:p>
          <w:p>
            <w:pPr>
              <w:autoSpaceDN w:val="0"/>
              <w:spacing w:line="320" w:lineRule="exact"/>
              <w:jc w:val="both"/>
              <w:textAlignment w:val="center"/>
              <w:rPr>
                <w:rFonts w:hint="eastAsia" w:ascii="仿宋_GB2312" w:hAnsi="仿宋_GB2312" w:eastAsia="仿宋_GB2312" w:cs="仿宋_GB2312"/>
                <w:color w:val="000000"/>
                <w:sz w:val="24"/>
              </w:rPr>
            </w:pPr>
          </w:p>
        </w:tc>
      </w:tr>
    </w:tbl>
    <w:p>
      <w:pPr>
        <w:rPr>
          <w:rFonts w:cs="黑体" w:asciiTheme="minorEastAsia" w:hAnsiTheme="minorEastAsia"/>
          <w:color w:val="000000"/>
          <w:kern w:val="0"/>
          <w:sz w:val="32"/>
          <w:szCs w:val="32"/>
        </w:rPr>
      </w:pPr>
      <w:r>
        <w:rPr>
          <w:rFonts w:hint="eastAsia" w:eastAsia="仿宋_GB2312" w:cs="仿宋_GB2312"/>
          <w:bCs/>
          <w:sz w:val="28"/>
          <w:szCs w:val="28"/>
        </w:rPr>
        <w:t>填报人（签名）：</w:t>
      </w:r>
      <w:r>
        <w:rPr>
          <w:rFonts w:hint="eastAsia" w:eastAsia="仿宋_GB2312" w:cs="仿宋_GB2312"/>
          <w:bCs/>
          <w:sz w:val="28"/>
          <w:szCs w:val="28"/>
          <w:lang w:eastAsia="zh-CN"/>
        </w:rPr>
        <w:t>李慷琪</w:t>
      </w:r>
      <w:r>
        <w:rPr>
          <w:rFonts w:hint="eastAsia" w:eastAsia="仿宋_GB2312" w:cs="仿宋_GB2312"/>
          <w:bCs/>
          <w:sz w:val="28"/>
          <w:szCs w:val="28"/>
        </w:rPr>
        <w:t xml:space="preserve">      </w:t>
      </w:r>
      <w:r>
        <w:rPr>
          <w:rFonts w:hint="eastAsia" w:eastAsia="仿宋_GB2312" w:cs="仿宋_GB2312"/>
          <w:bCs/>
          <w:sz w:val="28"/>
          <w:szCs w:val="28"/>
          <w:lang w:val="en-US" w:eastAsia="zh-CN"/>
        </w:rPr>
        <w:t xml:space="preserve">  </w:t>
      </w:r>
      <w:r>
        <w:rPr>
          <w:rFonts w:hint="eastAsia" w:eastAsia="仿宋_GB2312" w:cs="仿宋_GB2312"/>
          <w:bCs/>
          <w:sz w:val="28"/>
          <w:szCs w:val="28"/>
        </w:rPr>
        <w:t xml:space="preserve">       联系电话：</w:t>
      </w:r>
      <w:r>
        <w:rPr>
          <w:rFonts w:hint="eastAsia" w:eastAsia="仿宋_GB2312" w:cs="仿宋_GB2312"/>
          <w:bCs/>
          <w:sz w:val="28"/>
          <w:szCs w:val="28"/>
          <w:lang w:val="en-US" w:eastAsia="zh-CN"/>
        </w:rPr>
        <w:t>8328168</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6A298D"/>
    <w:multiLevelType w:val="singleLevel"/>
    <w:tmpl w:val="B16A298D"/>
    <w:lvl w:ilvl="0" w:tentative="0">
      <w:start w:val="9"/>
      <w:numFmt w:val="chineseCounting"/>
      <w:suff w:val="nothing"/>
      <w:lvlText w:val="%1、"/>
      <w:lvlJc w:val="left"/>
      <w:rPr>
        <w:rFonts w:hint="eastAsia"/>
      </w:rPr>
    </w:lvl>
  </w:abstractNum>
  <w:abstractNum w:abstractNumId="1">
    <w:nsid w:val="E3D51CEB"/>
    <w:multiLevelType w:val="singleLevel"/>
    <w:tmpl w:val="E3D51CEB"/>
    <w:lvl w:ilvl="0" w:tentative="0">
      <w:start w:val="1"/>
      <w:numFmt w:val="decimal"/>
      <w:suff w:val="nothing"/>
      <w:lvlText w:val="%1、"/>
      <w:lvlJc w:val="left"/>
    </w:lvl>
  </w:abstractNum>
  <w:abstractNum w:abstractNumId="2">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3MTViMmEwMzhhYzU2OTk2MGUxZGMzNGY1NjBjMTcifQ=="/>
  </w:docVars>
  <w:rsids>
    <w:rsidRoot w:val="00172A27"/>
    <w:rsid w:val="0002229B"/>
    <w:rsid w:val="000273BD"/>
    <w:rsid w:val="000415B7"/>
    <w:rsid w:val="00041E3F"/>
    <w:rsid w:val="00055DAA"/>
    <w:rsid w:val="00061F7B"/>
    <w:rsid w:val="000658A3"/>
    <w:rsid w:val="00074155"/>
    <w:rsid w:val="000873EF"/>
    <w:rsid w:val="000A3F69"/>
    <w:rsid w:val="00103957"/>
    <w:rsid w:val="00124A1F"/>
    <w:rsid w:val="00152C6D"/>
    <w:rsid w:val="00162D39"/>
    <w:rsid w:val="001678BD"/>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197"/>
    <w:rsid w:val="003C47E6"/>
    <w:rsid w:val="003C4FC2"/>
    <w:rsid w:val="003E2331"/>
    <w:rsid w:val="00416E61"/>
    <w:rsid w:val="0042790C"/>
    <w:rsid w:val="004506F9"/>
    <w:rsid w:val="004717A2"/>
    <w:rsid w:val="00473DF3"/>
    <w:rsid w:val="00487911"/>
    <w:rsid w:val="00491741"/>
    <w:rsid w:val="004B0CEE"/>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48B"/>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75489"/>
    <w:rsid w:val="00DD06FF"/>
    <w:rsid w:val="00DD5FE9"/>
    <w:rsid w:val="00E00C7A"/>
    <w:rsid w:val="00E209CF"/>
    <w:rsid w:val="00E37D6C"/>
    <w:rsid w:val="00E55B68"/>
    <w:rsid w:val="00E67BE6"/>
    <w:rsid w:val="00E8683C"/>
    <w:rsid w:val="00EA2B72"/>
    <w:rsid w:val="00F74360"/>
    <w:rsid w:val="00FB462F"/>
    <w:rsid w:val="00FE16FA"/>
    <w:rsid w:val="00FE328A"/>
    <w:rsid w:val="00FE6269"/>
    <w:rsid w:val="00FF5CD6"/>
    <w:rsid w:val="05633A58"/>
    <w:rsid w:val="05A37BE9"/>
    <w:rsid w:val="05BB676A"/>
    <w:rsid w:val="06816C7B"/>
    <w:rsid w:val="06B411F0"/>
    <w:rsid w:val="087403E0"/>
    <w:rsid w:val="0BE56081"/>
    <w:rsid w:val="13BE003E"/>
    <w:rsid w:val="17A87124"/>
    <w:rsid w:val="1A8C5DB8"/>
    <w:rsid w:val="1B372F8D"/>
    <w:rsid w:val="1D230C56"/>
    <w:rsid w:val="1D7B2840"/>
    <w:rsid w:val="23CD2925"/>
    <w:rsid w:val="27DB542D"/>
    <w:rsid w:val="32E260D2"/>
    <w:rsid w:val="366364DD"/>
    <w:rsid w:val="370B6762"/>
    <w:rsid w:val="38390E28"/>
    <w:rsid w:val="3BD07C2B"/>
    <w:rsid w:val="3BE22F11"/>
    <w:rsid w:val="44FE66EC"/>
    <w:rsid w:val="45ED1679"/>
    <w:rsid w:val="45F9639D"/>
    <w:rsid w:val="48ED43E7"/>
    <w:rsid w:val="53991EC1"/>
    <w:rsid w:val="593A0C0E"/>
    <w:rsid w:val="59E963BD"/>
    <w:rsid w:val="5A326F3D"/>
    <w:rsid w:val="5A67770C"/>
    <w:rsid w:val="5F5A7AD8"/>
    <w:rsid w:val="60A907EA"/>
    <w:rsid w:val="6145544E"/>
    <w:rsid w:val="61EF0A19"/>
    <w:rsid w:val="63AA2B01"/>
    <w:rsid w:val="6D1321F5"/>
    <w:rsid w:val="70833AD1"/>
    <w:rsid w:val="713174C8"/>
    <w:rsid w:val="76C97430"/>
    <w:rsid w:val="7DDC6EA5"/>
    <w:rsid w:val="7FDD6C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iPriority="39"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nhideWhenUsed="0" w:uiPriority="99"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style>
  <w:style w:type="paragraph" w:styleId="3">
    <w:name w:val="toc 5"/>
    <w:basedOn w:val="1"/>
    <w:next w:val="1"/>
    <w:unhideWhenUsed/>
    <w:qFormat/>
    <w:uiPriority w:val="39"/>
    <w:pPr>
      <w:ind w:firstLine="630"/>
    </w:pPr>
    <w:rPr>
      <w:rFonts w:ascii="仿宋_GB2312" w:eastAsia="仿宋_GB2312"/>
      <w:sz w:val="32"/>
      <w:szCs w:val="32"/>
    </w:rPr>
  </w:style>
  <w:style w:type="paragraph" w:styleId="4">
    <w:name w:val="toa heading"/>
    <w:basedOn w:val="1"/>
    <w:next w:val="1"/>
    <w:qFormat/>
    <w:uiPriority w:val="99"/>
    <w:pPr>
      <w:spacing w:before="120" w:after="200" w:line="276" w:lineRule="auto"/>
    </w:pPr>
    <w:rPr>
      <w:rFonts w:ascii="Arial" w:hAnsi="Arial"/>
      <w:sz w:val="24"/>
    </w:rPr>
  </w:style>
  <w:style w:type="paragraph" w:styleId="5">
    <w:name w:val="Balloon Text"/>
    <w:basedOn w:val="1"/>
    <w:link w:val="14"/>
    <w:semiHidden/>
    <w:unhideWhenUsed/>
    <w:qFormat/>
    <w:uiPriority w:val="99"/>
    <w:rPr>
      <w:sz w:val="18"/>
      <w:szCs w:val="18"/>
    </w:rPr>
  </w:style>
  <w:style w:type="paragraph" w:styleId="6">
    <w:name w:val="footer"/>
    <w:basedOn w:val="1"/>
    <w:link w:val="11"/>
    <w:unhideWhenUsed/>
    <w:qFormat/>
    <w:uiPriority w:val="99"/>
    <w:pPr>
      <w:tabs>
        <w:tab w:val="center" w:pos="4153"/>
        <w:tab w:val="right" w:pos="8306"/>
      </w:tabs>
      <w:snapToGrid w:val="0"/>
      <w:jc w:val="left"/>
    </w:pPr>
    <w:rPr>
      <w:sz w:val="18"/>
      <w:szCs w:val="18"/>
    </w:rPr>
  </w:style>
  <w:style w:type="paragraph" w:styleId="7">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0">
    <w:name w:val="页眉 Char"/>
    <w:basedOn w:val="9"/>
    <w:link w:val="7"/>
    <w:qFormat/>
    <w:uiPriority w:val="99"/>
    <w:rPr>
      <w:sz w:val="18"/>
      <w:szCs w:val="18"/>
    </w:rPr>
  </w:style>
  <w:style w:type="character" w:customStyle="1" w:styleId="11">
    <w:name w:val="页脚 Char"/>
    <w:basedOn w:val="9"/>
    <w:link w:val="6"/>
    <w:qFormat/>
    <w:uiPriority w:val="99"/>
    <w:rPr>
      <w:sz w:val="18"/>
      <w:szCs w:val="18"/>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3">
    <w:name w:val="List Paragraph"/>
    <w:basedOn w:val="1"/>
    <w:qFormat/>
    <w:uiPriority w:val="34"/>
    <w:pPr>
      <w:ind w:firstLine="420" w:firstLineChars="200"/>
    </w:pPr>
  </w:style>
  <w:style w:type="character" w:customStyle="1" w:styleId="14">
    <w:name w:val="批注框文本 Char"/>
    <w:basedOn w:val="9"/>
    <w:link w:val="5"/>
    <w:semiHidden/>
    <w:qFormat/>
    <w:uiPriority w:val="99"/>
    <w:rPr>
      <w:sz w:val="18"/>
      <w:szCs w:val="18"/>
    </w:rPr>
  </w:style>
  <w:style w:type="character" w:customStyle="1" w:styleId="15">
    <w:name w:val="font41"/>
    <w:basedOn w:val="9"/>
    <w:qFormat/>
    <w:uiPriority w:val="0"/>
    <w:rPr>
      <w:rFonts w:hint="eastAsia" w:ascii="仿宋_GB2312" w:eastAsia="仿宋_GB2312" w:cs="仿宋_GB2312"/>
      <w:b/>
      <w:color w:val="000000"/>
      <w:sz w:val="22"/>
      <w:szCs w:val="22"/>
      <w:u w:val="none"/>
    </w:rPr>
  </w:style>
  <w:style w:type="character" w:customStyle="1" w:styleId="16">
    <w:name w:val="font31"/>
    <w:basedOn w:val="9"/>
    <w:qFormat/>
    <w:uiPriority w:val="0"/>
    <w:rPr>
      <w:rFonts w:hint="eastAsia" w:ascii="仿宋_GB2312" w:eastAsia="仿宋_GB2312" w:cs="仿宋_GB2312"/>
      <w:color w:val="000000"/>
      <w:sz w:val="22"/>
      <w:szCs w:val="22"/>
      <w:u w:val="none"/>
    </w:rPr>
  </w:style>
  <w:style w:type="character" w:customStyle="1" w:styleId="17">
    <w:name w:val="NormalCharacter"/>
    <w:semiHidden/>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19</Pages>
  <Words>6853</Words>
  <Characters>7346</Characters>
  <Lines>69</Lines>
  <Paragraphs>19</Paragraphs>
  <TotalTime>0</TotalTime>
  <ScaleCrop>false</ScaleCrop>
  <LinksUpToDate>false</LinksUpToDate>
  <CharactersWithSpaces>7508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何蔚</cp:lastModifiedBy>
  <cp:lastPrinted>2023-09-20T06:56:00Z</cp:lastPrinted>
  <dcterms:modified xsi:type="dcterms:W3CDTF">2023-09-22T09:43:35Z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C02081F76A1C414C807C3137DC2EA958</vt:lpwstr>
  </property>
</Properties>
</file>