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jc w:val="center"/>
        <w:rPr>
          <w:rFonts w:hint="eastAsia"/>
          <w:sz w:val="56"/>
          <w:szCs w:val="56"/>
        </w:rPr>
      </w:pPr>
    </w:p>
    <w:p>
      <w:pPr>
        <w:pStyle w:val="22"/>
        <w:jc w:val="center"/>
        <w:rPr>
          <w:sz w:val="56"/>
          <w:szCs w:val="56"/>
        </w:rPr>
      </w:pPr>
    </w:p>
    <w:p>
      <w:pPr>
        <w:pStyle w:val="22"/>
        <w:jc w:val="center"/>
        <w:rPr>
          <w:sz w:val="84"/>
          <w:szCs w:val="84"/>
        </w:rPr>
      </w:pPr>
    </w:p>
    <w:p>
      <w:pPr>
        <w:pStyle w:val="22"/>
        <w:jc w:val="center"/>
        <w:rPr>
          <w:sz w:val="84"/>
          <w:szCs w:val="84"/>
        </w:rPr>
      </w:pPr>
    </w:p>
    <w:p>
      <w:pPr>
        <w:pStyle w:val="22"/>
        <w:jc w:val="center"/>
        <w:rPr>
          <w:rFonts w:hint="eastAsia"/>
          <w:sz w:val="84"/>
          <w:szCs w:val="84"/>
          <w:lang w:eastAsia="zh-CN"/>
        </w:rPr>
      </w:pPr>
      <w:r>
        <w:rPr>
          <w:rFonts w:hint="eastAsia"/>
          <w:sz w:val="84"/>
          <w:szCs w:val="84"/>
        </w:rPr>
        <w:t>2021年度</w:t>
      </w:r>
      <w:r>
        <w:rPr>
          <w:rFonts w:hint="eastAsia"/>
          <w:sz w:val="84"/>
          <w:szCs w:val="84"/>
          <w:lang w:eastAsia="zh-CN"/>
        </w:rPr>
        <w:t>岳阳城陵矶综合</w:t>
      </w:r>
    </w:p>
    <w:p>
      <w:pPr>
        <w:pStyle w:val="22"/>
        <w:jc w:val="center"/>
        <w:rPr>
          <w:sz w:val="84"/>
          <w:szCs w:val="84"/>
        </w:rPr>
      </w:pPr>
      <w:r>
        <w:rPr>
          <w:rFonts w:hint="eastAsia"/>
          <w:sz w:val="84"/>
          <w:szCs w:val="84"/>
          <w:lang w:eastAsia="zh-CN"/>
        </w:rPr>
        <w:t>保税区管理委员会</w:t>
      </w:r>
      <w:r>
        <w:rPr>
          <w:rFonts w:hint="eastAsia"/>
          <w:sz w:val="84"/>
          <w:szCs w:val="84"/>
        </w:rPr>
        <w:t>部门决算</w:t>
      </w:r>
    </w:p>
    <w:p>
      <w:pPr>
        <w:pStyle w:val="22"/>
        <w:jc w:val="center"/>
        <w:rPr>
          <w:sz w:val="56"/>
          <w:szCs w:val="56"/>
        </w:rPr>
      </w:pPr>
    </w:p>
    <w:p>
      <w:pPr>
        <w:pStyle w:val="22"/>
        <w:jc w:val="center"/>
        <w:rPr>
          <w:sz w:val="56"/>
          <w:szCs w:val="56"/>
        </w:rPr>
      </w:pPr>
    </w:p>
    <w:p>
      <w:pPr>
        <w:pStyle w:val="22"/>
        <w:jc w:val="center"/>
        <w:rPr>
          <w:sz w:val="56"/>
          <w:szCs w:val="56"/>
        </w:rPr>
      </w:pPr>
    </w:p>
    <w:p>
      <w:pPr>
        <w:pStyle w:val="22"/>
        <w:jc w:val="center"/>
        <w:rPr>
          <w:sz w:val="56"/>
          <w:szCs w:val="56"/>
        </w:rPr>
      </w:pPr>
    </w:p>
    <w:p>
      <w:pPr>
        <w:pStyle w:val="22"/>
        <w:jc w:val="center"/>
        <w:rPr>
          <w:sz w:val="32"/>
          <w:szCs w:val="32"/>
        </w:rPr>
      </w:pPr>
    </w:p>
    <w:p>
      <w:pPr>
        <w:pStyle w:val="22"/>
        <w:jc w:val="center"/>
        <w:rPr>
          <w:sz w:val="32"/>
          <w:szCs w:val="32"/>
        </w:rPr>
      </w:pPr>
    </w:p>
    <w:p>
      <w:pPr>
        <w:pStyle w:val="22"/>
        <w:jc w:val="center"/>
        <w:rPr>
          <w:sz w:val="32"/>
          <w:szCs w:val="32"/>
        </w:rPr>
      </w:pPr>
    </w:p>
    <w:p>
      <w:pPr>
        <w:pStyle w:val="22"/>
        <w:jc w:val="center"/>
        <w:rPr>
          <w:sz w:val="32"/>
          <w:szCs w:val="32"/>
        </w:rPr>
      </w:pPr>
    </w:p>
    <w:p>
      <w:pPr>
        <w:pStyle w:val="22"/>
        <w:jc w:val="center"/>
        <w:rPr>
          <w:sz w:val="32"/>
          <w:szCs w:val="32"/>
        </w:rPr>
      </w:pPr>
    </w:p>
    <w:p>
      <w:pPr>
        <w:pStyle w:val="22"/>
        <w:spacing w:line="540" w:lineRule="exact"/>
        <w:jc w:val="center"/>
        <w:rPr>
          <w:sz w:val="56"/>
          <w:szCs w:val="56"/>
        </w:rPr>
      </w:pPr>
    </w:p>
    <w:p>
      <w:pPr>
        <w:pStyle w:val="22"/>
        <w:spacing w:line="500" w:lineRule="exact"/>
        <w:jc w:val="center"/>
        <w:rPr>
          <w:b/>
          <w:sz w:val="36"/>
          <w:szCs w:val="28"/>
        </w:rPr>
      </w:pPr>
    </w:p>
    <w:p>
      <w:pPr>
        <w:pStyle w:val="22"/>
        <w:spacing w:line="500" w:lineRule="exact"/>
        <w:jc w:val="center"/>
        <w:rPr>
          <w:b/>
          <w:sz w:val="36"/>
          <w:szCs w:val="28"/>
        </w:rPr>
      </w:pPr>
    </w:p>
    <w:p>
      <w:pPr>
        <w:pStyle w:val="22"/>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目录</w:t>
      </w:r>
    </w:p>
    <w:p>
      <w:pPr>
        <w:pStyle w:val="22"/>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岳阳城陵矶综合保税区管理委员会</w:t>
      </w:r>
      <w:r>
        <w:rPr>
          <w:rFonts w:hint="eastAsia"/>
          <w:b/>
          <w:sz w:val="28"/>
          <w:szCs w:val="28"/>
        </w:rPr>
        <w:t>概况</w:t>
      </w:r>
    </w:p>
    <w:p>
      <w:pPr>
        <w:pStyle w:val="22"/>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22"/>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w:t>
      </w:r>
      <w:r>
        <w:rPr>
          <w:rFonts w:hint="eastAsia" w:cs="仿宋_GB2312" w:asciiTheme="minorEastAsia" w:hAnsiTheme="minorEastAsia" w:eastAsiaTheme="minorEastAsia"/>
          <w:sz w:val="28"/>
          <w:szCs w:val="28"/>
        </w:rPr>
        <w:t>机构设置及决算单位构成</w:t>
      </w:r>
    </w:p>
    <w:p>
      <w:pPr>
        <w:pStyle w:val="22"/>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22"/>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22"/>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22"/>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22"/>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22"/>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22"/>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22"/>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22"/>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22"/>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22"/>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22"/>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cs="仿宋_GB2312" w:eastAsiaTheme="minorEastAsia"/>
          <w:color w:val="000000"/>
          <w:kern w:val="0"/>
          <w:sz w:val="28"/>
          <w:szCs w:val="28"/>
          <w:lang w:eastAsia="zh-CN"/>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eastAsiaTheme="minorEastAsia"/>
          <w:sz w:val="28"/>
          <w:szCs w:val="28"/>
        </w:rPr>
        <w:t>国有资本经营预算财政拨款支出决算</w:t>
      </w:r>
      <w:r>
        <w:rPr>
          <w:rFonts w:hint="eastAsia" w:cs="仿宋_GB2312" w:asciiTheme="minorEastAsia" w:hAnsiTheme="minorEastAsia"/>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w:t>
      </w:r>
      <w:r>
        <w:rPr>
          <w:rFonts w:hint="eastAsia" w:ascii="仿宋_GB2312" w:hAnsi="仿宋_GB2312" w:cs="仿宋_GB2312"/>
          <w:color w:val="000000"/>
          <w:kern w:val="0"/>
          <w:sz w:val="28"/>
          <w:szCs w:val="28"/>
        </w:rPr>
        <w:t>政府采购支出说明</w:t>
      </w:r>
    </w:p>
    <w:p>
      <w:pPr>
        <w:pStyle w:val="22"/>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22"/>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lang w:eastAsia="zh-CN"/>
        </w:rPr>
      </w:pPr>
      <w:r>
        <w:rPr>
          <w:rFonts w:hint="eastAsia" w:ascii="仿宋_GB2312" w:hAnsi="仿宋_GB2312" w:cs="仿宋_GB2312" w:eastAsiaTheme="minorEastAsia"/>
          <w:sz w:val="28"/>
          <w:szCs w:val="28"/>
          <w:lang w:eastAsia="zh-CN"/>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pStyle w:val="22"/>
        <w:jc w:val="center"/>
        <w:rPr>
          <w:rFonts w:hint="eastAsia" w:ascii="宋体" w:hAnsi="宋体" w:eastAsia="宋体" w:cs="宋体"/>
          <w:sz w:val="72"/>
          <w:szCs w:val="72"/>
        </w:rPr>
      </w:pPr>
    </w:p>
    <w:p>
      <w:pPr>
        <w:pStyle w:val="22"/>
        <w:jc w:val="center"/>
        <w:rPr>
          <w:rFonts w:hint="eastAsia" w:ascii="宋体" w:hAnsi="宋体" w:eastAsia="宋体" w:cs="宋体"/>
          <w:sz w:val="72"/>
          <w:szCs w:val="72"/>
        </w:rPr>
      </w:pPr>
    </w:p>
    <w:p>
      <w:pPr>
        <w:pStyle w:val="22"/>
        <w:jc w:val="center"/>
        <w:rPr>
          <w:rFonts w:hint="eastAsia" w:ascii="宋体" w:hAnsi="宋体" w:eastAsia="宋体" w:cs="宋体"/>
          <w:sz w:val="72"/>
          <w:szCs w:val="72"/>
        </w:rPr>
      </w:pPr>
    </w:p>
    <w:p>
      <w:pPr>
        <w:pStyle w:val="22"/>
        <w:jc w:val="center"/>
        <w:rPr>
          <w:rFonts w:hint="eastAsia" w:ascii="宋体" w:hAnsi="宋体" w:eastAsia="宋体" w:cs="宋体"/>
          <w:sz w:val="72"/>
          <w:szCs w:val="72"/>
        </w:rPr>
      </w:pPr>
    </w:p>
    <w:p>
      <w:pPr>
        <w:pStyle w:val="22"/>
        <w:jc w:val="center"/>
        <w:rPr>
          <w:rFonts w:hint="eastAsia" w:ascii="宋体" w:hAnsi="宋体" w:eastAsia="宋体" w:cs="宋体"/>
          <w:sz w:val="72"/>
          <w:szCs w:val="72"/>
        </w:rPr>
      </w:pPr>
      <w:r>
        <w:rPr>
          <w:rFonts w:hint="eastAsia" w:ascii="宋体" w:hAnsi="宋体" w:eastAsia="宋体" w:cs="宋体"/>
          <w:sz w:val="72"/>
          <w:szCs w:val="72"/>
        </w:rPr>
        <w:t>第一部分</w:t>
      </w:r>
    </w:p>
    <w:p>
      <w:pPr>
        <w:pStyle w:val="22"/>
        <w:jc w:val="center"/>
        <w:rPr>
          <w:rFonts w:hint="eastAsia" w:ascii="宋体" w:hAnsi="宋体" w:eastAsia="宋体" w:cs="宋体"/>
          <w:sz w:val="72"/>
          <w:szCs w:val="72"/>
        </w:rPr>
      </w:pPr>
    </w:p>
    <w:p>
      <w:pPr>
        <w:pStyle w:val="22"/>
        <w:jc w:val="center"/>
        <w:rPr>
          <w:rFonts w:hint="eastAsia" w:ascii="宋体" w:hAnsi="宋体" w:eastAsia="宋体" w:cs="宋体"/>
          <w:sz w:val="72"/>
          <w:szCs w:val="72"/>
          <w:lang w:eastAsia="zh-CN"/>
        </w:rPr>
      </w:pPr>
      <w:r>
        <w:rPr>
          <w:rFonts w:hint="eastAsia" w:ascii="宋体" w:hAnsi="宋体" w:eastAsia="宋体" w:cs="宋体"/>
          <w:sz w:val="72"/>
          <w:szCs w:val="72"/>
          <w:lang w:eastAsia="zh-CN"/>
        </w:rPr>
        <w:t>岳阳城陵矶综合保税区</w:t>
      </w:r>
    </w:p>
    <w:p>
      <w:pPr>
        <w:pStyle w:val="22"/>
        <w:jc w:val="center"/>
        <w:rPr>
          <w:rFonts w:hint="eastAsia" w:ascii="宋体" w:hAnsi="宋体" w:eastAsia="宋体" w:cs="宋体"/>
          <w:sz w:val="72"/>
          <w:szCs w:val="72"/>
        </w:rPr>
      </w:pPr>
      <w:r>
        <w:rPr>
          <w:rFonts w:hint="eastAsia" w:ascii="宋体" w:hAnsi="宋体" w:eastAsia="宋体" w:cs="宋体"/>
          <w:sz w:val="72"/>
          <w:szCs w:val="72"/>
          <w:lang w:eastAsia="zh-CN"/>
        </w:rPr>
        <w:t>管理委员会</w:t>
      </w:r>
      <w:r>
        <w:rPr>
          <w:rFonts w:hint="eastAsia" w:ascii="宋体" w:hAnsi="宋体" w:eastAsia="宋体" w:cs="宋体"/>
          <w:sz w:val="72"/>
          <w:szCs w:val="72"/>
        </w:rPr>
        <w:t>概况</w:t>
      </w:r>
    </w:p>
    <w:p>
      <w:pPr>
        <w:keepNext/>
        <w:keepLines/>
        <w:ind w:firstLine="640"/>
        <w:rPr>
          <w:rFonts w:hint="eastAsia" w:ascii="黑体" w:hAnsi="黑体" w:eastAsia="黑体" w:cs="黑体"/>
          <w:color w:val="auto"/>
          <w:sz w:val="32"/>
          <w:szCs w:val="24"/>
          <w:lang w:val="en-US"/>
        </w:rPr>
      </w:pPr>
      <w:r>
        <w:rPr>
          <w:rFonts w:hint="eastAsia" w:ascii="黑体" w:hAnsi="黑体" w:eastAsia="黑体" w:cs="黑体"/>
          <w:color w:val="auto"/>
          <w:sz w:val="32"/>
          <w:szCs w:val="24"/>
          <w:lang w:val="en-US"/>
        </w:rPr>
        <w:t>一、</w:t>
      </w:r>
      <w:r>
        <w:rPr>
          <w:rFonts w:hint="eastAsia" w:ascii="黑体" w:hAnsi="黑体" w:eastAsia="黑体" w:cs="黑体"/>
          <w:color w:val="auto"/>
          <w:sz w:val="32"/>
          <w:szCs w:val="24"/>
          <w:lang w:val="zh-CN"/>
        </w:rPr>
        <w:t>部门职责</w:t>
      </w:r>
    </w:p>
    <w:p>
      <w:pPr>
        <w:keepNext/>
        <w:keepLines/>
        <w:shd w:val="clear" w:color="auto" w:fill="FFFFFF"/>
        <w:ind w:firstLine="640"/>
        <w:jc w:val="left"/>
        <w:rPr>
          <w:rFonts w:hint="eastAsia" w:asciiTheme="minorEastAsia" w:hAnsiTheme="minorEastAsia" w:eastAsiaTheme="minorEastAsia" w:cstheme="minorEastAsia"/>
          <w:color w:val="auto"/>
          <w:kern w:val="0"/>
          <w:sz w:val="32"/>
          <w:szCs w:val="24"/>
          <w:lang w:val="en-US" w:eastAsia="zh-CN"/>
        </w:rPr>
      </w:pPr>
      <w:r>
        <w:rPr>
          <w:rFonts w:hint="eastAsia" w:asciiTheme="minorEastAsia" w:hAnsiTheme="minorEastAsia" w:eastAsiaTheme="minorEastAsia" w:cstheme="minorEastAsia"/>
          <w:color w:val="auto"/>
          <w:kern w:val="0"/>
          <w:sz w:val="32"/>
          <w:szCs w:val="24"/>
          <w:lang w:val="en-US" w:eastAsia="zh-CN"/>
        </w:rPr>
        <w:t>(1)贯彻执行党和国家关于发展综合保税区的方针、政策和法律、法规、规章；研究制定和组织实施岳阳城陵矶综合保税区各项具体管理制度；开展政策、法规宣传教育工作；根据市人民政府授权，检查督促各项政策、法规的执行。</w:t>
      </w:r>
    </w:p>
    <w:p>
      <w:pPr>
        <w:keepNext/>
        <w:keepLines/>
        <w:shd w:val="clear" w:color="auto" w:fill="FFFFFF"/>
        <w:ind w:firstLine="640"/>
        <w:jc w:val="left"/>
        <w:rPr>
          <w:rFonts w:hint="eastAsia" w:asciiTheme="minorEastAsia" w:hAnsiTheme="minorEastAsia" w:eastAsiaTheme="minorEastAsia" w:cstheme="minorEastAsia"/>
          <w:color w:val="auto"/>
          <w:kern w:val="0"/>
          <w:sz w:val="32"/>
          <w:szCs w:val="24"/>
          <w:lang w:val="en-US" w:eastAsia="zh-CN"/>
        </w:rPr>
      </w:pPr>
      <w:r>
        <w:rPr>
          <w:rFonts w:hint="eastAsia" w:asciiTheme="minorEastAsia" w:hAnsiTheme="minorEastAsia" w:eastAsiaTheme="minorEastAsia" w:cstheme="minorEastAsia"/>
          <w:color w:val="auto"/>
          <w:kern w:val="0"/>
          <w:sz w:val="32"/>
          <w:szCs w:val="24"/>
          <w:lang w:val="en-US" w:eastAsia="zh-CN"/>
        </w:rPr>
        <w:t>（2）组织参与编制岳阳城陵矶综合保税区中长期发展规划，拟定鼓励重点产业发展的财政扶持政策。</w:t>
      </w:r>
    </w:p>
    <w:p>
      <w:pPr>
        <w:keepNext/>
        <w:keepLines/>
        <w:shd w:val="clear" w:color="auto" w:fill="FFFFFF"/>
        <w:ind w:firstLine="640"/>
        <w:jc w:val="left"/>
        <w:rPr>
          <w:rFonts w:hint="eastAsia" w:asciiTheme="minorEastAsia" w:hAnsiTheme="minorEastAsia" w:eastAsiaTheme="minorEastAsia" w:cstheme="minorEastAsia"/>
          <w:color w:val="auto"/>
          <w:kern w:val="0"/>
          <w:sz w:val="32"/>
          <w:szCs w:val="24"/>
          <w:lang w:val="en-US" w:eastAsia="zh-CN"/>
        </w:rPr>
      </w:pPr>
      <w:r>
        <w:rPr>
          <w:rFonts w:hint="eastAsia" w:asciiTheme="minorEastAsia" w:hAnsiTheme="minorEastAsia" w:eastAsiaTheme="minorEastAsia" w:cstheme="minorEastAsia"/>
          <w:color w:val="auto"/>
          <w:kern w:val="0"/>
          <w:sz w:val="32"/>
          <w:szCs w:val="24"/>
          <w:lang w:val="en-US" w:eastAsia="zh-CN"/>
        </w:rPr>
        <w:t>（3）负责综合保税区招商引资有关工作；协助有关部门审核和批准管理范围内的外资和内资项目，指导和协调招商引资、对外经济技术合作与交流；协助有关部门处理区内有关涉外事务。</w:t>
      </w:r>
    </w:p>
    <w:p>
      <w:pPr>
        <w:keepNext/>
        <w:keepLines/>
        <w:shd w:val="clear" w:color="auto" w:fill="FFFFFF"/>
        <w:ind w:firstLine="640"/>
        <w:jc w:val="left"/>
        <w:rPr>
          <w:rFonts w:hint="eastAsia" w:asciiTheme="minorEastAsia" w:hAnsiTheme="minorEastAsia" w:eastAsiaTheme="minorEastAsia" w:cstheme="minorEastAsia"/>
          <w:color w:val="auto"/>
          <w:kern w:val="0"/>
          <w:sz w:val="32"/>
          <w:szCs w:val="24"/>
          <w:lang w:val="en-US" w:eastAsia="zh-CN"/>
        </w:rPr>
      </w:pPr>
      <w:r>
        <w:rPr>
          <w:rFonts w:hint="eastAsia" w:asciiTheme="minorEastAsia" w:hAnsiTheme="minorEastAsia" w:eastAsiaTheme="minorEastAsia" w:cstheme="minorEastAsia"/>
          <w:color w:val="auto"/>
          <w:kern w:val="0"/>
          <w:sz w:val="32"/>
          <w:szCs w:val="24"/>
          <w:lang w:val="en-US" w:eastAsia="zh-CN"/>
        </w:rPr>
        <w:t>（4）根据市人民政府授权或接受有关部门委托，负责协调区内企业与民航、海关、检验检疫、口岸、工商、税务、金融、知识产权等有关部门和公安等其他驻区单位的工作，为企业提供指导和服务。</w:t>
      </w:r>
    </w:p>
    <w:p>
      <w:pPr>
        <w:keepNext/>
        <w:keepLines/>
        <w:shd w:val="clear" w:color="auto" w:fill="FFFFFF"/>
        <w:ind w:firstLine="640"/>
        <w:jc w:val="left"/>
        <w:rPr>
          <w:rFonts w:hint="eastAsia" w:asciiTheme="minorEastAsia" w:hAnsiTheme="minorEastAsia" w:eastAsiaTheme="minorEastAsia" w:cstheme="minorEastAsia"/>
          <w:color w:val="auto"/>
          <w:kern w:val="0"/>
          <w:sz w:val="32"/>
          <w:szCs w:val="24"/>
          <w:lang w:val="en-US" w:eastAsia="zh-CN"/>
        </w:rPr>
      </w:pPr>
      <w:r>
        <w:rPr>
          <w:rFonts w:hint="eastAsia" w:asciiTheme="minorEastAsia" w:hAnsiTheme="minorEastAsia" w:eastAsiaTheme="minorEastAsia" w:cstheme="minorEastAsia"/>
          <w:color w:val="auto"/>
          <w:kern w:val="0"/>
          <w:sz w:val="32"/>
          <w:szCs w:val="24"/>
          <w:lang w:val="en-US" w:eastAsia="zh-CN"/>
        </w:rPr>
        <w:t>（5）负责区内基础设施的建设和维护管理工作。</w:t>
      </w:r>
    </w:p>
    <w:p>
      <w:pPr>
        <w:keepNext/>
        <w:keepLines/>
        <w:shd w:val="clear" w:color="auto" w:fill="FFFFFF"/>
        <w:ind w:firstLine="640"/>
        <w:jc w:val="left"/>
        <w:rPr>
          <w:rFonts w:hint="eastAsia" w:asciiTheme="minorEastAsia" w:hAnsiTheme="minorEastAsia" w:eastAsiaTheme="minorEastAsia" w:cstheme="minorEastAsia"/>
          <w:color w:val="auto"/>
          <w:kern w:val="0"/>
          <w:sz w:val="32"/>
          <w:szCs w:val="24"/>
          <w:lang w:val="en-US" w:eastAsia="zh-CN"/>
        </w:rPr>
      </w:pPr>
      <w:r>
        <w:rPr>
          <w:rFonts w:hint="eastAsia" w:asciiTheme="minorEastAsia" w:hAnsiTheme="minorEastAsia" w:eastAsiaTheme="minorEastAsia" w:cstheme="minorEastAsia"/>
          <w:color w:val="auto"/>
          <w:kern w:val="0"/>
          <w:sz w:val="32"/>
          <w:szCs w:val="24"/>
          <w:lang w:val="en-US" w:eastAsia="zh-CN"/>
        </w:rPr>
        <w:t>（6）负责区内的综合、信息、统计及国有资产管理等工作。</w:t>
      </w:r>
    </w:p>
    <w:p>
      <w:pPr>
        <w:keepNext/>
        <w:keepLines/>
        <w:shd w:val="clear" w:color="auto" w:fill="FFFFFF"/>
        <w:spacing w:beforeLines="0" w:afterLines="0"/>
        <w:ind w:firstLine="640"/>
        <w:jc w:val="left"/>
        <w:rPr>
          <w:rFonts w:hint="eastAsia" w:asciiTheme="minorEastAsia" w:hAnsiTheme="minorEastAsia" w:eastAsiaTheme="minorEastAsia" w:cstheme="minorEastAsia"/>
          <w:color w:val="auto"/>
          <w:kern w:val="0"/>
          <w:sz w:val="32"/>
          <w:szCs w:val="24"/>
          <w:lang w:val="en-US" w:eastAsia="zh-CN"/>
        </w:rPr>
      </w:pPr>
      <w:r>
        <w:rPr>
          <w:rFonts w:hint="eastAsia" w:asciiTheme="minorEastAsia" w:hAnsiTheme="minorEastAsia" w:eastAsiaTheme="minorEastAsia" w:cstheme="minorEastAsia"/>
          <w:color w:val="auto"/>
          <w:kern w:val="0"/>
          <w:sz w:val="32"/>
          <w:szCs w:val="24"/>
          <w:lang w:val="en-US" w:eastAsia="zh-CN"/>
        </w:rPr>
        <w:t>（7）完成市委、市人民政府交办的其他事项。</w:t>
      </w:r>
    </w:p>
    <w:p>
      <w:pPr>
        <w:widowControl/>
        <w:spacing w:line="600" w:lineRule="exact"/>
        <w:ind w:firstLine="640" w:firstLineChars="200"/>
        <w:rPr>
          <w:rFonts w:hint="eastAsia" w:asciiTheme="minorEastAsia" w:hAnsiTheme="minorEastAsia" w:eastAsiaTheme="minorEastAsia" w:cstheme="minorEastAsia"/>
          <w:bCs/>
          <w:kern w:val="0"/>
          <w:sz w:val="32"/>
          <w:szCs w:val="32"/>
        </w:rPr>
      </w:pPr>
      <w:r>
        <w:rPr>
          <w:rFonts w:hint="eastAsia" w:ascii="黑体" w:hAnsi="黑体" w:eastAsia="黑体"/>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ajorEastAsia" w:hAnsiTheme="majorEastAsia" w:eastAsiaTheme="majorEastAsia" w:cstheme="majorEastAsia"/>
          <w:color w:val="333333"/>
          <w:sz w:val="32"/>
          <w:szCs w:val="32"/>
        </w:rPr>
      </w:pPr>
      <w:r>
        <w:rPr>
          <w:rFonts w:hint="eastAsia" w:asciiTheme="majorEastAsia" w:hAnsiTheme="majorEastAsia" w:eastAsiaTheme="majorEastAsia" w:cstheme="majorEastAsia"/>
          <w:bCs/>
          <w:kern w:val="0"/>
          <w:sz w:val="32"/>
          <w:szCs w:val="32"/>
        </w:rPr>
        <w:t>（一）内设机构设置。</w:t>
      </w:r>
      <w:r>
        <w:rPr>
          <w:rFonts w:hint="eastAsia" w:asciiTheme="majorEastAsia" w:hAnsiTheme="majorEastAsia" w:eastAsiaTheme="majorEastAsia" w:cstheme="majorEastAsia"/>
          <w:color w:val="333333"/>
          <w:sz w:val="32"/>
          <w:szCs w:val="32"/>
        </w:rPr>
        <w:t>岳阳城陵矶综合保税区管理委员会内设机构包括：办公室、经济发展局、企业服务局</w:t>
      </w:r>
      <w:r>
        <w:rPr>
          <w:rFonts w:hint="eastAsia" w:asciiTheme="majorEastAsia" w:hAnsiTheme="majorEastAsia" w:eastAsiaTheme="majorEastAsia" w:cstheme="majorEastAsia"/>
          <w:color w:val="333333"/>
          <w:sz w:val="32"/>
          <w:szCs w:val="32"/>
          <w:lang w:eastAsia="zh-CN"/>
        </w:rPr>
        <w:t>、口岸贸易局</w:t>
      </w:r>
      <w:r>
        <w:rPr>
          <w:rFonts w:hint="eastAsia" w:asciiTheme="majorEastAsia" w:hAnsiTheme="majorEastAsia" w:eastAsiaTheme="majorEastAsia" w:cstheme="majorEastAsia"/>
          <w:color w:val="333333"/>
          <w:sz w:val="32"/>
          <w:szCs w:val="32"/>
        </w:rPr>
        <w:t>。</w:t>
      </w:r>
    </w:p>
    <w:p>
      <w:pPr>
        <w:keepNext/>
        <w:keepLines/>
        <w:ind w:firstLine="640"/>
        <w:rPr>
          <w:rFonts w:hint="eastAsia" w:asciiTheme="majorEastAsia" w:hAnsiTheme="majorEastAsia" w:eastAsiaTheme="majorEastAsia" w:cstheme="majorEastAsia"/>
          <w:color w:val="auto"/>
          <w:kern w:val="0"/>
          <w:sz w:val="32"/>
          <w:szCs w:val="32"/>
          <w:lang w:val="en-US" w:eastAsia="zh-CN" w:bidi="ar"/>
        </w:rPr>
      </w:pPr>
      <w:r>
        <w:rPr>
          <w:rFonts w:hint="eastAsia" w:asciiTheme="majorEastAsia" w:hAnsiTheme="majorEastAsia" w:eastAsiaTheme="majorEastAsia" w:cstheme="majorEastAsia"/>
          <w:color w:val="auto"/>
          <w:sz w:val="32"/>
          <w:szCs w:val="24"/>
          <w:lang w:val="en-US"/>
        </w:rPr>
        <w:t>（二）决算单位构成。</w:t>
      </w:r>
      <w:r>
        <w:rPr>
          <w:rFonts w:hint="eastAsia" w:asciiTheme="majorEastAsia" w:hAnsiTheme="majorEastAsia" w:eastAsiaTheme="majorEastAsia" w:cstheme="majorEastAsia"/>
          <w:color w:val="auto"/>
          <w:kern w:val="0"/>
          <w:sz w:val="32"/>
          <w:szCs w:val="32"/>
          <w:lang w:val="en-US" w:eastAsia="zh-CN" w:bidi="ar"/>
        </w:rPr>
        <w:t>本部门无二级预算单位，因此，纳入2021年部门预算编制范围的为本部门自己。</w:t>
      </w:r>
    </w:p>
    <w:p>
      <w:pPr>
        <w:pStyle w:val="22"/>
        <w:jc w:val="both"/>
        <w:rPr>
          <w:rFonts w:hint="eastAsia" w:asciiTheme="majorEastAsia" w:hAnsiTheme="majorEastAsia" w:eastAsiaTheme="majorEastAsia" w:cstheme="majorEastAsia"/>
          <w:sz w:val="32"/>
          <w:szCs w:val="32"/>
        </w:rPr>
      </w:pPr>
    </w:p>
    <w:p>
      <w:pPr>
        <w:pStyle w:val="22"/>
        <w:jc w:val="both"/>
        <w:rPr>
          <w:rFonts w:hint="eastAsia"/>
          <w:sz w:val="32"/>
          <w:szCs w:val="32"/>
        </w:rPr>
      </w:pPr>
    </w:p>
    <w:p>
      <w:pPr>
        <w:pStyle w:val="22"/>
        <w:jc w:val="both"/>
        <w:rPr>
          <w:rFonts w:hint="eastAsia"/>
          <w:sz w:val="32"/>
          <w:szCs w:val="32"/>
        </w:rPr>
      </w:pPr>
    </w:p>
    <w:p>
      <w:pPr>
        <w:pStyle w:val="22"/>
        <w:jc w:val="both"/>
        <w:rPr>
          <w:rFonts w:hint="eastAsia"/>
          <w:sz w:val="32"/>
          <w:szCs w:val="3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sz w:val="72"/>
          <w:szCs w:val="72"/>
        </w:rPr>
      </w:pPr>
      <w:r>
        <w:rPr>
          <w:rFonts w:hint="eastAsia"/>
          <w:sz w:val="72"/>
          <w:szCs w:val="72"/>
        </w:rPr>
        <w:t>第二部分</w:t>
      </w:r>
    </w:p>
    <w:p>
      <w:pPr>
        <w:jc w:val="center"/>
        <w:rPr>
          <w:sz w:val="72"/>
          <w:szCs w:val="72"/>
        </w:rPr>
      </w:pPr>
    </w:p>
    <w:p>
      <w:pPr>
        <w:jc w:val="center"/>
        <w:rPr>
          <w:rFonts w:hint="eastAsia"/>
          <w:sz w:val="72"/>
          <w:szCs w:val="72"/>
        </w:rPr>
      </w:pPr>
      <w:r>
        <w:rPr>
          <w:rFonts w:hint="eastAsia"/>
          <w:sz w:val="72"/>
          <w:szCs w:val="72"/>
        </w:rPr>
        <w:t>部门决算表</w:t>
      </w:r>
    </w:p>
    <w:p>
      <w:pPr>
        <w:jc w:val="center"/>
        <w:rPr>
          <w:sz w:val="72"/>
          <w:szCs w:val="72"/>
        </w:rPr>
      </w:pPr>
    </w:p>
    <w:p>
      <w:pPr>
        <w:pStyle w:val="22"/>
        <w:jc w:val="both"/>
        <w:rPr>
          <w:rFonts w:hint="eastAsia"/>
          <w:sz w:val="32"/>
          <w:szCs w:val="32"/>
        </w:rPr>
      </w:pPr>
    </w:p>
    <w:p>
      <w:pPr>
        <w:pStyle w:val="22"/>
        <w:jc w:val="both"/>
        <w:rPr>
          <w:rFonts w:hint="eastAsia"/>
          <w:sz w:val="32"/>
          <w:szCs w:val="32"/>
        </w:rPr>
      </w:pPr>
    </w:p>
    <w:p>
      <w:pPr>
        <w:pStyle w:val="22"/>
        <w:jc w:val="both"/>
        <w:rPr>
          <w:rFonts w:hint="eastAsia"/>
          <w:sz w:val="32"/>
          <w:szCs w:val="32"/>
        </w:rPr>
      </w:pPr>
    </w:p>
    <w:p>
      <w:pPr>
        <w:pStyle w:val="22"/>
        <w:jc w:val="both"/>
        <w:rPr>
          <w:rFonts w:hint="eastAsia"/>
          <w:sz w:val="32"/>
          <w:szCs w:val="32"/>
        </w:rPr>
      </w:pPr>
    </w:p>
    <w:p>
      <w:pPr>
        <w:pStyle w:val="22"/>
        <w:jc w:val="both"/>
        <w:rPr>
          <w:rFonts w:hint="eastAsia"/>
          <w:sz w:val="32"/>
          <w:szCs w:val="32"/>
        </w:rPr>
      </w:pPr>
    </w:p>
    <w:p>
      <w:pPr>
        <w:pStyle w:val="22"/>
        <w:jc w:val="both"/>
        <w:rPr>
          <w:rFonts w:hint="eastAsia"/>
          <w:sz w:val="32"/>
          <w:szCs w:val="32"/>
        </w:rPr>
      </w:pPr>
    </w:p>
    <w:p>
      <w:pPr>
        <w:pStyle w:val="22"/>
        <w:jc w:val="both"/>
        <w:rPr>
          <w:rFonts w:hint="eastAsia"/>
          <w:sz w:val="32"/>
          <w:szCs w:val="32"/>
        </w:rPr>
      </w:pPr>
    </w:p>
    <w:p>
      <w:pPr>
        <w:pStyle w:val="22"/>
        <w:jc w:val="both"/>
        <w:rPr>
          <w:rFonts w:hint="eastAsia"/>
          <w:sz w:val="32"/>
          <w:szCs w:val="32"/>
        </w:rPr>
      </w:pPr>
    </w:p>
    <w:p>
      <w:pPr>
        <w:pStyle w:val="22"/>
        <w:jc w:val="both"/>
        <w:rPr>
          <w:rFonts w:hint="eastAsia"/>
          <w:sz w:val="32"/>
          <w:szCs w:val="32"/>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pPr>
    </w:p>
    <w:tbl>
      <w:tblPr>
        <w:tblStyle w:val="9"/>
        <w:tblpPr w:leftFromText="180" w:rightFromText="180" w:vertAnchor="text" w:horzAnchor="page" w:tblpXSpec="center" w:tblpY="619"/>
        <w:tblOverlap w:val="never"/>
        <w:tblW w:w="14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42"/>
        <w:gridCol w:w="872"/>
        <w:gridCol w:w="1156"/>
        <w:gridCol w:w="4558"/>
        <w:gridCol w:w="872"/>
        <w:gridCol w:w="1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9" w:hRule="exact"/>
          <w:jc w:val="center"/>
        </w:trPr>
        <w:tc>
          <w:tcPr>
            <w:tcW w:w="14200" w:type="dxa"/>
            <w:gridSpan w:val="6"/>
            <w:tcBorders>
              <w:top w:val="nil"/>
              <w:left w:val="nil"/>
              <w:bottom w:val="nil"/>
              <w:right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exact"/>
          <w:jc w:val="center"/>
        </w:trPr>
        <w:tc>
          <w:tcPr>
            <w:tcW w:w="4842" w:type="dxa"/>
            <w:tcBorders>
              <w:top w:val="nil"/>
              <w:left w:val="nil"/>
              <w:bottom w:val="nil"/>
              <w:right w:val="nil"/>
            </w:tcBorders>
            <w:shd w:val="clear" w:color="auto" w:fill="FFFFFF"/>
            <w:noWrap/>
            <w:vAlign w:val="bottom"/>
          </w:tcPr>
          <w:p>
            <w:pPr>
              <w:rPr>
                <w:rFonts w:hint="eastAsia" w:ascii="Arial" w:hAnsi="Arial" w:cs="Arial"/>
                <w:i w:val="0"/>
                <w:iCs w:val="0"/>
                <w:color w:val="000000"/>
                <w:sz w:val="15"/>
                <w:szCs w:val="15"/>
                <w:u w:val="none"/>
              </w:rPr>
            </w:pPr>
          </w:p>
        </w:tc>
        <w:tc>
          <w:tcPr>
            <w:tcW w:w="872" w:type="dxa"/>
            <w:tcBorders>
              <w:top w:val="nil"/>
              <w:left w:val="nil"/>
              <w:bottom w:val="nil"/>
              <w:right w:val="nil"/>
            </w:tcBorders>
            <w:shd w:val="clear" w:color="auto" w:fill="FFFFFF"/>
            <w:noWrap/>
            <w:vAlign w:val="bottom"/>
          </w:tcPr>
          <w:p>
            <w:pPr>
              <w:rPr>
                <w:rFonts w:hint="default" w:ascii="Arial" w:hAnsi="Arial" w:cs="Arial"/>
                <w:i w:val="0"/>
                <w:iCs w:val="0"/>
                <w:color w:val="000000"/>
                <w:sz w:val="15"/>
                <w:szCs w:val="15"/>
                <w:u w:val="none"/>
              </w:rPr>
            </w:pPr>
          </w:p>
        </w:tc>
        <w:tc>
          <w:tcPr>
            <w:tcW w:w="1156" w:type="dxa"/>
            <w:tcBorders>
              <w:top w:val="nil"/>
              <w:left w:val="nil"/>
              <w:bottom w:val="nil"/>
              <w:right w:val="nil"/>
            </w:tcBorders>
            <w:shd w:val="clear" w:color="auto" w:fill="FFFFFF"/>
            <w:noWrap/>
            <w:vAlign w:val="bottom"/>
          </w:tcPr>
          <w:p>
            <w:pPr>
              <w:rPr>
                <w:rFonts w:hint="default" w:ascii="Arial" w:hAnsi="Arial" w:cs="Arial"/>
                <w:i w:val="0"/>
                <w:iCs w:val="0"/>
                <w:color w:val="000000"/>
                <w:sz w:val="15"/>
                <w:szCs w:val="15"/>
                <w:u w:val="none"/>
              </w:rPr>
            </w:pPr>
          </w:p>
        </w:tc>
        <w:tc>
          <w:tcPr>
            <w:tcW w:w="4558" w:type="dxa"/>
            <w:tcBorders>
              <w:top w:val="nil"/>
              <w:left w:val="nil"/>
              <w:bottom w:val="nil"/>
              <w:right w:val="nil"/>
            </w:tcBorders>
            <w:shd w:val="clear" w:color="auto" w:fill="FFFFFF"/>
            <w:noWrap/>
            <w:vAlign w:val="bottom"/>
          </w:tcPr>
          <w:p>
            <w:pPr>
              <w:rPr>
                <w:rFonts w:hint="default" w:ascii="Arial" w:hAnsi="Arial" w:cs="Arial"/>
                <w:i w:val="0"/>
                <w:iCs w:val="0"/>
                <w:color w:val="000000"/>
                <w:sz w:val="15"/>
                <w:szCs w:val="15"/>
                <w:u w:val="none"/>
              </w:rPr>
            </w:pPr>
          </w:p>
        </w:tc>
        <w:tc>
          <w:tcPr>
            <w:tcW w:w="872" w:type="dxa"/>
            <w:tcBorders>
              <w:top w:val="nil"/>
              <w:left w:val="nil"/>
              <w:bottom w:val="nil"/>
              <w:right w:val="nil"/>
            </w:tcBorders>
            <w:shd w:val="clear" w:color="auto" w:fill="FFFFFF"/>
            <w:noWrap/>
            <w:vAlign w:val="bottom"/>
          </w:tcPr>
          <w:p>
            <w:pPr>
              <w:rPr>
                <w:rFonts w:hint="default" w:ascii="Arial" w:hAnsi="Arial" w:cs="Arial"/>
                <w:i w:val="0"/>
                <w:iCs w:val="0"/>
                <w:color w:val="000000"/>
                <w:sz w:val="15"/>
                <w:szCs w:val="15"/>
                <w:u w:val="none"/>
              </w:rPr>
            </w:pPr>
          </w:p>
        </w:tc>
        <w:tc>
          <w:tcPr>
            <w:tcW w:w="1900" w:type="dxa"/>
            <w:tcBorders>
              <w:top w:val="nil"/>
              <w:left w:val="nil"/>
              <w:bottom w:val="nil"/>
              <w:right w:val="nil"/>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exact"/>
          <w:jc w:val="center"/>
        </w:trPr>
        <w:tc>
          <w:tcPr>
            <w:tcW w:w="4842" w:type="dxa"/>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部门：岳阳城陵矶综合保税区管理委员会</w:t>
            </w:r>
          </w:p>
        </w:tc>
        <w:tc>
          <w:tcPr>
            <w:tcW w:w="872" w:type="dxa"/>
            <w:tcBorders>
              <w:top w:val="nil"/>
              <w:left w:val="nil"/>
              <w:bottom w:val="nil"/>
              <w:right w:val="nil"/>
            </w:tcBorders>
            <w:shd w:val="clear" w:color="auto" w:fill="FFFFFF"/>
            <w:noWrap/>
            <w:vAlign w:val="bottom"/>
          </w:tcPr>
          <w:p>
            <w:pPr>
              <w:rPr>
                <w:rFonts w:hint="default" w:ascii="Arial" w:hAnsi="Arial" w:cs="Arial"/>
                <w:i w:val="0"/>
                <w:iCs w:val="0"/>
                <w:color w:val="000000"/>
                <w:sz w:val="15"/>
                <w:szCs w:val="15"/>
                <w:u w:val="none"/>
              </w:rPr>
            </w:pPr>
          </w:p>
        </w:tc>
        <w:tc>
          <w:tcPr>
            <w:tcW w:w="1156" w:type="dxa"/>
            <w:tcBorders>
              <w:top w:val="nil"/>
              <w:left w:val="nil"/>
              <w:bottom w:val="nil"/>
              <w:right w:val="nil"/>
            </w:tcBorders>
            <w:shd w:val="clear" w:color="auto" w:fill="FFFFFF"/>
            <w:noWrap/>
            <w:vAlign w:val="bottom"/>
          </w:tcPr>
          <w:p>
            <w:pPr>
              <w:rPr>
                <w:rFonts w:hint="default" w:ascii="Arial" w:hAnsi="Arial" w:cs="Arial"/>
                <w:i w:val="0"/>
                <w:iCs w:val="0"/>
                <w:color w:val="000000"/>
                <w:sz w:val="15"/>
                <w:szCs w:val="15"/>
                <w:u w:val="none"/>
              </w:rPr>
            </w:pPr>
          </w:p>
        </w:tc>
        <w:tc>
          <w:tcPr>
            <w:tcW w:w="4558" w:type="dxa"/>
            <w:tcBorders>
              <w:top w:val="nil"/>
              <w:left w:val="nil"/>
              <w:bottom w:val="nil"/>
              <w:right w:val="nil"/>
            </w:tcBorders>
            <w:shd w:val="clear" w:color="auto" w:fill="FFFFFF"/>
            <w:noWrap/>
            <w:vAlign w:val="bottom"/>
          </w:tcPr>
          <w:p>
            <w:pPr>
              <w:rPr>
                <w:rFonts w:hint="default" w:ascii="Arial" w:hAnsi="Arial" w:cs="Arial"/>
                <w:i w:val="0"/>
                <w:iCs w:val="0"/>
                <w:color w:val="000000"/>
                <w:sz w:val="15"/>
                <w:szCs w:val="15"/>
                <w:u w:val="none"/>
              </w:rPr>
            </w:pPr>
          </w:p>
        </w:tc>
        <w:tc>
          <w:tcPr>
            <w:tcW w:w="872" w:type="dxa"/>
            <w:tcBorders>
              <w:top w:val="nil"/>
              <w:left w:val="nil"/>
              <w:bottom w:val="nil"/>
              <w:right w:val="nil"/>
            </w:tcBorders>
            <w:shd w:val="clear" w:color="auto" w:fill="FFFFFF"/>
            <w:noWrap/>
            <w:vAlign w:val="bottom"/>
          </w:tcPr>
          <w:p>
            <w:pPr>
              <w:rPr>
                <w:rFonts w:hint="default" w:ascii="Arial" w:hAnsi="Arial" w:cs="Arial"/>
                <w:i w:val="0"/>
                <w:iCs w:val="0"/>
                <w:color w:val="000000"/>
                <w:sz w:val="15"/>
                <w:szCs w:val="15"/>
                <w:u w:val="none"/>
              </w:rPr>
            </w:pPr>
          </w:p>
        </w:tc>
        <w:tc>
          <w:tcPr>
            <w:tcW w:w="1900" w:type="dxa"/>
            <w:tcBorders>
              <w:top w:val="nil"/>
              <w:left w:val="nil"/>
              <w:bottom w:val="nil"/>
              <w:right w:val="nil"/>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exact"/>
          <w:jc w:val="center"/>
        </w:trPr>
        <w:tc>
          <w:tcPr>
            <w:tcW w:w="6870"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7330" w:type="dxa"/>
            <w:gridSpan w:val="3"/>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115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455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190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872" w:type="dxa"/>
            <w:tcBorders>
              <w:top w:val="nil"/>
              <w:left w:val="nil"/>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18"/>
                <w:szCs w:val="18"/>
                <w:u w:val="none"/>
              </w:rPr>
            </w:pPr>
          </w:p>
        </w:tc>
        <w:tc>
          <w:tcPr>
            <w:tcW w:w="1156"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872" w:type="dxa"/>
            <w:tcBorders>
              <w:top w:val="nil"/>
              <w:left w:val="nil"/>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18"/>
                <w:szCs w:val="18"/>
                <w:u w:val="none"/>
              </w:rPr>
            </w:pPr>
          </w:p>
        </w:tc>
        <w:tc>
          <w:tcPr>
            <w:tcW w:w="190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一、一般公共预算财政拨款收入</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190.78</w:t>
            </w:r>
          </w:p>
        </w:tc>
        <w:tc>
          <w:tcPr>
            <w:tcW w:w="455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二、政府性基金预算财政拨款收入</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55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三、国有资本经营预算财政拨款收入</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55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四、上级补助收入</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55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55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六、经营收入</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55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七、附属单位上缴收入</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55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八、其他收入</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55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55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55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55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55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55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55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55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55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55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55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55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55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55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55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1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55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18"/>
                <w:szCs w:val="18"/>
                <w:u w:val="none"/>
              </w:rPr>
            </w:pP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55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55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1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55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1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190.78</w:t>
            </w:r>
          </w:p>
        </w:tc>
        <w:tc>
          <w:tcPr>
            <w:tcW w:w="455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使用非财政拨款结余</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55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结余分配</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年初结转和结余</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1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455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年末结转和结余</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9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5"/>
                <w:szCs w:val="15"/>
                <w:u w:val="none"/>
              </w:rPr>
            </w:pP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5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5"/>
                <w:szCs w:val="15"/>
                <w:u w:val="none"/>
              </w:rPr>
            </w:pPr>
          </w:p>
        </w:tc>
        <w:tc>
          <w:tcPr>
            <w:tcW w:w="4558" w:type="dxa"/>
            <w:tcBorders>
              <w:top w:val="nil"/>
              <w:left w:val="nil"/>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15"/>
                <w:szCs w:val="15"/>
                <w:u w:val="none"/>
              </w:rPr>
            </w:pP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900"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exact"/>
          <w:jc w:val="center"/>
        </w:trPr>
        <w:tc>
          <w:tcPr>
            <w:tcW w:w="4842" w:type="dxa"/>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872" w:type="dxa"/>
            <w:tcBorders>
              <w:top w:val="nil"/>
              <w:left w:val="nil"/>
              <w:bottom w:val="single" w:color="000000" w:sz="8"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1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190.78</w:t>
            </w:r>
          </w:p>
        </w:tc>
        <w:tc>
          <w:tcPr>
            <w:tcW w:w="455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87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90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exact"/>
          <w:jc w:val="center"/>
        </w:trPr>
        <w:tc>
          <w:tcPr>
            <w:tcW w:w="14200" w:type="dxa"/>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注：本表反映部门本年度的总收支和年末结转结余情况。本套报表金额单位转换时可能存在尾数误差。</w:t>
            </w:r>
          </w:p>
        </w:tc>
      </w:tr>
    </w:tbl>
    <w:p>
      <w:pPr>
        <w:pStyle w:val="22"/>
        <w:jc w:val="both"/>
        <w:rPr>
          <w:rFonts w:hint="eastAsia"/>
          <w:sz w:val="32"/>
          <w:szCs w:val="32"/>
          <w:lang w:val="en-US" w:eastAsia="zh-CN"/>
        </w:rPr>
      </w:pPr>
      <w:r>
        <w:rPr>
          <w:rFonts w:hint="eastAsia"/>
          <w:sz w:val="32"/>
          <w:szCs w:val="32"/>
          <w:lang w:val="en-US" w:eastAsia="zh-CN"/>
        </w:rPr>
        <w:t xml:space="preserve">        </w:t>
      </w:r>
    </w:p>
    <w:p>
      <w:pPr>
        <w:pStyle w:val="22"/>
        <w:jc w:val="both"/>
        <w:rPr>
          <w:rFonts w:hint="eastAsia"/>
          <w:sz w:val="32"/>
          <w:szCs w:val="32"/>
          <w:lang w:val="en-US" w:eastAsia="zh-CN"/>
        </w:rPr>
      </w:pPr>
    </w:p>
    <w:p>
      <w:pPr>
        <w:pStyle w:val="22"/>
        <w:jc w:val="both"/>
        <w:rPr>
          <w:rFonts w:hint="eastAsia"/>
          <w:sz w:val="32"/>
          <w:szCs w:val="32"/>
          <w:lang w:val="en-US" w:eastAsia="zh-CN"/>
        </w:rPr>
      </w:pPr>
    </w:p>
    <w:p>
      <w:pPr>
        <w:pStyle w:val="22"/>
        <w:jc w:val="both"/>
        <w:rPr>
          <w:rFonts w:hint="eastAsia"/>
          <w:sz w:val="32"/>
          <w:szCs w:val="32"/>
          <w:lang w:val="en-US" w:eastAsia="zh-CN"/>
        </w:rPr>
      </w:pPr>
    </w:p>
    <w:p>
      <w:pPr>
        <w:pStyle w:val="22"/>
        <w:jc w:val="both"/>
        <w:rPr>
          <w:rFonts w:hint="eastAsia"/>
          <w:sz w:val="32"/>
          <w:szCs w:val="32"/>
          <w:lang w:val="en-US" w:eastAsia="zh-CN"/>
        </w:rPr>
      </w:pPr>
    </w:p>
    <w:p>
      <w:pPr>
        <w:pStyle w:val="22"/>
        <w:jc w:val="both"/>
        <w:rPr>
          <w:rFonts w:hint="eastAsia"/>
          <w:sz w:val="32"/>
          <w:szCs w:val="32"/>
          <w:lang w:val="en-US" w:eastAsia="zh-CN"/>
        </w:rPr>
      </w:pPr>
    </w:p>
    <w:p>
      <w:pPr>
        <w:pStyle w:val="22"/>
        <w:jc w:val="both"/>
        <w:rPr>
          <w:rFonts w:hint="eastAsia"/>
          <w:sz w:val="32"/>
          <w:szCs w:val="32"/>
          <w:lang w:val="en-US" w:eastAsia="zh-CN"/>
        </w:rPr>
      </w:pPr>
    </w:p>
    <w:p>
      <w:pPr>
        <w:pStyle w:val="22"/>
        <w:jc w:val="both"/>
        <w:rPr>
          <w:rFonts w:hint="eastAsia"/>
          <w:sz w:val="32"/>
          <w:szCs w:val="32"/>
          <w:lang w:val="en-US" w:eastAsia="zh-CN"/>
        </w:rPr>
      </w:pPr>
    </w:p>
    <w:p>
      <w:pPr>
        <w:pStyle w:val="22"/>
        <w:jc w:val="both"/>
        <w:rPr>
          <w:rFonts w:hint="eastAsia"/>
          <w:sz w:val="32"/>
          <w:szCs w:val="32"/>
          <w:lang w:val="en-US" w:eastAsia="zh-CN"/>
        </w:rPr>
      </w:pPr>
    </w:p>
    <w:p>
      <w:pPr>
        <w:pStyle w:val="22"/>
        <w:jc w:val="both"/>
        <w:rPr>
          <w:rFonts w:hint="eastAsia"/>
          <w:sz w:val="32"/>
          <w:szCs w:val="32"/>
          <w:lang w:val="en-US" w:eastAsia="zh-CN"/>
        </w:rPr>
      </w:pPr>
    </w:p>
    <w:p>
      <w:pPr>
        <w:pStyle w:val="22"/>
        <w:jc w:val="both"/>
        <w:rPr>
          <w:rFonts w:hint="eastAsia"/>
          <w:sz w:val="32"/>
          <w:szCs w:val="32"/>
          <w:lang w:val="en-US" w:eastAsia="zh-CN"/>
        </w:rPr>
      </w:pPr>
    </w:p>
    <w:p>
      <w:pPr>
        <w:pStyle w:val="22"/>
        <w:jc w:val="both"/>
        <w:rPr>
          <w:rFonts w:hint="eastAsia"/>
          <w:sz w:val="32"/>
          <w:szCs w:val="32"/>
          <w:lang w:val="en-US" w:eastAsia="zh-CN"/>
        </w:rPr>
      </w:pPr>
    </w:p>
    <w:p>
      <w:pPr>
        <w:pStyle w:val="22"/>
        <w:jc w:val="both"/>
        <w:rPr>
          <w:rFonts w:hint="eastAsia"/>
          <w:sz w:val="32"/>
          <w:szCs w:val="32"/>
          <w:lang w:val="en-US" w:eastAsia="zh-CN"/>
        </w:rPr>
      </w:pPr>
    </w:p>
    <w:p>
      <w:pPr>
        <w:pStyle w:val="22"/>
        <w:jc w:val="both"/>
        <w:rPr>
          <w:rFonts w:hint="eastAsia"/>
          <w:sz w:val="32"/>
          <w:szCs w:val="32"/>
          <w:lang w:val="en-US" w:eastAsia="zh-CN"/>
        </w:rPr>
      </w:pPr>
    </w:p>
    <w:p>
      <w:pPr>
        <w:pStyle w:val="22"/>
        <w:jc w:val="both"/>
        <w:rPr>
          <w:rFonts w:hint="eastAsia"/>
          <w:sz w:val="32"/>
          <w:szCs w:val="32"/>
          <w:lang w:val="en-US" w:eastAsia="zh-CN"/>
        </w:rPr>
      </w:pPr>
    </w:p>
    <w:p>
      <w:pPr>
        <w:pStyle w:val="22"/>
        <w:jc w:val="both"/>
        <w:rPr>
          <w:rFonts w:hint="eastAsia"/>
          <w:sz w:val="32"/>
          <w:szCs w:val="32"/>
          <w:lang w:val="en-US" w:eastAsia="zh-CN"/>
        </w:rPr>
      </w:pPr>
    </w:p>
    <w:p>
      <w:pPr>
        <w:pStyle w:val="22"/>
        <w:jc w:val="both"/>
        <w:rPr>
          <w:rFonts w:hint="eastAsia"/>
          <w:sz w:val="32"/>
          <w:szCs w:val="32"/>
          <w:lang w:val="en-US" w:eastAsia="zh-CN"/>
        </w:rPr>
      </w:pPr>
    </w:p>
    <w:tbl>
      <w:tblPr>
        <w:tblStyle w:val="9"/>
        <w:tblW w:w="147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16"/>
        <w:gridCol w:w="222"/>
        <w:gridCol w:w="222"/>
        <w:gridCol w:w="3956"/>
        <w:gridCol w:w="1265"/>
        <w:gridCol w:w="1265"/>
        <w:gridCol w:w="626"/>
        <w:gridCol w:w="660"/>
        <w:gridCol w:w="660"/>
        <w:gridCol w:w="626"/>
        <w:gridCol w:w="1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3" w:hRule="atLeast"/>
          <w:jc w:val="center"/>
        </w:trPr>
        <w:tc>
          <w:tcPr>
            <w:tcW w:w="14777"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5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部门：岳阳城陵矶综合保税区管理委员会</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5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99"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299"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644"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660"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660"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644"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459"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4209"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99"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99"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644"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644"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459"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4209"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1299"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99"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644"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644"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459"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4209"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1299"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299"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644"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644"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459"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0" w:type="auto"/>
            <w:gridSpan w:val="4"/>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9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5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0" w:type="auto"/>
            <w:gridSpan w:val="4"/>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190.78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190.78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4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156.20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156.20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5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涉外发展服务支出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其他涉外发展服务支出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4777"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pStyle w:val="22"/>
        <w:jc w:val="both"/>
        <w:rPr>
          <w:rFonts w:hint="eastAsia"/>
          <w:sz w:val="32"/>
          <w:szCs w:val="32"/>
        </w:rPr>
      </w:pPr>
    </w:p>
    <w:p>
      <w:pPr>
        <w:pStyle w:val="22"/>
        <w:jc w:val="both"/>
        <w:rPr>
          <w:rFonts w:hint="eastAsia"/>
          <w:sz w:val="32"/>
          <w:szCs w:val="32"/>
        </w:rPr>
      </w:pPr>
    </w:p>
    <w:tbl>
      <w:tblPr>
        <w:tblStyle w:val="9"/>
        <w:tblW w:w="151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16"/>
        <w:gridCol w:w="222"/>
        <w:gridCol w:w="222"/>
        <w:gridCol w:w="3956"/>
        <w:gridCol w:w="1431"/>
        <w:gridCol w:w="1431"/>
        <w:gridCol w:w="787"/>
        <w:gridCol w:w="787"/>
        <w:gridCol w:w="787"/>
        <w:gridCol w:w="1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jc w:val="center"/>
        </w:trPr>
        <w:tc>
          <w:tcPr>
            <w:tcW w:w="15176"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部门：岳阳城陵矶综合保税区管理委员会</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31"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431"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11"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811"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811"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738"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jc w:val="center"/>
        </w:trPr>
        <w:tc>
          <w:tcPr>
            <w:tcW w:w="4224"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31"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811"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811"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811"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738"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jc w:val="center"/>
        </w:trPr>
        <w:tc>
          <w:tcPr>
            <w:tcW w:w="4224"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811"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811"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811"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738"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jc w:val="center"/>
        </w:trPr>
        <w:tc>
          <w:tcPr>
            <w:tcW w:w="4224"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811"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811"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811"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738"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0" w:type="auto"/>
            <w:gridSpan w:val="4"/>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31"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31"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1"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11"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1"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38"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0" w:type="auto"/>
            <w:gridSpan w:val="4"/>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190.78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190.78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156.20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156.20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涉外发展服务支出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其他涉外发展服务支出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pStyle w:val="22"/>
        <w:jc w:val="both"/>
        <w:rPr>
          <w:rFonts w:hint="eastAsia"/>
          <w:sz w:val="32"/>
          <w:szCs w:val="32"/>
        </w:rPr>
      </w:pPr>
    </w:p>
    <w:p>
      <w:pPr>
        <w:pStyle w:val="22"/>
        <w:jc w:val="both"/>
        <w:rPr>
          <w:rFonts w:hint="eastAsia"/>
          <w:sz w:val="32"/>
          <w:szCs w:val="32"/>
        </w:rPr>
      </w:pPr>
    </w:p>
    <w:tbl>
      <w:tblPr>
        <w:tblStyle w:val="9"/>
        <w:tblW w:w="15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16"/>
        <w:gridCol w:w="549"/>
        <w:gridCol w:w="1534"/>
        <w:gridCol w:w="3516"/>
        <w:gridCol w:w="549"/>
        <w:gridCol w:w="876"/>
        <w:gridCol w:w="1508"/>
        <w:gridCol w:w="111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jc w:val="center"/>
        </w:trPr>
        <w:tc>
          <w:tcPr>
            <w:tcW w:w="15080"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部门：岳阳城陵矶综合保税区管理委员会</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785" w:type="dxa"/>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49"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534"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488"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49"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08"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191"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607"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3785"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549"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534"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3488"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549"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1508"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191"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607"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190.78</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156.20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156.20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190.78</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190.78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190.78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190.78</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190.78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190.78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15080" w:type="dxa"/>
            <w:gridSpan w:val="9"/>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080" w:type="dxa"/>
            <w:gridSpan w:val="9"/>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pStyle w:val="22"/>
        <w:jc w:val="both"/>
        <w:rPr>
          <w:rFonts w:hint="eastAsia"/>
          <w:sz w:val="32"/>
          <w:szCs w:val="32"/>
        </w:rPr>
      </w:pPr>
    </w:p>
    <w:p>
      <w:pPr>
        <w:pStyle w:val="22"/>
        <w:jc w:val="both"/>
        <w:rPr>
          <w:rFonts w:hint="eastAsia"/>
          <w:sz w:val="32"/>
          <w:szCs w:val="32"/>
        </w:rPr>
      </w:pPr>
    </w:p>
    <w:p>
      <w:pPr>
        <w:pStyle w:val="22"/>
        <w:jc w:val="both"/>
        <w:rPr>
          <w:rFonts w:hint="eastAsia"/>
          <w:sz w:val="32"/>
          <w:szCs w:val="32"/>
        </w:rPr>
      </w:pPr>
    </w:p>
    <w:p>
      <w:pPr>
        <w:pStyle w:val="22"/>
        <w:jc w:val="both"/>
        <w:rPr>
          <w:rFonts w:hint="eastAsia"/>
          <w:sz w:val="32"/>
          <w:szCs w:val="32"/>
        </w:rPr>
      </w:pPr>
    </w:p>
    <w:p>
      <w:pPr>
        <w:pStyle w:val="22"/>
        <w:jc w:val="both"/>
        <w:rPr>
          <w:rFonts w:hint="eastAsia"/>
          <w:sz w:val="32"/>
          <w:szCs w:val="32"/>
        </w:rPr>
      </w:pPr>
    </w:p>
    <w:p>
      <w:pPr>
        <w:pStyle w:val="22"/>
        <w:jc w:val="both"/>
        <w:rPr>
          <w:rFonts w:hint="eastAsia"/>
          <w:sz w:val="32"/>
          <w:szCs w:val="32"/>
        </w:rPr>
      </w:pPr>
    </w:p>
    <w:p>
      <w:pPr>
        <w:pStyle w:val="22"/>
        <w:jc w:val="both"/>
        <w:rPr>
          <w:rFonts w:hint="eastAsia"/>
          <w:sz w:val="32"/>
          <w:szCs w:val="32"/>
        </w:rPr>
      </w:pPr>
    </w:p>
    <w:p>
      <w:pPr>
        <w:pStyle w:val="22"/>
        <w:jc w:val="both"/>
        <w:rPr>
          <w:rFonts w:hint="eastAsia"/>
          <w:sz w:val="32"/>
          <w:szCs w:val="32"/>
        </w:rPr>
      </w:pPr>
    </w:p>
    <w:p>
      <w:pPr>
        <w:pStyle w:val="22"/>
        <w:jc w:val="both"/>
        <w:rPr>
          <w:rFonts w:hint="eastAsia"/>
          <w:sz w:val="32"/>
          <w:szCs w:val="32"/>
        </w:rPr>
      </w:pPr>
    </w:p>
    <w:p>
      <w:pPr>
        <w:pStyle w:val="22"/>
        <w:jc w:val="both"/>
        <w:rPr>
          <w:rFonts w:hint="eastAsia"/>
          <w:sz w:val="32"/>
          <w:szCs w:val="32"/>
        </w:rPr>
      </w:pPr>
    </w:p>
    <w:tbl>
      <w:tblPr>
        <w:tblStyle w:val="9"/>
        <w:tblW w:w="21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0"/>
        <w:gridCol w:w="288"/>
        <w:gridCol w:w="290"/>
        <w:gridCol w:w="4819"/>
        <w:gridCol w:w="1077"/>
        <w:gridCol w:w="1077"/>
        <w:gridCol w:w="1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74" w:hRule="atLeast"/>
          <w:jc w:val="center"/>
        </w:trPr>
        <w:tc>
          <w:tcPr>
            <w:tcW w:w="1422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4670"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8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1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7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7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9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4670"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部门：岳阳城陵矶综合保税区管理委员会</w:t>
            </w:r>
          </w:p>
        </w:tc>
        <w:tc>
          <w:tcPr>
            <w:tcW w:w="28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1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7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7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9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10067"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153" w:type="dxa"/>
            <w:gridSpan w:val="3"/>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5248"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4819"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77"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77"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999"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5248"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4819"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077"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077"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999"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5248"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4819"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077"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077"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999"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10067" w:type="dxa"/>
            <w:gridSpan w:val="4"/>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7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7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9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10067" w:type="dxa"/>
            <w:gridSpan w:val="4"/>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190.78</w:t>
            </w:r>
          </w:p>
        </w:tc>
        <w:tc>
          <w:tcPr>
            <w:tcW w:w="107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190.78</w:t>
            </w:r>
          </w:p>
        </w:tc>
        <w:tc>
          <w:tcPr>
            <w:tcW w:w="199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5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0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156.20</w:t>
            </w:r>
          </w:p>
        </w:tc>
        <w:tc>
          <w:tcPr>
            <w:tcW w:w="10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156.20</w:t>
            </w:r>
          </w:p>
        </w:tc>
        <w:tc>
          <w:tcPr>
            <w:tcW w:w="19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5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4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0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156.20</w:t>
            </w:r>
          </w:p>
        </w:tc>
        <w:tc>
          <w:tcPr>
            <w:tcW w:w="10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156.20</w:t>
            </w:r>
          </w:p>
        </w:tc>
        <w:tc>
          <w:tcPr>
            <w:tcW w:w="19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5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2010350</w:t>
            </w:r>
          </w:p>
        </w:tc>
        <w:tc>
          <w:tcPr>
            <w:tcW w:w="4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0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156.20</w:t>
            </w:r>
          </w:p>
        </w:tc>
        <w:tc>
          <w:tcPr>
            <w:tcW w:w="10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156.20</w:t>
            </w:r>
          </w:p>
        </w:tc>
        <w:tc>
          <w:tcPr>
            <w:tcW w:w="19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5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21.51</w:t>
            </w:r>
          </w:p>
        </w:tc>
        <w:tc>
          <w:tcPr>
            <w:tcW w:w="10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21.51</w:t>
            </w:r>
          </w:p>
        </w:tc>
        <w:tc>
          <w:tcPr>
            <w:tcW w:w="19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5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19.66</w:t>
            </w:r>
          </w:p>
        </w:tc>
        <w:tc>
          <w:tcPr>
            <w:tcW w:w="10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19.66</w:t>
            </w:r>
          </w:p>
        </w:tc>
        <w:tc>
          <w:tcPr>
            <w:tcW w:w="19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5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0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19.66</w:t>
            </w:r>
          </w:p>
        </w:tc>
        <w:tc>
          <w:tcPr>
            <w:tcW w:w="10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19.66</w:t>
            </w:r>
          </w:p>
        </w:tc>
        <w:tc>
          <w:tcPr>
            <w:tcW w:w="19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5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4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10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0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9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5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4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10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0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9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5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0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w:t>
            </w:r>
          </w:p>
        </w:tc>
        <w:tc>
          <w:tcPr>
            <w:tcW w:w="10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w:t>
            </w:r>
          </w:p>
        </w:tc>
        <w:tc>
          <w:tcPr>
            <w:tcW w:w="19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5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0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w:t>
            </w:r>
          </w:p>
        </w:tc>
        <w:tc>
          <w:tcPr>
            <w:tcW w:w="10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w:t>
            </w:r>
          </w:p>
        </w:tc>
        <w:tc>
          <w:tcPr>
            <w:tcW w:w="19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5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4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0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w:t>
            </w:r>
          </w:p>
        </w:tc>
        <w:tc>
          <w:tcPr>
            <w:tcW w:w="10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w:t>
            </w:r>
          </w:p>
        </w:tc>
        <w:tc>
          <w:tcPr>
            <w:tcW w:w="19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5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4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10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0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9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5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21606</w:t>
            </w:r>
          </w:p>
        </w:tc>
        <w:tc>
          <w:tcPr>
            <w:tcW w:w="4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涉外发展服务支出</w:t>
            </w:r>
          </w:p>
        </w:tc>
        <w:tc>
          <w:tcPr>
            <w:tcW w:w="10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0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9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524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2160699</w:t>
            </w:r>
          </w:p>
        </w:tc>
        <w:tc>
          <w:tcPr>
            <w:tcW w:w="4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其他涉外发展服务支出</w:t>
            </w:r>
          </w:p>
        </w:tc>
        <w:tc>
          <w:tcPr>
            <w:tcW w:w="10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0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9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5248"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819"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14220"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pStyle w:val="22"/>
        <w:jc w:val="both"/>
        <w:rPr>
          <w:rFonts w:hint="eastAsia" w:eastAsia="黑体"/>
          <w:sz w:val="32"/>
          <w:szCs w:val="32"/>
          <w:lang w:eastAsia="zh-CN"/>
        </w:rPr>
      </w:pPr>
      <w:r>
        <w:rPr>
          <w:rFonts w:hint="eastAsia" w:eastAsia="黑体"/>
          <w:sz w:val="32"/>
          <w:szCs w:val="32"/>
          <w:lang w:eastAsia="zh-CN"/>
        </w:rPr>
        <w:drawing>
          <wp:inline distT="0" distB="0" distL="114300" distR="114300">
            <wp:extent cx="10000615" cy="6621145"/>
            <wp:effectExtent l="0" t="0" r="635" b="8255"/>
            <wp:docPr id="4" name="图片 4" descr="548345953023ebb3f0aab4480a79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48345953023ebb3f0aab4480a79476"/>
                    <pic:cNvPicPr>
                      <a:picLocks noChangeAspect="1"/>
                    </pic:cNvPicPr>
                  </pic:nvPicPr>
                  <pic:blipFill>
                    <a:blip r:embed="rId4"/>
                    <a:stretch>
                      <a:fillRect/>
                    </a:stretch>
                  </pic:blipFill>
                  <pic:spPr>
                    <a:xfrm>
                      <a:off x="0" y="0"/>
                      <a:ext cx="10000615" cy="6621145"/>
                    </a:xfrm>
                    <a:prstGeom prst="rect">
                      <a:avLst/>
                    </a:prstGeom>
                  </pic:spPr>
                </pic:pic>
              </a:graphicData>
            </a:graphic>
          </wp:inline>
        </w:drawing>
      </w:r>
    </w:p>
    <w:p>
      <w:pPr>
        <w:pStyle w:val="22"/>
        <w:jc w:val="both"/>
        <w:rPr>
          <w:rFonts w:hint="eastAsia" w:eastAsia="黑体"/>
          <w:sz w:val="32"/>
          <w:szCs w:val="32"/>
          <w:lang w:eastAsia="zh-CN"/>
        </w:rPr>
      </w:pPr>
    </w:p>
    <w:p>
      <w:pPr>
        <w:pStyle w:val="22"/>
        <w:jc w:val="both"/>
        <w:rPr>
          <w:rFonts w:hint="eastAsia" w:eastAsia="黑体"/>
          <w:sz w:val="32"/>
          <w:szCs w:val="32"/>
          <w:lang w:eastAsia="zh-CN"/>
        </w:rPr>
      </w:pPr>
    </w:p>
    <w:tbl>
      <w:tblPr>
        <w:tblStyle w:val="9"/>
        <w:tblW w:w="14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96"/>
        <w:gridCol w:w="1185"/>
        <w:gridCol w:w="917"/>
        <w:gridCol w:w="664"/>
        <w:gridCol w:w="941"/>
        <w:gridCol w:w="656"/>
        <w:gridCol w:w="908"/>
        <w:gridCol w:w="1185"/>
        <w:gridCol w:w="880"/>
        <w:gridCol w:w="672"/>
        <w:gridCol w:w="876"/>
        <w:gridCol w:w="1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jc w:val="center"/>
        </w:trPr>
        <w:tc>
          <w:tcPr>
            <w:tcW w:w="14440"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部门：岳阳城陵矶综合保税区管理委员会</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0" w:type="auto"/>
            <w:gridSpan w:val="6"/>
            <w:tcBorders>
              <w:top w:val="single" w:color="000000" w:sz="4" w:space="0"/>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jc w:val="center"/>
        </w:trPr>
        <w:tc>
          <w:tcPr>
            <w:tcW w:w="3896" w:type="dxa"/>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8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522" w:type="dxa"/>
            <w:gridSpan w:val="3"/>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656"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908"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85"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428" w:type="dxa"/>
            <w:gridSpan w:val="3"/>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66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8" w:hRule="atLeast"/>
          <w:jc w:val="center"/>
        </w:trPr>
        <w:tc>
          <w:tcPr>
            <w:tcW w:w="3896"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6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941"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656"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908"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88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7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87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66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3896"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64"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1"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5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08"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8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8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7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76"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6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144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pStyle w:val="22"/>
        <w:jc w:val="both"/>
        <w:rPr>
          <w:rFonts w:hint="eastAsia"/>
          <w:sz w:val="32"/>
          <w:szCs w:val="32"/>
        </w:rPr>
      </w:pPr>
    </w:p>
    <w:p>
      <w:pPr>
        <w:pStyle w:val="22"/>
        <w:jc w:val="both"/>
        <w:rPr>
          <w:rFonts w:hint="eastAsia"/>
          <w:sz w:val="32"/>
          <w:szCs w:val="32"/>
        </w:rPr>
      </w:pPr>
    </w:p>
    <w:p>
      <w:pPr>
        <w:pStyle w:val="22"/>
        <w:jc w:val="both"/>
        <w:rPr>
          <w:rFonts w:hint="eastAsia"/>
          <w:sz w:val="32"/>
          <w:szCs w:val="32"/>
        </w:rPr>
      </w:pPr>
    </w:p>
    <w:p>
      <w:pPr>
        <w:pStyle w:val="22"/>
        <w:jc w:val="both"/>
        <w:rPr>
          <w:rFonts w:hint="eastAsia"/>
          <w:sz w:val="32"/>
          <w:szCs w:val="32"/>
        </w:rPr>
      </w:pPr>
    </w:p>
    <w:p>
      <w:pPr>
        <w:pStyle w:val="22"/>
        <w:jc w:val="both"/>
        <w:rPr>
          <w:rFonts w:hint="eastAsia"/>
          <w:sz w:val="32"/>
          <w:szCs w:val="32"/>
        </w:rPr>
      </w:pPr>
    </w:p>
    <w:p>
      <w:pPr>
        <w:pStyle w:val="22"/>
        <w:jc w:val="both"/>
        <w:rPr>
          <w:rFonts w:hint="eastAsia"/>
          <w:sz w:val="32"/>
          <w:szCs w:val="32"/>
        </w:rPr>
      </w:pPr>
    </w:p>
    <w:tbl>
      <w:tblPr>
        <w:tblStyle w:val="9"/>
        <w:tblW w:w="14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16"/>
        <w:gridCol w:w="222"/>
        <w:gridCol w:w="222"/>
        <w:gridCol w:w="2075"/>
        <w:gridCol w:w="1329"/>
        <w:gridCol w:w="1329"/>
        <w:gridCol w:w="1329"/>
        <w:gridCol w:w="1329"/>
        <w:gridCol w:w="1117"/>
        <w:gridCol w:w="1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466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p>
        </w:tc>
        <w:tc>
          <w:tcPr>
            <w:tcW w:w="1117" w:type="dxa"/>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p>
        </w:tc>
        <w:tc>
          <w:tcPr>
            <w:tcW w:w="1892"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部门：岳阳城陵矶综合保税区管理委员会</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p>
        </w:tc>
        <w:tc>
          <w:tcPr>
            <w:tcW w:w="1117" w:type="dxa"/>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p>
        </w:tc>
        <w:tc>
          <w:tcPr>
            <w:tcW w:w="1892"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33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1329"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329"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775" w:type="dxa"/>
            <w:gridSpan w:val="3"/>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892"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4260" w:type="dxa"/>
            <w:gridSpan w:val="3"/>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2075"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29"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329"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29"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17"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892"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335" w:type="dxa"/>
            <w:gridSpan w:val="4"/>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  次</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92"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335" w:type="dxa"/>
            <w:gridSpan w:val="4"/>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  计</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892"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892"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17"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2"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gridSpan w:val="10"/>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本单位没有政府性基金收入，也没有使用政府性基金安排的支出，故本表无数据。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pStyle w:val="22"/>
        <w:jc w:val="both"/>
        <w:rPr>
          <w:rFonts w:hint="eastAsia"/>
          <w:sz w:val="32"/>
          <w:szCs w:val="32"/>
        </w:rPr>
      </w:pPr>
    </w:p>
    <w:p>
      <w:pPr>
        <w:pStyle w:val="22"/>
        <w:jc w:val="both"/>
        <w:rPr>
          <w:rFonts w:hint="eastAsia"/>
          <w:sz w:val="32"/>
          <w:szCs w:val="32"/>
        </w:rPr>
      </w:pPr>
    </w:p>
    <w:p>
      <w:pPr>
        <w:pStyle w:val="22"/>
        <w:jc w:val="both"/>
        <w:rPr>
          <w:rFonts w:hint="eastAsia"/>
          <w:sz w:val="32"/>
          <w:szCs w:val="32"/>
        </w:rPr>
      </w:pPr>
    </w:p>
    <w:p>
      <w:pPr>
        <w:pStyle w:val="22"/>
        <w:jc w:val="both"/>
        <w:rPr>
          <w:rFonts w:hint="eastAsia"/>
          <w:sz w:val="32"/>
          <w:szCs w:val="32"/>
        </w:rPr>
      </w:pPr>
    </w:p>
    <w:p>
      <w:pPr>
        <w:pStyle w:val="22"/>
        <w:jc w:val="both"/>
        <w:rPr>
          <w:rFonts w:hint="eastAsia"/>
          <w:sz w:val="32"/>
          <w:szCs w:val="32"/>
        </w:rPr>
      </w:pPr>
    </w:p>
    <w:p>
      <w:pPr>
        <w:pStyle w:val="22"/>
        <w:jc w:val="both"/>
        <w:rPr>
          <w:rFonts w:hint="eastAsia"/>
          <w:sz w:val="32"/>
          <w:szCs w:val="32"/>
        </w:rPr>
      </w:pPr>
    </w:p>
    <w:p>
      <w:pPr>
        <w:pStyle w:val="22"/>
        <w:jc w:val="both"/>
        <w:rPr>
          <w:rFonts w:hint="eastAsia"/>
          <w:sz w:val="32"/>
          <w:szCs w:val="32"/>
        </w:rPr>
      </w:pPr>
    </w:p>
    <w:tbl>
      <w:tblPr>
        <w:tblStyle w:val="9"/>
        <w:tblW w:w="14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68"/>
        <w:gridCol w:w="324"/>
        <w:gridCol w:w="324"/>
        <w:gridCol w:w="2333"/>
        <w:gridCol w:w="1649"/>
        <w:gridCol w:w="1663"/>
        <w:gridCol w:w="2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1486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部门：岳阳城陵矶综合保税区管理委员会</w:t>
            </w:r>
          </w:p>
        </w:tc>
        <w:tc>
          <w:tcPr>
            <w:tcW w:w="0" w:type="auto"/>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noWrap/>
            <w:vAlign w:val="bottom"/>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noWrap/>
            <w:vAlign w:val="bottom"/>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869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161" w:type="dxa"/>
            <w:gridSpan w:val="3"/>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trPr>
        <w:tc>
          <w:tcPr>
            <w:tcW w:w="5937"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2762"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24"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44"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493"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trPr>
        <w:tc>
          <w:tcPr>
            <w:tcW w:w="5937"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2762"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824"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844"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2493"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jc w:val="center"/>
        </w:trPr>
        <w:tc>
          <w:tcPr>
            <w:tcW w:w="5937"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2762"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824"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844"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2493"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8699" w:type="dxa"/>
            <w:gridSpan w:val="4"/>
            <w:tcBorders>
              <w:top w:val="nil"/>
              <w:left w:val="single" w:color="000000" w:sz="4" w:space="0"/>
              <w:bottom w:val="single" w:color="000000" w:sz="4" w:space="0"/>
              <w:right w:val="single" w:color="000000" w:sz="4" w:space="0"/>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8699" w:type="dxa"/>
            <w:gridSpan w:val="4"/>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本单位没有国有资本经营收入，也没有使用国有资本经营安排的支出，故本表无数据。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注：本表反映部门本年度国有资本经营预算财政拨款收入、支出及结转和结余情况。</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bl>
    <w:p>
      <w:pPr>
        <w:pStyle w:val="22"/>
        <w:jc w:val="both"/>
        <w:rPr>
          <w:rFonts w:hint="eastAsia"/>
          <w:sz w:val="32"/>
          <w:szCs w:val="32"/>
        </w:rPr>
      </w:pPr>
    </w:p>
    <w:p>
      <w:pPr>
        <w:pStyle w:val="22"/>
        <w:jc w:val="both"/>
        <w:rPr>
          <w:rFonts w:hint="eastAsia"/>
          <w:sz w:val="32"/>
          <w:szCs w:val="32"/>
        </w:rPr>
      </w:pPr>
    </w:p>
    <w:p>
      <w:pPr>
        <w:pStyle w:val="22"/>
        <w:jc w:val="both"/>
        <w:rPr>
          <w:rFonts w:hint="eastAsia"/>
          <w:sz w:val="32"/>
          <w:szCs w:val="32"/>
        </w:rPr>
        <w:sectPr>
          <w:pgSz w:w="16838" w:h="11906" w:orient="landscape"/>
          <w:pgMar w:top="567" w:right="720" w:bottom="567" w:left="720" w:header="851" w:footer="992" w:gutter="0"/>
          <w:pgBorders>
            <w:top w:val="none" w:sz="0" w:space="0"/>
            <w:left w:val="none" w:sz="0" w:space="0"/>
            <w:bottom w:val="none" w:sz="0" w:space="0"/>
            <w:right w:val="none" w:sz="0" w:space="0"/>
          </w:pgBorders>
          <w:cols w:space="0" w:num="1"/>
          <w:rtlGutter w:val="0"/>
          <w:docGrid w:type="linesAndChars" w:linePitch="317" w:charSpace="0"/>
        </w:sectPr>
      </w:pPr>
    </w:p>
    <w:p>
      <w:pPr>
        <w:pStyle w:val="22"/>
        <w:jc w:val="both"/>
        <w:rPr>
          <w:rFonts w:hint="eastAsia"/>
          <w:sz w:val="32"/>
          <w:szCs w:val="32"/>
        </w:rPr>
      </w:pPr>
    </w:p>
    <w:p>
      <w:pPr>
        <w:pStyle w:val="22"/>
        <w:jc w:val="both"/>
        <w:rPr>
          <w:rFonts w:hint="eastAsia"/>
          <w:sz w:val="32"/>
          <w:szCs w:val="32"/>
        </w:rPr>
      </w:pPr>
    </w:p>
    <w:p>
      <w:pPr>
        <w:pStyle w:val="22"/>
        <w:jc w:val="both"/>
        <w:rPr>
          <w:rFonts w:hint="eastAsia"/>
          <w:sz w:val="32"/>
          <w:szCs w:val="32"/>
        </w:rPr>
      </w:pPr>
    </w:p>
    <w:p>
      <w:pPr>
        <w:pStyle w:val="22"/>
        <w:jc w:val="both"/>
        <w:rPr>
          <w:rFonts w:hint="eastAsia"/>
          <w:sz w:val="32"/>
          <w:szCs w:val="32"/>
        </w:rPr>
      </w:pPr>
    </w:p>
    <w:p>
      <w:pPr>
        <w:pStyle w:val="22"/>
        <w:jc w:val="both"/>
        <w:rPr>
          <w:rFonts w:hint="eastAsia"/>
          <w:sz w:val="32"/>
          <w:szCs w:val="32"/>
        </w:rPr>
      </w:pPr>
    </w:p>
    <w:p>
      <w:pPr>
        <w:pStyle w:val="22"/>
        <w:jc w:val="both"/>
        <w:rPr>
          <w:rFonts w:hint="eastAsia"/>
          <w:sz w:val="32"/>
          <w:szCs w:val="32"/>
        </w:rPr>
      </w:pPr>
    </w:p>
    <w:p>
      <w:pPr>
        <w:pStyle w:val="22"/>
        <w:jc w:val="both"/>
        <w:rPr>
          <w:rFonts w:hint="eastAsia"/>
          <w:sz w:val="32"/>
          <w:szCs w:val="32"/>
        </w:rPr>
      </w:pPr>
    </w:p>
    <w:p>
      <w:pPr>
        <w:pStyle w:val="22"/>
        <w:ind w:firstLine="3605" w:firstLineChars="500"/>
        <w:jc w:val="both"/>
        <w:rPr>
          <w:sz w:val="72"/>
          <w:szCs w:val="72"/>
        </w:rPr>
      </w:pPr>
      <w:r>
        <w:rPr>
          <w:rFonts w:hint="eastAsia"/>
          <w:sz w:val="72"/>
          <w:szCs w:val="72"/>
        </w:rPr>
        <w:t>第三部分</w:t>
      </w:r>
    </w:p>
    <w:p>
      <w:pPr>
        <w:pStyle w:val="22"/>
        <w:jc w:val="center"/>
        <w:rPr>
          <w:sz w:val="70"/>
          <w:szCs w:val="70"/>
        </w:rPr>
      </w:pPr>
    </w:p>
    <w:p>
      <w:pPr>
        <w:pStyle w:val="22"/>
        <w:jc w:val="center"/>
        <w:rPr>
          <w:rFonts w:hint="eastAsia"/>
          <w:sz w:val="70"/>
          <w:szCs w:val="70"/>
        </w:rPr>
      </w:pPr>
      <w:r>
        <w:rPr>
          <w:sz w:val="70"/>
          <w:szCs w:val="70"/>
        </w:rPr>
        <w:t>20</w:t>
      </w:r>
      <w:r>
        <w:rPr>
          <w:rFonts w:hint="eastAsia"/>
          <w:sz w:val="70"/>
          <w:szCs w:val="70"/>
        </w:rPr>
        <w:t>21年度部门决算情况说明</w:t>
      </w:r>
    </w:p>
    <w:p>
      <w:pPr>
        <w:pStyle w:val="22"/>
        <w:jc w:val="center"/>
        <w:rPr>
          <w:rFonts w:hint="eastAsia"/>
          <w:sz w:val="70"/>
          <w:szCs w:val="70"/>
        </w:rPr>
      </w:pPr>
    </w:p>
    <w:p>
      <w:pPr>
        <w:pStyle w:val="22"/>
        <w:jc w:val="center"/>
        <w:rPr>
          <w:rFonts w:hint="eastAsia"/>
          <w:sz w:val="70"/>
          <w:szCs w:val="70"/>
        </w:rPr>
      </w:pPr>
    </w:p>
    <w:p>
      <w:pPr>
        <w:pStyle w:val="22"/>
        <w:jc w:val="center"/>
        <w:rPr>
          <w:rFonts w:hint="eastAsia"/>
          <w:sz w:val="70"/>
          <w:szCs w:val="70"/>
        </w:rPr>
      </w:pPr>
    </w:p>
    <w:p>
      <w:pPr>
        <w:pStyle w:val="22"/>
        <w:jc w:val="center"/>
        <w:rPr>
          <w:rFonts w:hint="eastAsia"/>
          <w:sz w:val="70"/>
          <w:szCs w:val="70"/>
        </w:rPr>
      </w:pPr>
    </w:p>
    <w:p>
      <w:pPr>
        <w:pStyle w:val="22"/>
        <w:jc w:val="center"/>
        <w:rPr>
          <w:rFonts w:hint="eastAsia"/>
          <w:sz w:val="70"/>
          <w:szCs w:val="70"/>
        </w:rPr>
      </w:pPr>
    </w:p>
    <w:p>
      <w:pPr>
        <w:pStyle w:val="22"/>
        <w:jc w:val="center"/>
        <w:rPr>
          <w:rFonts w:hint="eastAsia"/>
          <w:sz w:val="70"/>
          <w:szCs w:val="70"/>
        </w:rPr>
      </w:pPr>
    </w:p>
    <w:p>
      <w:pPr>
        <w:pStyle w:val="22"/>
        <w:jc w:val="center"/>
        <w:rPr>
          <w:rFonts w:hint="eastAsia"/>
          <w:sz w:val="70"/>
          <w:szCs w:val="70"/>
        </w:rPr>
      </w:pPr>
    </w:p>
    <w:p>
      <w:pPr>
        <w:pStyle w:val="22"/>
        <w:jc w:val="both"/>
        <w:rPr>
          <w:rFonts w:hint="eastAsia"/>
          <w:sz w:val="70"/>
          <w:szCs w:val="70"/>
        </w:rPr>
      </w:pPr>
    </w:p>
    <w:p>
      <w:pPr>
        <w:pStyle w:val="22"/>
        <w:ind w:firstLine="642" w:firstLineChars="200"/>
        <w:rPr>
          <w:rFonts w:hAnsi="黑体"/>
          <w:b w:val="0"/>
          <w:bCs/>
          <w:sz w:val="32"/>
          <w:szCs w:val="32"/>
        </w:rPr>
      </w:pPr>
      <w:r>
        <w:rPr>
          <w:rFonts w:hint="eastAsia" w:hAnsi="黑体"/>
          <w:b w:val="0"/>
          <w:bCs/>
          <w:sz w:val="32"/>
          <w:szCs w:val="32"/>
        </w:rPr>
        <w:t>一、收入支出决算总体情况说明</w:t>
      </w:r>
    </w:p>
    <w:p>
      <w:pPr>
        <w:pStyle w:val="22"/>
        <w:ind w:firstLine="642"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2021年度收</w:t>
      </w:r>
      <w:r>
        <w:rPr>
          <w:rFonts w:hint="eastAsia" w:ascii="宋体" w:hAnsi="宋体" w:eastAsia="宋体" w:cs="宋体"/>
          <w:sz w:val="32"/>
          <w:szCs w:val="32"/>
          <w:highlight w:val="none"/>
          <w:lang w:eastAsia="zh-CN"/>
        </w:rPr>
        <w:t>入为</w:t>
      </w:r>
      <w:r>
        <w:rPr>
          <w:rFonts w:hint="eastAsia" w:ascii="宋体" w:hAnsi="宋体" w:eastAsia="宋体" w:cs="宋体"/>
          <w:sz w:val="32"/>
          <w:szCs w:val="32"/>
          <w:highlight w:val="none"/>
          <w:lang w:val="en-US" w:eastAsia="zh-CN"/>
        </w:rPr>
        <w:t>190.78万元</w:t>
      </w:r>
      <w:r>
        <w:rPr>
          <w:rFonts w:hint="eastAsia" w:ascii="宋体" w:hAnsi="宋体" w:eastAsia="宋体" w:cs="宋体"/>
          <w:sz w:val="32"/>
          <w:szCs w:val="32"/>
          <w:highlight w:val="none"/>
        </w:rPr>
        <w:t>。与上年相比，</w:t>
      </w:r>
      <w:r>
        <w:rPr>
          <w:rFonts w:hint="eastAsia" w:ascii="宋体" w:hAnsi="宋体" w:eastAsia="宋体" w:cs="宋体"/>
          <w:sz w:val="32"/>
          <w:szCs w:val="32"/>
          <w:highlight w:val="none"/>
          <w:lang w:eastAsia="zh-CN"/>
        </w:rPr>
        <w:t>减少</w:t>
      </w:r>
      <w:r>
        <w:rPr>
          <w:rFonts w:hint="eastAsia" w:ascii="宋体" w:hAnsi="宋体" w:eastAsia="宋体" w:cs="宋体"/>
          <w:sz w:val="32"/>
          <w:szCs w:val="32"/>
          <w:highlight w:val="none"/>
          <w:lang w:val="en-US" w:eastAsia="zh-CN"/>
        </w:rPr>
        <w:t>86.49</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eastAsia="zh-CN"/>
        </w:rPr>
        <w:t>减少</w:t>
      </w:r>
      <w:r>
        <w:rPr>
          <w:rFonts w:hint="eastAsia" w:ascii="宋体" w:hAnsi="宋体" w:eastAsia="宋体" w:cs="宋体"/>
          <w:sz w:val="32"/>
          <w:szCs w:val="32"/>
          <w:highlight w:val="none"/>
          <w:lang w:val="en-US" w:eastAsia="zh-CN"/>
        </w:rPr>
        <w:t>31.19</w:t>
      </w:r>
      <w:r>
        <w:rPr>
          <w:rFonts w:hint="eastAsia" w:ascii="宋体" w:hAnsi="宋体" w:eastAsia="宋体" w:cs="宋体"/>
          <w:sz w:val="32"/>
          <w:szCs w:val="32"/>
          <w:highlight w:val="none"/>
        </w:rPr>
        <w:t>%，主要是因为</w:t>
      </w:r>
      <w:r>
        <w:rPr>
          <w:rFonts w:hint="eastAsia" w:ascii="宋体" w:hAnsi="宋体" w:eastAsia="宋体" w:cs="宋体"/>
          <w:sz w:val="32"/>
          <w:szCs w:val="32"/>
          <w:highlight w:val="none"/>
          <w:lang w:eastAsia="zh-CN"/>
        </w:rPr>
        <w:t>减少了招商工作经费和专项工作经费，</w:t>
      </w:r>
      <w:r>
        <w:rPr>
          <w:rFonts w:hint="eastAsia" w:ascii="宋体" w:hAnsi="宋体" w:eastAsia="宋体" w:cs="宋体"/>
          <w:sz w:val="32"/>
          <w:szCs w:val="32"/>
          <w:highlight w:val="none"/>
        </w:rPr>
        <w:t>2021年度</w:t>
      </w:r>
      <w:r>
        <w:rPr>
          <w:rFonts w:hint="eastAsia" w:ascii="宋体" w:hAnsi="宋体" w:eastAsia="宋体" w:cs="宋体"/>
          <w:sz w:val="32"/>
          <w:szCs w:val="32"/>
          <w:highlight w:val="none"/>
          <w:lang w:eastAsia="zh-CN"/>
        </w:rPr>
        <w:t>支出为</w:t>
      </w:r>
      <w:r>
        <w:rPr>
          <w:rFonts w:hint="eastAsia" w:ascii="宋体" w:hAnsi="宋体" w:eastAsia="宋体" w:cs="宋体"/>
          <w:sz w:val="32"/>
          <w:szCs w:val="32"/>
          <w:highlight w:val="none"/>
          <w:lang w:val="en-US" w:eastAsia="zh-CN"/>
        </w:rPr>
        <w:t>190.78万元</w:t>
      </w:r>
      <w:r>
        <w:rPr>
          <w:rFonts w:hint="eastAsia" w:ascii="宋体" w:hAnsi="宋体" w:eastAsia="宋体" w:cs="宋体"/>
          <w:sz w:val="32"/>
          <w:szCs w:val="32"/>
          <w:highlight w:val="none"/>
        </w:rPr>
        <w:t>。与上年相比</w:t>
      </w:r>
      <w:r>
        <w:rPr>
          <w:rFonts w:hint="eastAsia" w:ascii="宋体" w:hAnsi="宋体" w:eastAsia="宋体" w:cs="宋体"/>
          <w:sz w:val="32"/>
          <w:szCs w:val="32"/>
          <w:highlight w:val="none"/>
          <w:lang w:eastAsia="zh-CN"/>
        </w:rPr>
        <w:t>减少</w:t>
      </w:r>
      <w:r>
        <w:rPr>
          <w:rFonts w:hint="eastAsia" w:ascii="宋体" w:hAnsi="宋体" w:eastAsia="宋体" w:cs="宋体"/>
          <w:sz w:val="32"/>
          <w:szCs w:val="32"/>
          <w:highlight w:val="none"/>
          <w:lang w:val="en-US" w:eastAsia="zh-CN"/>
        </w:rPr>
        <w:t>86.49</w:t>
      </w:r>
      <w:r>
        <w:rPr>
          <w:rFonts w:hint="eastAsia" w:ascii="宋体" w:hAnsi="宋体" w:eastAsia="宋体" w:cs="宋体"/>
          <w:sz w:val="32"/>
          <w:szCs w:val="32"/>
          <w:highlight w:val="none"/>
        </w:rPr>
        <w:t>万元，减少</w:t>
      </w:r>
      <w:r>
        <w:rPr>
          <w:rFonts w:hint="eastAsia" w:ascii="宋体" w:hAnsi="宋体" w:eastAsia="宋体" w:cs="宋体"/>
          <w:sz w:val="32"/>
          <w:szCs w:val="32"/>
          <w:highlight w:val="none"/>
          <w:lang w:val="en-US" w:eastAsia="zh-CN"/>
        </w:rPr>
        <w:t>31.19</w:t>
      </w:r>
      <w:r>
        <w:rPr>
          <w:rFonts w:hint="eastAsia" w:ascii="宋体" w:hAnsi="宋体" w:eastAsia="宋体" w:cs="宋体"/>
          <w:sz w:val="32"/>
          <w:szCs w:val="32"/>
          <w:highlight w:val="none"/>
        </w:rPr>
        <w:t>%，主要是因为</w:t>
      </w:r>
      <w:r>
        <w:rPr>
          <w:rFonts w:hint="eastAsia" w:ascii="宋体" w:hAnsi="宋体" w:eastAsia="宋体" w:cs="宋体"/>
          <w:sz w:val="32"/>
          <w:szCs w:val="32"/>
          <w:highlight w:val="none"/>
          <w:lang w:eastAsia="zh-CN"/>
        </w:rPr>
        <w:t>减少了招商工作经费和专项工作经费。</w:t>
      </w:r>
    </w:p>
    <w:p>
      <w:pPr>
        <w:pStyle w:val="22"/>
        <w:ind w:firstLine="642" w:firstLineChars="200"/>
        <w:rPr>
          <w:rFonts w:hAnsi="黑体"/>
          <w:b w:val="0"/>
          <w:bCs/>
          <w:sz w:val="32"/>
          <w:szCs w:val="32"/>
        </w:rPr>
      </w:pPr>
      <w:r>
        <w:rPr>
          <w:rFonts w:hint="eastAsia" w:hAnsi="黑体"/>
          <w:b w:val="0"/>
          <w:bCs/>
          <w:sz w:val="32"/>
          <w:szCs w:val="32"/>
          <w:highlight w:val="none"/>
        </w:rPr>
        <w:t>二、收入决算情况说</w:t>
      </w:r>
      <w:r>
        <w:rPr>
          <w:rFonts w:hint="eastAsia" w:hAnsi="黑体"/>
          <w:b w:val="0"/>
          <w:bCs/>
          <w:sz w:val="32"/>
          <w:szCs w:val="32"/>
        </w:rPr>
        <w:t>明</w:t>
      </w:r>
    </w:p>
    <w:p>
      <w:pPr>
        <w:pStyle w:val="22"/>
        <w:ind w:firstLine="642" w:firstLineChars="200"/>
        <w:rPr>
          <w:rFonts w:hint="eastAsia" w:ascii="宋体" w:hAnsi="宋体" w:eastAsia="宋体" w:cs="宋体"/>
          <w:sz w:val="32"/>
          <w:szCs w:val="32"/>
          <w:lang w:eastAsia="zh-CN"/>
        </w:rPr>
      </w:pPr>
      <w:r>
        <w:rPr>
          <w:rFonts w:hint="eastAsia" w:ascii="宋体" w:hAnsi="宋体" w:eastAsia="宋体" w:cs="宋体"/>
          <w:sz w:val="32"/>
          <w:szCs w:val="32"/>
        </w:rPr>
        <w:t>2021年度收入合计</w:t>
      </w:r>
      <w:r>
        <w:rPr>
          <w:rFonts w:hint="eastAsia" w:ascii="宋体" w:hAnsi="宋体" w:eastAsia="宋体" w:cs="宋体"/>
          <w:sz w:val="32"/>
          <w:szCs w:val="32"/>
          <w:lang w:val="en-US" w:eastAsia="zh-CN"/>
        </w:rPr>
        <w:t>190.78</w:t>
      </w:r>
      <w:r>
        <w:rPr>
          <w:rFonts w:hint="eastAsia" w:ascii="宋体" w:hAnsi="宋体" w:eastAsia="宋体" w:cs="宋体"/>
          <w:sz w:val="32"/>
          <w:szCs w:val="32"/>
        </w:rPr>
        <w:t>万元，其中：财政拨款收入</w:t>
      </w:r>
      <w:r>
        <w:rPr>
          <w:rFonts w:hint="eastAsia" w:ascii="宋体" w:hAnsi="宋体" w:eastAsia="宋体" w:cs="宋体"/>
          <w:sz w:val="32"/>
          <w:szCs w:val="32"/>
          <w:lang w:val="en-US" w:eastAsia="zh-CN"/>
        </w:rPr>
        <w:t>190.78</w:t>
      </w:r>
      <w:r>
        <w:rPr>
          <w:rFonts w:hint="eastAsia" w:ascii="宋体" w:hAnsi="宋体" w:eastAsia="宋体" w:cs="宋体"/>
          <w:sz w:val="32"/>
          <w:szCs w:val="32"/>
        </w:rPr>
        <w:t>万元，占</w:t>
      </w:r>
      <w:r>
        <w:rPr>
          <w:rFonts w:hint="eastAsia" w:ascii="宋体" w:hAnsi="宋体" w:eastAsia="宋体" w:cs="宋体"/>
          <w:sz w:val="32"/>
          <w:szCs w:val="32"/>
          <w:lang w:val="en-US" w:eastAsia="zh-CN"/>
        </w:rPr>
        <w:t>100</w:t>
      </w:r>
      <w:r>
        <w:rPr>
          <w:rFonts w:hint="eastAsia" w:ascii="宋体" w:hAnsi="宋体" w:eastAsia="宋体" w:cs="宋体"/>
          <w:sz w:val="32"/>
          <w:szCs w:val="32"/>
        </w:rPr>
        <w:t>%</w:t>
      </w:r>
      <w:r>
        <w:rPr>
          <w:rFonts w:hint="eastAsia" w:ascii="宋体" w:hAnsi="宋体" w:eastAsia="宋体" w:cs="宋体"/>
          <w:sz w:val="32"/>
          <w:szCs w:val="32"/>
          <w:lang w:eastAsia="zh-CN"/>
        </w:rPr>
        <w:t>。</w:t>
      </w:r>
      <w:r>
        <w:rPr>
          <w:rFonts w:hint="eastAsia" w:ascii="宋体" w:hAnsi="宋体" w:eastAsia="宋体" w:cs="宋体"/>
          <w:sz w:val="32"/>
          <w:szCs w:val="32"/>
        </w:rPr>
        <w:t>上级补助收入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%；事业收入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%；经营收入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%；附属单位上缴收入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%；其他收入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w:t>
      </w:r>
    </w:p>
    <w:p>
      <w:pPr>
        <w:pStyle w:val="22"/>
        <w:ind w:firstLine="642" w:firstLineChars="200"/>
        <w:rPr>
          <w:rFonts w:hAnsi="黑体"/>
          <w:b w:val="0"/>
          <w:bCs/>
          <w:sz w:val="32"/>
          <w:szCs w:val="32"/>
        </w:rPr>
      </w:pPr>
      <w:r>
        <w:rPr>
          <w:rFonts w:hint="eastAsia" w:hAnsi="黑体"/>
          <w:b w:val="0"/>
          <w:bCs/>
          <w:sz w:val="32"/>
          <w:szCs w:val="32"/>
        </w:rPr>
        <w:t>三、支出决算情况说明</w:t>
      </w:r>
    </w:p>
    <w:p>
      <w:pPr>
        <w:pStyle w:val="22"/>
        <w:ind w:firstLine="642" w:firstLineChars="200"/>
        <w:rPr>
          <w:rFonts w:hint="eastAsia" w:ascii="宋体" w:hAnsi="宋体" w:eastAsia="宋体" w:cs="宋体"/>
          <w:sz w:val="32"/>
          <w:szCs w:val="32"/>
        </w:rPr>
      </w:pPr>
      <w:r>
        <w:rPr>
          <w:rFonts w:hint="eastAsia" w:ascii="宋体" w:hAnsi="宋体" w:eastAsia="宋体" w:cs="宋体"/>
          <w:sz w:val="32"/>
          <w:szCs w:val="32"/>
        </w:rPr>
        <w:t>2021年度支出合计</w:t>
      </w:r>
      <w:r>
        <w:rPr>
          <w:rFonts w:hint="eastAsia" w:ascii="宋体" w:hAnsi="宋体" w:eastAsia="宋体" w:cs="宋体"/>
          <w:sz w:val="32"/>
          <w:szCs w:val="32"/>
          <w:lang w:val="en-US" w:eastAsia="zh-CN"/>
        </w:rPr>
        <w:t>190.78</w:t>
      </w:r>
      <w:r>
        <w:rPr>
          <w:rFonts w:hint="eastAsia" w:ascii="宋体" w:hAnsi="宋体" w:eastAsia="宋体" w:cs="宋体"/>
          <w:sz w:val="32"/>
          <w:szCs w:val="32"/>
        </w:rPr>
        <w:t>万元，其中：基本支出</w:t>
      </w:r>
      <w:r>
        <w:rPr>
          <w:rFonts w:hint="eastAsia" w:ascii="宋体" w:hAnsi="宋体" w:eastAsia="宋体" w:cs="宋体"/>
          <w:sz w:val="32"/>
          <w:szCs w:val="32"/>
          <w:lang w:val="en-US" w:eastAsia="zh-CN"/>
        </w:rPr>
        <w:t>190.78</w:t>
      </w:r>
      <w:r>
        <w:rPr>
          <w:rFonts w:hint="eastAsia" w:ascii="宋体" w:hAnsi="宋体" w:eastAsia="宋体" w:cs="宋体"/>
          <w:sz w:val="32"/>
          <w:szCs w:val="32"/>
        </w:rPr>
        <w:t>万元，占</w:t>
      </w:r>
      <w:r>
        <w:rPr>
          <w:rFonts w:hint="eastAsia" w:ascii="宋体" w:hAnsi="宋体" w:eastAsia="宋体" w:cs="宋体"/>
          <w:sz w:val="32"/>
          <w:szCs w:val="32"/>
          <w:lang w:val="en-US" w:eastAsia="zh-CN"/>
        </w:rPr>
        <w:t>100</w:t>
      </w:r>
      <w:r>
        <w:rPr>
          <w:rFonts w:hint="eastAsia" w:ascii="宋体" w:hAnsi="宋体" w:eastAsia="宋体" w:cs="宋体"/>
          <w:sz w:val="32"/>
          <w:szCs w:val="32"/>
        </w:rPr>
        <w:t>%</w:t>
      </w:r>
      <w:r>
        <w:rPr>
          <w:rFonts w:hint="eastAsia" w:ascii="宋体" w:hAnsi="宋体" w:eastAsia="宋体" w:cs="宋体"/>
          <w:sz w:val="32"/>
          <w:szCs w:val="32"/>
          <w:lang w:eastAsia="zh-CN"/>
        </w:rPr>
        <w:t>。</w:t>
      </w:r>
      <w:r>
        <w:rPr>
          <w:rFonts w:hint="eastAsia" w:ascii="宋体" w:hAnsi="宋体" w:eastAsia="宋体" w:cs="宋体"/>
          <w:sz w:val="32"/>
          <w:szCs w:val="32"/>
        </w:rPr>
        <w:t>；项目支出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%；上缴上级支出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%；经营支出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%；对附属单位补助支出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w:t>
      </w:r>
    </w:p>
    <w:p>
      <w:pPr>
        <w:pStyle w:val="22"/>
        <w:ind w:firstLine="642" w:firstLineChars="200"/>
        <w:rPr>
          <w:rFonts w:hAnsi="黑体"/>
          <w:b w:val="0"/>
          <w:bCs/>
          <w:sz w:val="32"/>
          <w:szCs w:val="32"/>
        </w:rPr>
      </w:pPr>
      <w:r>
        <w:rPr>
          <w:rFonts w:hint="eastAsia" w:hAnsi="黑体"/>
          <w:b w:val="0"/>
          <w:bCs/>
          <w:sz w:val="32"/>
          <w:szCs w:val="32"/>
        </w:rPr>
        <w:t>四、财政拨款收入支出决算总体情况说明</w:t>
      </w:r>
    </w:p>
    <w:p>
      <w:pPr>
        <w:pStyle w:val="22"/>
        <w:ind w:firstLine="642" w:firstLineChars="200"/>
        <w:rPr>
          <w:rFonts w:hint="eastAsia" w:ascii="宋体" w:hAnsi="宋体" w:eastAsia="宋体" w:cs="宋体"/>
          <w:sz w:val="32"/>
          <w:szCs w:val="32"/>
          <w:lang w:val="en-US" w:eastAsia="zh-CN"/>
        </w:rPr>
      </w:pPr>
      <w:r>
        <w:rPr>
          <w:rFonts w:hint="eastAsia" w:ascii="宋体" w:hAnsi="宋体" w:eastAsia="宋体" w:cs="宋体"/>
          <w:sz w:val="32"/>
          <w:szCs w:val="32"/>
          <w:lang w:eastAsia="zh-CN"/>
        </w:rPr>
        <w:t>本年财政拨款收入</w:t>
      </w:r>
      <w:r>
        <w:rPr>
          <w:rFonts w:hint="eastAsia" w:ascii="宋体" w:hAnsi="宋体" w:eastAsia="宋体" w:cs="宋体"/>
          <w:sz w:val="32"/>
          <w:szCs w:val="32"/>
          <w:lang w:val="en-US" w:eastAsia="zh-CN"/>
        </w:rPr>
        <w:t>190.78万元，其中一般公共预算财政拨款收入190.78万元，</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86.49</w:t>
      </w:r>
      <w:r>
        <w:rPr>
          <w:rFonts w:hint="eastAsia" w:ascii="宋体" w:hAnsi="宋体" w:eastAsia="宋体" w:cs="宋体"/>
          <w:sz w:val="32"/>
          <w:szCs w:val="32"/>
        </w:rPr>
        <w:t>万元，</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31.19</w:t>
      </w:r>
      <w:r>
        <w:rPr>
          <w:rFonts w:hint="eastAsia" w:ascii="宋体" w:hAnsi="宋体" w:eastAsia="宋体" w:cs="宋体"/>
          <w:sz w:val="32"/>
          <w:szCs w:val="32"/>
        </w:rPr>
        <w:t>%，主要是因为</w:t>
      </w:r>
      <w:r>
        <w:rPr>
          <w:rFonts w:hint="eastAsia" w:ascii="宋体" w:hAnsi="宋体" w:eastAsia="宋体" w:cs="宋体"/>
          <w:sz w:val="32"/>
          <w:szCs w:val="32"/>
          <w:lang w:eastAsia="zh-CN"/>
        </w:rPr>
        <w:t>减少了招商工作经费和专项工作经费</w:t>
      </w:r>
      <w:r>
        <w:rPr>
          <w:rFonts w:hint="eastAsia" w:ascii="宋体" w:hAnsi="宋体" w:eastAsia="宋体" w:cs="宋体"/>
          <w:sz w:val="32"/>
          <w:szCs w:val="32"/>
          <w:lang w:val="en-US" w:eastAsia="zh-CN"/>
        </w:rPr>
        <w:t>。</w:t>
      </w:r>
    </w:p>
    <w:p>
      <w:pPr>
        <w:pStyle w:val="22"/>
        <w:ind w:firstLine="642" w:firstLineChars="200"/>
        <w:rPr>
          <w:rFonts w:hint="eastAsia" w:ascii="宋体" w:hAnsi="宋体" w:eastAsia="宋体" w:cs="宋体"/>
          <w:sz w:val="32"/>
          <w:szCs w:val="32"/>
        </w:rPr>
      </w:pPr>
      <w:r>
        <w:rPr>
          <w:rFonts w:hint="eastAsia" w:ascii="宋体" w:hAnsi="宋体" w:eastAsia="宋体" w:cs="宋体"/>
          <w:sz w:val="32"/>
          <w:szCs w:val="32"/>
          <w:lang w:val="en-US" w:eastAsia="zh-CN"/>
        </w:rPr>
        <w:t>本年财政拨款支出190.78万元，其中一般公共预算财政拨款支出190.78万元，</w:t>
      </w:r>
      <w:r>
        <w:rPr>
          <w:rFonts w:hint="eastAsia" w:ascii="宋体" w:hAnsi="宋体" w:eastAsia="宋体" w:cs="宋体"/>
          <w:sz w:val="32"/>
          <w:szCs w:val="32"/>
        </w:rPr>
        <w:t>与上年相比</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86.49</w:t>
      </w:r>
      <w:r>
        <w:rPr>
          <w:rFonts w:hint="eastAsia" w:ascii="宋体" w:hAnsi="宋体" w:eastAsia="宋体" w:cs="宋体"/>
          <w:sz w:val="32"/>
          <w:szCs w:val="32"/>
        </w:rPr>
        <w:t>万元，减少</w:t>
      </w:r>
      <w:r>
        <w:rPr>
          <w:rFonts w:hint="eastAsia" w:ascii="宋体" w:hAnsi="宋体" w:eastAsia="宋体" w:cs="宋体"/>
          <w:sz w:val="32"/>
          <w:szCs w:val="32"/>
          <w:lang w:val="en-US" w:eastAsia="zh-CN"/>
        </w:rPr>
        <w:t>31.19</w:t>
      </w:r>
      <w:r>
        <w:rPr>
          <w:rFonts w:hint="eastAsia" w:ascii="宋体" w:hAnsi="宋体" w:eastAsia="宋体" w:cs="宋体"/>
          <w:sz w:val="32"/>
          <w:szCs w:val="32"/>
        </w:rPr>
        <w:t>%，主要是因为</w:t>
      </w:r>
      <w:r>
        <w:rPr>
          <w:rFonts w:hint="eastAsia" w:ascii="宋体" w:hAnsi="宋体" w:eastAsia="宋体" w:cs="宋体"/>
          <w:sz w:val="32"/>
          <w:szCs w:val="32"/>
          <w:lang w:eastAsia="zh-CN"/>
        </w:rPr>
        <w:t>减少了招商工作经费和专项工作经费。</w:t>
      </w:r>
    </w:p>
    <w:p>
      <w:pPr>
        <w:pStyle w:val="22"/>
        <w:ind w:firstLine="642" w:firstLineChars="200"/>
        <w:rPr>
          <w:rFonts w:hAnsi="黑体"/>
          <w:b w:val="0"/>
          <w:bCs/>
          <w:sz w:val="32"/>
          <w:szCs w:val="32"/>
        </w:rPr>
      </w:pPr>
      <w:r>
        <w:rPr>
          <w:rFonts w:hint="eastAsia" w:hAnsi="黑体"/>
          <w:b w:val="0"/>
          <w:bCs/>
          <w:sz w:val="32"/>
          <w:szCs w:val="32"/>
        </w:rPr>
        <w:t>五、一般公共预算财政拨款支出决算情况说明</w:t>
      </w:r>
    </w:p>
    <w:p>
      <w:pPr>
        <w:pStyle w:val="22"/>
        <w:ind w:firstLine="642" w:firstLineChars="200"/>
        <w:rPr>
          <w:rFonts w:hint="eastAsia" w:ascii="宋体" w:hAnsi="宋体" w:eastAsia="宋体" w:cs="宋体"/>
          <w:b w:val="0"/>
          <w:bCs/>
          <w:sz w:val="32"/>
          <w:szCs w:val="32"/>
        </w:rPr>
      </w:pPr>
      <w:r>
        <w:rPr>
          <w:rFonts w:hint="eastAsia" w:ascii="宋体" w:hAnsi="宋体" w:eastAsia="宋体" w:cs="宋体"/>
          <w:b w:val="0"/>
          <w:bCs/>
          <w:sz w:val="32"/>
          <w:szCs w:val="32"/>
        </w:rPr>
        <w:t>（一）财政拨款支出决算总体情况</w:t>
      </w:r>
    </w:p>
    <w:p>
      <w:pPr>
        <w:pStyle w:val="22"/>
        <w:keepNext w:val="0"/>
        <w:keepLines w:val="0"/>
        <w:pageBreakBefore w:val="0"/>
        <w:widowControl w:val="0"/>
        <w:kinsoku/>
        <w:wordWrap/>
        <w:overflowPunct/>
        <w:topLinePunct w:val="0"/>
        <w:autoSpaceDE w:val="0"/>
        <w:autoSpaceDN w:val="0"/>
        <w:bidi w:val="0"/>
        <w:adjustRightInd w:val="0"/>
        <w:snapToGrid/>
        <w:spacing w:line="600" w:lineRule="exact"/>
        <w:ind w:firstLine="642"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202</w:t>
      </w:r>
      <w:r>
        <w:rPr>
          <w:rFonts w:hint="eastAsia" w:ascii="宋体" w:hAnsi="宋体" w:eastAsia="宋体" w:cs="宋体"/>
          <w:sz w:val="32"/>
          <w:szCs w:val="32"/>
          <w:lang w:val="en-US" w:eastAsia="zh-CN"/>
        </w:rPr>
        <w:t>1</w:t>
      </w:r>
      <w:r>
        <w:rPr>
          <w:rFonts w:hint="eastAsia" w:ascii="宋体" w:hAnsi="宋体" w:eastAsia="宋体" w:cs="宋体"/>
          <w:sz w:val="32"/>
          <w:szCs w:val="32"/>
        </w:rPr>
        <w:t>年度财政拨款支出</w:t>
      </w:r>
      <w:r>
        <w:rPr>
          <w:rFonts w:hint="eastAsia" w:ascii="宋体" w:hAnsi="宋体" w:eastAsia="宋体" w:cs="宋体"/>
          <w:sz w:val="32"/>
          <w:szCs w:val="32"/>
          <w:lang w:val="en-US" w:eastAsia="zh-CN"/>
        </w:rPr>
        <w:t>190.78</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rPr>
        <w:t>占本年支出合计的</w:t>
      </w:r>
      <w:r>
        <w:rPr>
          <w:rFonts w:hint="eastAsia" w:ascii="宋体" w:hAnsi="宋体" w:eastAsia="宋体" w:cs="宋体"/>
          <w:sz w:val="32"/>
          <w:szCs w:val="32"/>
          <w:lang w:val="en-US" w:eastAsia="zh-CN"/>
        </w:rPr>
        <w:t>100</w:t>
      </w:r>
      <w:r>
        <w:rPr>
          <w:rFonts w:hint="eastAsia" w:ascii="宋体" w:hAnsi="宋体" w:eastAsia="宋体" w:cs="宋体"/>
          <w:sz w:val="32"/>
          <w:szCs w:val="32"/>
        </w:rPr>
        <w:t>%，与上年相比，财政拨款支出减少</w:t>
      </w:r>
      <w:r>
        <w:rPr>
          <w:rFonts w:hint="eastAsia" w:ascii="宋体" w:hAnsi="宋体" w:eastAsia="宋体" w:cs="宋体"/>
          <w:sz w:val="32"/>
          <w:szCs w:val="32"/>
          <w:lang w:val="en-US" w:eastAsia="zh-CN"/>
        </w:rPr>
        <w:t>86.49</w:t>
      </w:r>
      <w:r>
        <w:rPr>
          <w:rFonts w:hint="eastAsia" w:ascii="宋体" w:hAnsi="宋体" w:eastAsia="宋体" w:cs="宋体"/>
          <w:sz w:val="32"/>
          <w:szCs w:val="32"/>
        </w:rPr>
        <w:t>万元，减少</w:t>
      </w:r>
      <w:r>
        <w:rPr>
          <w:rFonts w:hint="eastAsia" w:ascii="宋体" w:hAnsi="宋体" w:eastAsia="宋体" w:cs="宋体"/>
          <w:sz w:val="32"/>
          <w:szCs w:val="32"/>
          <w:lang w:val="en-US" w:eastAsia="zh-CN"/>
        </w:rPr>
        <w:t>31.19</w:t>
      </w:r>
      <w:r>
        <w:rPr>
          <w:rFonts w:hint="eastAsia" w:ascii="宋体" w:hAnsi="宋体" w:eastAsia="宋体" w:cs="宋体"/>
          <w:sz w:val="32"/>
          <w:szCs w:val="32"/>
        </w:rPr>
        <w:t>%，</w:t>
      </w:r>
      <w:r>
        <w:rPr>
          <w:rFonts w:hint="eastAsia" w:ascii="宋体" w:hAnsi="宋体" w:eastAsia="宋体" w:cs="宋体"/>
          <w:sz w:val="32"/>
          <w:szCs w:val="32"/>
          <w:highlight w:val="none"/>
        </w:rPr>
        <w:t>主要是因为</w:t>
      </w:r>
      <w:r>
        <w:rPr>
          <w:rFonts w:hint="eastAsia" w:ascii="宋体" w:hAnsi="宋体" w:eastAsia="宋体" w:cs="宋体"/>
          <w:sz w:val="32"/>
          <w:szCs w:val="32"/>
          <w:highlight w:val="none"/>
          <w:lang w:eastAsia="zh-CN"/>
        </w:rPr>
        <w:t>减少了招商工作经费和专项工作经费</w:t>
      </w:r>
      <w:r>
        <w:rPr>
          <w:rFonts w:hint="eastAsia" w:ascii="宋体" w:hAnsi="宋体" w:eastAsia="宋体" w:cs="宋体"/>
          <w:sz w:val="32"/>
          <w:szCs w:val="32"/>
          <w:lang w:val="en-US" w:eastAsia="zh-CN"/>
        </w:rPr>
        <w:t>。</w:t>
      </w:r>
    </w:p>
    <w:p>
      <w:pPr>
        <w:pStyle w:val="22"/>
        <w:ind w:firstLine="481" w:firstLineChars="150"/>
        <w:rPr>
          <w:rFonts w:hint="eastAsia" w:ascii="宋体" w:hAnsi="宋体" w:eastAsia="宋体" w:cs="宋体"/>
          <w:b w:val="0"/>
          <w:bCs/>
          <w:sz w:val="32"/>
          <w:szCs w:val="32"/>
        </w:rPr>
      </w:pPr>
      <w:r>
        <w:rPr>
          <w:rFonts w:hint="eastAsia" w:ascii="宋体" w:hAnsi="宋体" w:eastAsia="宋体" w:cs="宋体"/>
          <w:b w:val="0"/>
          <w:bCs/>
          <w:sz w:val="32"/>
          <w:szCs w:val="32"/>
        </w:rPr>
        <w:t>（二）财政拨款支出决算结构情况</w:t>
      </w:r>
    </w:p>
    <w:p>
      <w:pPr>
        <w:pStyle w:val="22"/>
        <w:ind w:firstLine="642" w:firstLineChars="200"/>
        <w:rPr>
          <w:rFonts w:hint="eastAsia" w:ascii="宋体" w:hAnsi="宋体" w:eastAsia="宋体" w:cs="宋体"/>
          <w:sz w:val="32"/>
          <w:szCs w:val="32"/>
        </w:rPr>
      </w:pPr>
      <w:r>
        <w:rPr>
          <w:rFonts w:hint="eastAsia" w:ascii="宋体" w:hAnsi="宋体" w:eastAsia="宋体" w:cs="宋体"/>
          <w:sz w:val="32"/>
          <w:szCs w:val="32"/>
        </w:rPr>
        <w:t>2021年度财政拨款支出</w:t>
      </w:r>
      <w:r>
        <w:rPr>
          <w:rFonts w:hint="eastAsia" w:ascii="宋体" w:hAnsi="宋体" w:eastAsia="宋体" w:cs="宋体"/>
          <w:sz w:val="32"/>
          <w:szCs w:val="32"/>
          <w:lang w:val="en-US" w:eastAsia="zh-CN"/>
        </w:rPr>
        <w:t>190.78</w:t>
      </w:r>
      <w:r>
        <w:rPr>
          <w:rFonts w:hint="eastAsia" w:ascii="宋体" w:hAnsi="宋体" w:eastAsia="宋体" w:cs="宋体"/>
          <w:sz w:val="32"/>
          <w:szCs w:val="32"/>
        </w:rPr>
        <w:t>万元，主要用于以下方面：一般公共服务</w:t>
      </w:r>
      <w:r>
        <w:rPr>
          <w:rFonts w:hint="eastAsia" w:ascii="宋体" w:hAnsi="宋体" w:eastAsia="宋体" w:cs="宋体"/>
          <w:sz w:val="32"/>
          <w:szCs w:val="32"/>
          <w:lang w:eastAsia="zh-CN"/>
        </w:rPr>
        <w:t>（类）</w:t>
      </w:r>
      <w:r>
        <w:rPr>
          <w:rFonts w:hint="eastAsia" w:ascii="宋体" w:hAnsi="宋体" w:eastAsia="宋体" w:cs="宋体"/>
          <w:sz w:val="32"/>
          <w:szCs w:val="32"/>
        </w:rPr>
        <w:t>支出</w:t>
      </w:r>
      <w:r>
        <w:rPr>
          <w:rFonts w:hint="eastAsia" w:ascii="宋体" w:hAnsi="宋体" w:eastAsia="宋体" w:cs="宋体"/>
          <w:sz w:val="32"/>
          <w:szCs w:val="32"/>
          <w:lang w:val="en-US" w:eastAsia="zh-CN"/>
        </w:rPr>
        <w:t>156.2</w:t>
      </w:r>
      <w:r>
        <w:rPr>
          <w:rFonts w:hint="eastAsia" w:ascii="宋体" w:hAnsi="宋体" w:eastAsia="宋体" w:cs="宋体"/>
          <w:sz w:val="32"/>
          <w:szCs w:val="32"/>
        </w:rPr>
        <w:t>万元，占</w:t>
      </w:r>
      <w:r>
        <w:rPr>
          <w:rFonts w:hint="eastAsia" w:ascii="宋体" w:hAnsi="宋体" w:eastAsia="宋体" w:cs="宋体"/>
          <w:sz w:val="32"/>
          <w:szCs w:val="32"/>
          <w:lang w:val="en-US" w:eastAsia="zh-CN"/>
        </w:rPr>
        <w:t>81.88</w:t>
      </w:r>
      <w:r>
        <w:rPr>
          <w:rFonts w:hint="eastAsia" w:ascii="宋体" w:hAnsi="宋体" w:eastAsia="宋体" w:cs="宋体"/>
          <w:sz w:val="32"/>
          <w:szCs w:val="32"/>
        </w:rPr>
        <w:t>%；</w:t>
      </w:r>
      <w:r>
        <w:rPr>
          <w:rFonts w:hint="eastAsia" w:ascii="宋体" w:hAnsi="宋体" w:eastAsia="宋体" w:cs="宋体"/>
          <w:sz w:val="32"/>
          <w:szCs w:val="32"/>
          <w:lang w:eastAsia="zh-CN"/>
        </w:rPr>
        <w:t>社会保障和就业（类）</w:t>
      </w:r>
      <w:r>
        <w:rPr>
          <w:rFonts w:hint="eastAsia" w:ascii="宋体" w:hAnsi="宋体" w:eastAsia="宋体" w:cs="宋体"/>
          <w:sz w:val="32"/>
          <w:szCs w:val="32"/>
        </w:rPr>
        <w:t>支出</w:t>
      </w:r>
      <w:r>
        <w:rPr>
          <w:rFonts w:hint="eastAsia" w:ascii="宋体" w:hAnsi="宋体" w:eastAsia="宋体" w:cs="宋体"/>
          <w:sz w:val="32"/>
          <w:szCs w:val="32"/>
          <w:lang w:val="en-US" w:eastAsia="zh-CN"/>
        </w:rPr>
        <w:t>21.51</w:t>
      </w:r>
      <w:r>
        <w:rPr>
          <w:rFonts w:hint="eastAsia" w:ascii="宋体" w:hAnsi="宋体" w:eastAsia="宋体" w:cs="宋体"/>
          <w:sz w:val="32"/>
          <w:szCs w:val="32"/>
        </w:rPr>
        <w:t>万元，占</w:t>
      </w:r>
      <w:r>
        <w:rPr>
          <w:rFonts w:hint="eastAsia" w:ascii="宋体" w:hAnsi="宋体" w:eastAsia="宋体" w:cs="宋体"/>
          <w:sz w:val="32"/>
          <w:szCs w:val="32"/>
          <w:lang w:val="en-US" w:eastAsia="zh-CN"/>
        </w:rPr>
        <w:t>11.27</w:t>
      </w:r>
      <w:r>
        <w:rPr>
          <w:rFonts w:hint="eastAsia" w:ascii="宋体" w:hAnsi="宋体" w:eastAsia="宋体" w:cs="宋体"/>
          <w:sz w:val="32"/>
          <w:szCs w:val="32"/>
        </w:rPr>
        <w:t>%;</w:t>
      </w:r>
      <w:r>
        <w:rPr>
          <w:rFonts w:hint="eastAsia" w:ascii="宋体" w:hAnsi="宋体" w:eastAsia="宋体" w:cs="宋体"/>
          <w:sz w:val="32"/>
          <w:szCs w:val="32"/>
          <w:lang w:eastAsia="zh-CN"/>
        </w:rPr>
        <w:t>卫生健康（类）支出</w:t>
      </w:r>
      <w:r>
        <w:rPr>
          <w:rFonts w:hint="eastAsia" w:ascii="宋体" w:hAnsi="宋体" w:eastAsia="宋体" w:cs="宋体"/>
          <w:sz w:val="32"/>
          <w:szCs w:val="32"/>
          <w:lang w:val="en-US" w:eastAsia="zh-CN"/>
        </w:rPr>
        <w:t>10.07万元，占5.28%；商业服务业等（类）支出3万元，占1.57%。</w:t>
      </w:r>
    </w:p>
    <w:p>
      <w:pPr>
        <w:pStyle w:val="22"/>
        <w:ind w:firstLine="802" w:firstLineChars="250"/>
        <w:rPr>
          <w:rFonts w:hint="eastAsia" w:ascii="宋体" w:hAnsi="宋体" w:eastAsia="宋体" w:cs="宋体"/>
          <w:b w:val="0"/>
          <w:bCs/>
          <w:sz w:val="32"/>
          <w:szCs w:val="32"/>
        </w:rPr>
      </w:pPr>
      <w:r>
        <w:rPr>
          <w:rFonts w:hint="eastAsia" w:ascii="宋体" w:hAnsi="宋体" w:eastAsia="宋体" w:cs="宋体"/>
          <w:b w:val="0"/>
          <w:bCs/>
          <w:sz w:val="32"/>
          <w:szCs w:val="32"/>
        </w:rPr>
        <w:t>（三）财政拨款支出决算具体情况</w:t>
      </w:r>
    </w:p>
    <w:p>
      <w:pPr>
        <w:pStyle w:val="22"/>
        <w:ind w:firstLine="802" w:firstLineChars="250"/>
        <w:rPr>
          <w:rFonts w:hint="eastAsia" w:ascii="宋体" w:hAnsi="宋体" w:eastAsia="宋体" w:cs="宋体"/>
          <w:sz w:val="32"/>
          <w:szCs w:val="32"/>
        </w:rPr>
      </w:pPr>
      <w:r>
        <w:rPr>
          <w:rFonts w:hint="eastAsia" w:ascii="宋体" w:hAnsi="宋体" w:eastAsia="宋体" w:cs="宋体"/>
          <w:sz w:val="32"/>
          <w:szCs w:val="32"/>
        </w:rPr>
        <w:t>2021年度财政拨款支出年初预算数为</w:t>
      </w:r>
      <w:r>
        <w:rPr>
          <w:rFonts w:hint="eastAsia" w:ascii="宋体" w:hAnsi="宋体" w:eastAsia="宋体" w:cs="宋体"/>
          <w:sz w:val="32"/>
          <w:szCs w:val="32"/>
          <w:lang w:val="en-US" w:eastAsia="zh-CN"/>
        </w:rPr>
        <w:t>207.66</w:t>
      </w:r>
      <w:r>
        <w:rPr>
          <w:rFonts w:hint="eastAsia" w:ascii="宋体" w:hAnsi="宋体" w:eastAsia="宋体" w:cs="宋体"/>
          <w:sz w:val="32"/>
          <w:szCs w:val="32"/>
        </w:rPr>
        <w:t>万元，支出决算数为</w:t>
      </w:r>
      <w:r>
        <w:rPr>
          <w:rFonts w:hint="eastAsia" w:ascii="宋体" w:hAnsi="宋体" w:eastAsia="宋体" w:cs="宋体"/>
          <w:sz w:val="32"/>
          <w:szCs w:val="32"/>
          <w:lang w:val="en-US" w:eastAsia="zh-CN"/>
        </w:rPr>
        <w:t>190.78</w:t>
      </w:r>
      <w:r>
        <w:rPr>
          <w:rFonts w:hint="eastAsia" w:ascii="宋体" w:hAnsi="宋体" w:eastAsia="宋体" w:cs="宋体"/>
          <w:sz w:val="32"/>
          <w:szCs w:val="32"/>
        </w:rPr>
        <w:t>万元，完成年初预算的</w:t>
      </w:r>
      <w:r>
        <w:rPr>
          <w:rFonts w:hint="eastAsia" w:ascii="宋体" w:hAnsi="宋体" w:eastAsia="宋体" w:cs="宋体"/>
          <w:sz w:val="32"/>
          <w:szCs w:val="32"/>
          <w:lang w:val="en-US" w:eastAsia="zh-CN"/>
        </w:rPr>
        <w:t>91.87</w:t>
      </w:r>
      <w:r>
        <w:rPr>
          <w:rFonts w:hint="eastAsia" w:ascii="宋体" w:hAnsi="宋体" w:eastAsia="宋体" w:cs="宋体"/>
          <w:sz w:val="32"/>
          <w:szCs w:val="32"/>
        </w:rPr>
        <w:t>%，其中：</w:t>
      </w:r>
    </w:p>
    <w:p>
      <w:pPr>
        <w:pStyle w:val="22"/>
        <w:ind w:firstLine="802" w:firstLineChars="250"/>
        <w:rPr>
          <w:rFonts w:hint="eastAsia" w:ascii="宋体" w:hAnsi="宋体" w:eastAsia="宋体" w:cs="宋体"/>
          <w:sz w:val="32"/>
          <w:szCs w:val="32"/>
          <w:lang w:eastAsia="zh-CN"/>
        </w:rPr>
      </w:pPr>
      <w:r>
        <w:rPr>
          <w:rFonts w:hint="eastAsia" w:ascii="宋体" w:hAnsi="宋体" w:eastAsia="宋体" w:cs="宋体"/>
          <w:sz w:val="32"/>
          <w:szCs w:val="32"/>
        </w:rPr>
        <w:t>1、一般公共服务支出（类）</w:t>
      </w:r>
      <w:r>
        <w:rPr>
          <w:rFonts w:hint="eastAsia" w:ascii="宋体" w:hAnsi="宋体" w:eastAsia="宋体" w:cs="宋体"/>
          <w:sz w:val="32"/>
          <w:szCs w:val="32"/>
          <w:lang w:eastAsia="zh-CN"/>
        </w:rPr>
        <w:t>政府办公厅及相关机构事务</w:t>
      </w:r>
      <w:r>
        <w:rPr>
          <w:rFonts w:hint="eastAsia" w:ascii="宋体" w:hAnsi="宋体" w:eastAsia="宋体" w:cs="宋体"/>
          <w:sz w:val="32"/>
          <w:szCs w:val="32"/>
        </w:rPr>
        <w:t>（款）</w:t>
      </w:r>
      <w:r>
        <w:rPr>
          <w:rFonts w:hint="eastAsia" w:ascii="宋体" w:hAnsi="宋体" w:eastAsia="宋体" w:cs="宋体"/>
          <w:sz w:val="32"/>
          <w:szCs w:val="32"/>
          <w:lang w:eastAsia="zh-CN"/>
        </w:rPr>
        <w:t>事业运行</w:t>
      </w:r>
      <w:r>
        <w:rPr>
          <w:rFonts w:hint="eastAsia" w:ascii="宋体" w:hAnsi="宋体" w:eastAsia="宋体" w:cs="宋体"/>
          <w:sz w:val="32"/>
          <w:szCs w:val="32"/>
        </w:rPr>
        <w:t>（项）</w:t>
      </w:r>
      <w:r>
        <w:rPr>
          <w:rFonts w:hint="eastAsia" w:ascii="宋体" w:hAnsi="宋体" w:eastAsia="宋体" w:cs="宋体"/>
          <w:sz w:val="32"/>
          <w:szCs w:val="32"/>
          <w:lang w:eastAsia="zh-CN"/>
        </w:rPr>
        <w:t>。</w:t>
      </w:r>
    </w:p>
    <w:p>
      <w:pPr>
        <w:pStyle w:val="22"/>
        <w:ind w:firstLine="642" w:firstLineChars="200"/>
        <w:rPr>
          <w:rFonts w:hint="eastAsia" w:ascii="宋体" w:hAnsi="宋体" w:eastAsia="宋体" w:cs="宋体"/>
          <w:sz w:val="32"/>
          <w:szCs w:val="32"/>
          <w:lang w:eastAsia="zh-CN"/>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161.33</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156.2</w:t>
      </w:r>
      <w:r>
        <w:rPr>
          <w:rFonts w:hint="eastAsia" w:ascii="宋体" w:hAnsi="宋体" w:eastAsia="宋体" w:cs="宋体"/>
          <w:sz w:val="32"/>
          <w:szCs w:val="32"/>
        </w:rPr>
        <w:t>万元，完成年初预算的</w:t>
      </w:r>
      <w:r>
        <w:rPr>
          <w:rFonts w:hint="eastAsia" w:ascii="宋体" w:hAnsi="宋体" w:eastAsia="宋体" w:cs="宋体"/>
          <w:sz w:val="32"/>
          <w:szCs w:val="32"/>
          <w:lang w:val="en-US" w:eastAsia="zh-CN"/>
        </w:rPr>
        <w:t>96.82</w:t>
      </w:r>
      <w:r>
        <w:rPr>
          <w:rFonts w:hint="eastAsia" w:ascii="宋体" w:hAnsi="宋体" w:eastAsia="宋体" w:cs="宋体"/>
          <w:sz w:val="32"/>
          <w:szCs w:val="32"/>
        </w:rPr>
        <w:t>%</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决算数小于年初预算数的主要原因是：人员调整，减少工资福利支出。</w:t>
      </w:r>
    </w:p>
    <w:p>
      <w:pPr>
        <w:pStyle w:val="22"/>
        <w:ind w:firstLine="642" w:firstLineChars="200"/>
        <w:rPr>
          <w:rFonts w:hint="eastAsia" w:ascii="宋体" w:hAnsi="宋体" w:eastAsia="宋体" w:cs="宋体"/>
          <w:sz w:val="32"/>
          <w:szCs w:val="32"/>
          <w:lang w:eastAsia="zh-CN"/>
        </w:rPr>
      </w:pPr>
      <w:r>
        <w:rPr>
          <w:rFonts w:hint="eastAsia" w:ascii="宋体" w:hAnsi="宋体" w:eastAsia="宋体" w:cs="宋体"/>
          <w:sz w:val="32"/>
          <w:szCs w:val="32"/>
        </w:rPr>
        <w:t>2、</w:t>
      </w:r>
      <w:r>
        <w:rPr>
          <w:rFonts w:hint="eastAsia" w:ascii="宋体" w:hAnsi="宋体" w:eastAsia="宋体" w:cs="宋体"/>
          <w:sz w:val="32"/>
          <w:szCs w:val="32"/>
          <w:lang w:eastAsia="zh-CN"/>
        </w:rPr>
        <w:t>社会保障和就业支出</w:t>
      </w:r>
      <w:r>
        <w:rPr>
          <w:rFonts w:hint="eastAsia" w:ascii="宋体" w:hAnsi="宋体" w:eastAsia="宋体" w:cs="宋体"/>
          <w:sz w:val="32"/>
          <w:szCs w:val="32"/>
        </w:rPr>
        <w:t>（类）</w:t>
      </w:r>
      <w:r>
        <w:rPr>
          <w:rFonts w:hint="eastAsia" w:ascii="宋体" w:hAnsi="宋体" w:eastAsia="宋体" w:cs="宋体"/>
          <w:sz w:val="32"/>
          <w:szCs w:val="32"/>
          <w:lang w:eastAsia="zh-CN"/>
        </w:rPr>
        <w:t>行政事业单位养老支出</w:t>
      </w:r>
      <w:r>
        <w:rPr>
          <w:rFonts w:hint="eastAsia" w:ascii="宋体" w:hAnsi="宋体" w:eastAsia="宋体" w:cs="宋体"/>
          <w:sz w:val="32"/>
          <w:szCs w:val="32"/>
        </w:rPr>
        <w:t>（款）</w:t>
      </w:r>
      <w:r>
        <w:rPr>
          <w:rFonts w:hint="eastAsia" w:ascii="宋体" w:hAnsi="宋体" w:eastAsia="宋体" w:cs="宋体"/>
          <w:sz w:val="32"/>
          <w:szCs w:val="32"/>
          <w:lang w:eastAsia="zh-CN"/>
        </w:rPr>
        <w:t>行政事业单位基本养老保险缴费支出</w:t>
      </w:r>
      <w:r>
        <w:rPr>
          <w:rFonts w:hint="eastAsia" w:ascii="宋体" w:hAnsi="宋体" w:eastAsia="宋体" w:cs="宋体"/>
          <w:sz w:val="32"/>
          <w:szCs w:val="32"/>
        </w:rPr>
        <w:t>（项）</w:t>
      </w:r>
      <w:r>
        <w:rPr>
          <w:rFonts w:hint="eastAsia" w:ascii="宋体" w:hAnsi="宋体" w:eastAsia="宋体" w:cs="宋体"/>
          <w:sz w:val="32"/>
          <w:szCs w:val="32"/>
          <w:lang w:eastAsia="zh-CN"/>
        </w:rPr>
        <w:t>。</w:t>
      </w:r>
    </w:p>
    <w:p>
      <w:pPr>
        <w:pStyle w:val="22"/>
        <w:ind w:firstLine="642" w:firstLineChars="200"/>
        <w:rPr>
          <w:rFonts w:hint="eastAsia" w:ascii="宋体" w:hAnsi="宋体" w:eastAsia="宋体" w:cs="宋体"/>
          <w:sz w:val="32"/>
          <w:szCs w:val="32"/>
          <w:lang w:eastAsia="zh-CN"/>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19.66</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19.66</w:t>
      </w:r>
      <w:r>
        <w:rPr>
          <w:rFonts w:hint="eastAsia" w:ascii="宋体" w:hAnsi="宋体" w:eastAsia="宋体" w:cs="宋体"/>
          <w:sz w:val="32"/>
          <w:szCs w:val="32"/>
        </w:rPr>
        <w:t>万元，完成年初预算的</w:t>
      </w:r>
      <w:r>
        <w:rPr>
          <w:rFonts w:hint="eastAsia" w:ascii="宋体" w:hAnsi="宋体" w:eastAsia="宋体" w:cs="宋体"/>
          <w:sz w:val="32"/>
          <w:szCs w:val="32"/>
          <w:lang w:val="en-US" w:eastAsia="zh-CN"/>
        </w:rPr>
        <w:t>100</w:t>
      </w:r>
      <w:r>
        <w:rPr>
          <w:rFonts w:hint="eastAsia" w:ascii="宋体" w:hAnsi="宋体" w:eastAsia="宋体" w:cs="宋体"/>
          <w:sz w:val="32"/>
          <w:szCs w:val="32"/>
        </w:rPr>
        <w:t>%</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决算数等于年初预算数的主要原因是：按照年初预算支付养老保险。</w:t>
      </w:r>
    </w:p>
    <w:p>
      <w:pPr>
        <w:pStyle w:val="22"/>
        <w:numPr>
          <w:ilvl w:val="0"/>
          <w:numId w:val="0"/>
        </w:numPr>
        <w:ind w:firstLine="642" w:firstLineChars="200"/>
        <w:rPr>
          <w:rFonts w:hint="eastAsia" w:ascii="宋体" w:hAnsi="宋体" w:eastAsia="宋体" w:cs="宋体"/>
          <w:sz w:val="32"/>
          <w:szCs w:val="32"/>
          <w:lang w:eastAsia="zh-CN"/>
        </w:rPr>
      </w:pPr>
      <w:r>
        <w:rPr>
          <w:rFonts w:hint="eastAsia" w:ascii="宋体" w:hAnsi="宋体" w:eastAsia="宋体" w:cs="宋体"/>
          <w:sz w:val="32"/>
          <w:szCs w:val="32"/>
          <w:lang w:val="en-US" w:eastAsia="zh-CN"/>
        </w:rPr>
        <w:t>3、</w:t>
      </w:r>
      <w:r>
        <w:rPr>
          <w:rFonts w:hint="eastAsia" w:ascii="宋体" w:hAnsi="宋体" w:eastAsia="宋体" w:cs="宋体"/>
          <w:sz w:val="32"/>
          <w:szCs w:val="32"/>
          <w:lang w:eastAsia="zh-CN"/>
        </w:rPr>
        <w:t>社会保障和就业支出</w:t>
      </w:r>
      <w:r>
        <w:rPr>
          <w:rFonts w:hint="eastAsia" w:ascii="宋体" w:hAnsi="宋体" w:eastAsia="宋体" w:cs="宋体"/>
          <w:sz w:val="32"/>
          <w:szCs w:val="32"/>
        </w:rPr>
        <w:t>（类）</w:t>
      </w:r>
      <w:r>
        <w:rPr>
          <w:rFonts w:hint="eastAsia" w:ascii="宋体" w:hAnsi="宋体" w:eastAsia="宋体" w:cs="宋体"/>
          <w:sz w:val="32"/>
          <w:szCs w:val="32"/>
          <w:lang w:eastAsia="zh-CN"/>
        </w:rPr>
        <w:t>残疾人事业</w:t>
      </w:r>
      <w:r>
        <w:rPr>
          <w:rFonts w:hint="eastAsia" w:ascii="宋体" w:hAnsi="宋体" w:eastAsia="宋体" w:cs="宋体"/>
          <w:sz w:val="32"/>
          <w:szCs w:val="32"/>
        </w:rPr>
        <w:t>（款）</w:t>
      </w:r>
      <w:r>
        <w:rPr>
          <w:rFonts w:hint="eastAsia" w:ascii="宋体" w:hAnsi="宋体" w:eastAsia="宋体" w:cs="宋体"/>
          <w:sz w:val="32"/>
          <w:szCs w:val="32"/>
          <w:lang w:eastAsia="zh-CN"/>
        </w:rPr>
        <w:t>其他残疾人事业支出</w:t>
      </w:r>
      <w:r>
        <w:rPr>
          <w:rFonts w:hint="eastAsia" w:ascii="宋体" w:hAnsi="宋体" w:eastAsia="宋体" w:cs="宋体"/>
          <w:sz w:val="32"/>
          <w:szCs w:val="32"/>
        </w:rPr>
        <w:t>（项）</w:t>
      </w:r>
      <w:r>
        <w:rPr>
          <w:rFonts w:hint="eastAsia" w:ascii="宋体" w:hAnsi="宋体" w:eastAsia="宋体" w:cs="宋体"/>
          <w:sz w:val="32"/>
          <w:szCs w:val="32"/>
          <w:lang w:eastAsia="zh-CN"/>
        </w:rPr>
        <w:t>。</w:t>
      </w:r>
    </w:p>
    <w:p>
      <w:pPr>
        <w:pStyle w:val="22"/>
        <w:numPr>
          <w:ilvl w:val="0"/>
          <w:numId w:val="0"/>
        </w:numPr>
        <w:ind w:firstLine="642" w:firstLineChars="200"/>
        <w:rPr>
          <w:rFonts w:hint="eastAsia" w:ascii="宋体" w:hAnsi="宋体" w:eastAsia="宋体" w:cs="宋体"/>
          <w:sz w:val="32"/>
          <w:szCs w:val="32"/>
          <w:lang w:eastAsia="zh-CN"/>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1.85</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1.85</w:t>
      </w:r>
      <w:r>
        <w:rPr>
          <w:rFonts w:hint="eastAsia" w:ascii="宋体" w:hAnsi="宋体" w:eastAsia="宋体" w:cs="宋体"/>
          <w:sz w:val="32"/>
          <w:szCs w:val="32"/>
        </w:rPr>
        <w:t>万元，完成年初预算的</w:t>
      </w:r>
      <w:r>
        <w:rPr>
          <w:rFonts w:hint="eastAsia" w:ascii="宋体" w:hAnsi="宋体" w:eastAsia="宋体" w:cs="宋体"/>
          <w:sz w:val="32"/>
          <w:szCs w:val="32"/>
          <w:lang w:val="en-US" w:eastAsia="zh-CN"/>
        </w:rPr>
        <w:t>100</w:t>
      </w:r>
      <w:r>
        <w:rPr>
          <w:rFonts w:hint="eastAsia" w:ascii="宋体" w:hAnsi="宋体" w:eastAsia="宋体" w:cs="宋体"/>
          <w:sz w:val="32"/>
          <w:szCs w:val="32"/>
        </w:rPr>
        <w:t>%</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决算数等于年初预算数的主要原因是：按照年初预算支付残疾人保障金。</w:t>
      </w:r>
    </w:p>
    <w:p>
      <w:pPr>
        <w:pStyle w:val="22"/>
        <w:numPr>
          <w:ilvl w:val="0"/>
          <w:numId w:val="1"/>
        </w:numPr>
        <w:ind w:firstLine="642"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卫生健康支出（类）行政事业单位医疗（款）事业单位医疗（项）。</w:t>
      </w:r>
    </w:p>
    <w:p>
      <w:pPr>
        <w:pStyle w:val="22"/>
        <w:numPr>
          <w:ilvl w:val="0"/>
          <w:numId w:val="0"/>
        </w:numPr>
        <w:ind w:firstLine="642" w:firstLineChars="200"/>
        <w:rPr>
          <w:rFonts w:hint="eastAsia" w:ascii="宋体" w:hAnsi="宋体" w:eastAsia="宋体" w:cs="宋体"/>
          <w:sz w:val="32"/>
          <w:szCs w:val="32"/>
          <w:lang w:eastAsia="zh-CN"/>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10.07</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10.07</w:t>
      </w:r>
      <w:r>
        <w:rPr>
          <w:rFonts w:hint="eastAsia" w:ascii="宋体" w:hAnsi="宋体" w:eastAsia="宋体" w:cs="宋体"/>
          <w:sz w:val="32"/>
          <w:szCs w:val="32"/>
        </w:rPr>
        <w:t>万元，完成年初预算的</w:t>
      </w:r>
      <w:r>
        <w:rPr>
          <w:rFonts w:hint="eastAsia" w:ascii="宋体" w:hAnsi="宋体" w:eastAsia="宋体" w:cs="宋体"/>
          <w:sz w:val="32"/>
          <w:szCs w:val="32"/>
          <w:lang w:val="en-US" w:eastAsia="zh-CN"/>
        </w:rPr>
        <w:t>100</w:t>
      </w:r>
      <w:r>
        <w:rPr>
          <w:rFonts w:hint="eastAsia" w:ascii="宋体" w:hAnsi="宋体" w:eastAsia="宋体" w:cs="宋体"/>
          <w:sz w:val="32"/>
          <w:szCs w:val="32"/>
        </w:rPr>
        <w:t>%</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决算数等于年初预算数的主要原因是：按照年初预算支付医疗保险。</w:t>
      </w:r>
    </w:p>
    <w:p>
      <w:pPr>
        <w:pStyle w:val="22"/>
        <w:numPr>
          <w:ilvl w:val="0"/>
          <w:numId w:val="1"/>
        </w:numPr>
        <w:ind w:left="0" w:leftChars="0" w:firstLine="642"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商业服务业等支出（类）涉外发展服务支出（款）其他涉外发展服务支出（项）。</w:t>
      </w:r>
    </w:p>
    <w:p>
      <w:pPr>
        <w:pStyle w:val="22"/>
        <w:numPr>
          <w:ilvl w:val="0"/>
          <w:numId w:val="0"/>
        </w:numPr>
        <w:ind w:firstLine="642" w:firstLineChars="200"/>
        <w:rPr>
          <w:rFonts w:hint="eastAsia" w:ascii="宋体" w:hAnsi="宋体" w:eastAsia="宋体" w:cs="宋体"/>
          <w:sz w:val="32"/>
          <w:szCs w:val="32"/>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年初预算为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3</w:t>
      </w:r>
      <w:r>
        <w:rPr>
          <w:rFonts w:hint="eastAsia" w:ascii="宋体" w:hAnsi="宋体" w:eastAsia="宋体" w:cs="宋体"/>
          <w:sz w:val="32"/>
          <w:szCs w:val="32"/>
        </w:rPr>
        <w:t>万元，</w:t>
      </w:r>
      <w:r>
        <w:rPr>
          <w:rFonts w:hint="eastAsia" w:ascii="宋体" w:hAnsi="Calibri" w:eastAsia="宋体"/>
          <w:sz w:val="32"/>
          <w:szCs w:val="24"/>
          <w:shd w:val="clear" w:color="auto" w:fill="auto"/>
          <w:lang w:eastAsia="zh-CN"/>
        </w:rPr>
        <w:t>由于预算数为</w:t>
      </w:r>
      <w:r>
        <w:rPr>
          <w:rFonts w:hint="eastAsia" w:ascii="宋体" w:hAnsi="Calibri" w:eastAsia="宋体"/>
          <w:sz w:val="32"/>
          <w:szCs w:val="24"/>
          <w:shd w:val="clear" w:color="auto" w:fill="auto"/>
          <w:lang w:val="en-US" w:eastAsia="zh-CN"/>
        </w:rPr>
        <w:t>0，无法计算百分比</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决算数大于年初预算数的主要原因是：招商任务重，追加招商工作经费。</w:t>
      </w:r>
    </w:p>
    <w:p>
      <w:pPr>
        <w:pStyle w:val="22"/>
        <w:ind w:firstLine="642" w:firstLineChars="200"/>
        <w:rPr>
          <w:rFonts w:hAnsi="黑体"/>
          <w:b w:val="0"/>
          <w:bCs/>
          <w:sz w:val="32"/>
          <w:szCs w:val="32"/>
        </w:rPr>
      </w:pPr>
      <w:r>
        <w:rPr>
          <w:rFonts w:hint="eastAsia" w:hAnsi="黑体"/>
          <w:b w:val="0"/>
          <w:bCs/>
          <w:sz w:val="32"/>
          <w:szCs w:val="32"/>
        </w:rPr>
        <w:t>六、一般公共预算财政拨款基本支出决算情况说明</w:t>
      </w:r>
    </w:p>
    <w:p>
      <w:pPr>
        <w:pStyle w:val="22"/>
        <w:ind w:firstLine="642" w:firstLineChars="200"/>
        <w:rPr>
          <w:rFonts w:hint="eastAsia" w:ascii="宋体" w:hAnsi="宋体" w:eastAsia="宋体" w:cs="宋体"/>
          <w:sz w:val="32"/>
          <w:szCs w:val="32"/>
        </w:rPr>
      </w:pPr>
      <w:r>
        <w:rPr>
          <w:rFonts w:hint="eastAsia" w:ascii="宋体" w:hAnsi="宋体" w:eastAsia="宋体" w:cs="宋体"/>
          <w:sz w:val="32"/>
          <w:szCs w:val="32"/>
        </w:rPr>
        <w:t>2021年度财政拨款基本支出</w:t>
      </w:r>
      <w:r>
        <w:rPr>
          <w:rFonts w:hint="eastAsia" w:ascii="宋体" w:hAnsi="宋体" w:eastAsia="宋体" w:cs="宋体"/>
          <w:sz w:val="32"/>
          <w:szCs w:val="32"/>
          <w:lang w:val="en-US" w:eastAsia="zh-CN"/>
        </w:rPr>
        <w:t>190.78</w:t>
      </w:r>
      <w:r>
        <w:rPr>
          <w:rFonts w:hint="eastAsia" w:ascii="宋体" w:hAnsi="宋体" w:eastAsia="宋体" w:cs="宋体"/>
          <w:sz w:val="32"/>
          <w:szCs w:val="32"/>
        </w:rPr>
        <w:t>万元，其中：人员经费</w:t>
      </w:r>
      <w:r>
        <w:rPr>
          <w:rFonts w:hint="eastAsia" w:ascii="宋体" w:hAnsi="宋体" w:eastAsia="宋体" w:cs="宋体"/>
          <w:sz w:val="32"/>
          <w:szCs w:val="32"/>
          <w:lang w:val="en-US" w:eastAsia="zh-CN"/>
        </w:rPr>
        <w:t>150.13</w:t>
      </w:r>
      <w:r>
        <w:rPr>
          <w:rFonts w:hint="eastAsia" w:ascii="宋体" w:hAnsi="宋体" w:eastAsia="宋体" w:cs="宋体"/>
          <w:sz w:val="32"/>
          <w:szCs w:val="32"/>
        </w:rPr>
        <w:t>万元，占基本支出的</w:t>
      </w:r>
      <w:r>
        <w:rPr>
          <w:rFonts w:hint="eastAsia" w:ascii="宋体" w:hAnsi="宋体" w:eastAsia="宋体" w:cs="宋体"/>
          <w:sz w:val="32"/>
          <w:szCs w:val="32"/>
          <w:lang w:val="en-US" w:eastAsia="zh-CN"/>
        </w:rPr>
        <w:t>78.69</w:t>
      </w:r>
      <w:r>
        <w:rPr>
          <w:rFonts w:hint="eastAsia" w:ascii="宋体" w:hAnsi="宋体" w:eastAsia="宋体" w:cs="宋体"/>
          <w:sz w:val="32"/>
          <w:szCs w:val="32"/>
        </w:rPr>
        <w:t>%,主要包括主要包括基本工资、</w:t>
      </w:r>
      <w:r>
        <w:rPr>
          <w:rFonts w:hint="eastAsia" w:ascii="宋体" w:hAnsi="宋体" w:eastAsia="宋体" w:cs="宋体"/>
          <w:sz w:val="32"/>
          <w:szCs w:val="32"/>
          <w:lang w:val="zh-CN"/>
        </w:rPr>
        <w:t>绩效工资、机关事业单位基本养老保险缴费、职工基本医疗保险缴费、其他社会保障缴费</w:t>
      </w:r>
      <w:r>
        <w:rPr>
          <w:rFonts w:hint="eastAsia" w:ascii="宋体" w:hAnsi="宋体" w:eastAsia="宋体" w:cs="宋体"/>
          <w:sz w:val="32"/>
          <w:szCs w:val="32"/>
        </w:rPr>
        <w:t>；公用经费</w:t>
      </w:r>
      <w:r>
        <w:rPr>
          <w:rFonts w:hint="eastAsia" w:ascii="宋体" w:hAnsi="宋体" w:eastAsia="宋体" w:cs="宋体"/>
          <w:sz w:val="32"/>
          <w:szCs w:val="32"/>
          <w:lang w:val="en-US" w:eastAsia="zh-CN"/>
        </w:rPr>
        <w:t>40.65</w:t>
      </w:r>
      <w:r>
        <w:rPr>
          <w:rFonts w:hint="eastAsia" w:ascii="宋体" w:hAnsi="宋体" w:eastAsia="宋体" w:cs="宋体"/>
          <w:sz w:val="32"/>
          <w:szCs w:val="32"/>
        </w:rPr>
        <w:t>万元，占基本支出的</w:t>
      </w:r>
      <w:r>
        <w:rPr>
          <w:rFonts w:hint="eastAsia" w:ascii="宋体" w:hAnsi="宋体" w:eastAsia="宋体" w:cs="宋体"/>
          <w:sz w:val="32"/>
          <w:szCs w:val="32"/>
          <w:lang w:val="en-US" w:eastAsia="zh-CN"/>
        </w:rPr>
        <w:t>21.31</w:t>
      </w:r>
      <w:r>
        <w:rPr>
          <w:rFonts w:hint="eastAsia" w:ascii="宋体" w:hAnsi="宋体" w:eastAsia="宋体" w:cs="宋体"/>
          <w:sz w:val="32"/>
          <w:szCs w:val="32"/>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22"/>
        <w:ind w:firstLine="642" w:firstLineChars="200"/>
        <w:rPr>
          <w:rFonts w:hAnsi="黑体"/>
          <w:b w:val="0"/>
          <w:bCs/>
          <w:sz w:val="32"/>
          <w:szCs w:val="32"/>
        </w:rPr>
      </w:pPr>
      <w:r>
        <w:rPr>
          <w:rFonts w:hint="eastAsia" w:hAnsi="黑体"/>
          <w:b w:val="0"/>
          <w:bCs/>
          <w:sz w:val="32"/>
          <w:szCs w:val="32"/>
        </w:rPr>
        <w:t>七、一般公共预算财政拨款“三公”经费支出决算情况说明</w:t>
      </w:r>
    </w:p>
    <w:p>
      <w:pPr>
        <w:pStyle w:val="22"/>
        <w:ind w:firstLine="642" w:firstLineChars="200"/>
        <w:rPr>
          <w:rFonts w:hint="eastAsia" w:ascii="宋体" w:hAnsi="宋体" w:eastAsia="宋体" w:cs="宋体"/>
          <w:b w:val="0"/>
          <w:bCs/>
          <w:sz w:val="32"/>
          <w:szCs w:val="32"/>
        </w:rPr>
      </w:pPr>
      <w:r>
        <w:rPr>
          <w:rFonts w:hint="eastAsia" w:ascii="宋体" w:hAnsi="宋体" w:eastAsia="宋体" w:cs="宋体"/>
          <w:b w:val="0"/>
          <w:bCs/>
          <w:sz w:val="32"/>
          <w:szCs w:val="32"/>
        </w:rPr>
        <w:t>（一）“三公”经费财政拨款支出决算总体情况说明</w:t>
      </w:r>
    </w:p>
    <w:p>
      <w:pPr>
        <w:pStyle w:val="22"/>
        <w:ind w:firstLine="642" w:firstLineChars="200"/>
        <w:rPr>
          <w:rFonts w:hint="eastAsia" w:ascii="宋体" w:hAnsi="宋体" w:eastAsia="宋体" w:cs="宋体"/>
          <w:sz w:val="32"/>
          <w:szCs w:val="32"/>
        </w:rPr>
      </w:pPr>
      <w:r>
        <w:rPr>
          <w:rFonts w:hint="eastAsia" w:ascii="宋体" w:hAnsi="宋体" w:eastAsia="宋体" w:cs="宋体"/>
          <w:sz w:val="32"/>
          <w:szCs w:val="32"/>
        </w:rPr>
        <w:t>2021年度“三公”经费财政拨款支出预算为</w:t>
      </w:r>
      <w:r>
        <w:rPr>
          <w:rFonts w:hint="eastAsia" w:ascii="宋体" w:hAnsi="宋体" w:eastAsia="宋体" w:cs="宋体"/>
          <w:sz w:val="32"/>
          <w:szCs w:val="32"/>
          <w:lang w:val="en-US" w:eastAsia="zh-CN"/>
        </w:rPr>
        <w:t>9</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9</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100</w:t>
      </w:r>
      <w:r>
        <w:rPr>
          <w:rFonts w:hint="eastAsia" w:ascii="宋体" w:hAnsi="宋体" w:eastAsia="宋体" w:cs="宋体"/>
          <w:sz w:val="32"/>
          <w:szCs w:val="32"/>
        </w:rPr>
        <w:t>%，其中：</w:t>
      </w:r>
    </w:p>
    <w:p>
      <w:pPr>
        <w:keepNext/>
        <w:keepLines/>
        <w:autoSpaceDE w:val="0"/>
        <w:autoSpaceDN w:val="0"/>
        <w:adjustRightInd w:val="0"/>
        <w:spacing w:beforeLines="0" w:afterLines="0" w:line="560" w:lineRule="exact"/>
        <w:ind w:firstLine="640"/>
        <w:rPr>
          <w:rFonts w:hint="eastAsia" w:ascii="宋体" w:hAnsi="Times New Roman" w:eastAsia="宋体"/>
          <w:sz w:val="32"/>
          <w:szCs w:val="24"/>
          <w:highlight w:val="white"/>
          <w:lang w:val="zh-CN"/>
        </w:rPr>
      </w:pPr>
      <w:r>
        <w:rPr>
          <w:rFonts w:hint="eastAsia" w:ascii="宋体" w:hAnsi="宋体" w:eastAsia="宋体" w:cs="宋体"/>
          <w:color w:val="000000"/>
          <w:kern w:val="0"/>
          <w:sz w:val="32"/>
          <w:szCs w:val="32"/>
          <w:lang w:val="en-US" w:eastAsia="zh-CN" w:bidi="ar-SA"/>
        </w:rPr>
        <w:t>因公出国（境）费支出预算为0万元，支出决算为0万元，</w:t>
      </w:r>
      <w:r>
        <w:rPr>
          <w:rFonts w:hint="eastAsia" w:ascii="宋体" w:hAnsi="Calibri" w:eastAsia="宋体"/>
          <w:sz w:val="32"/>
          <w:szCs w:val="24"/>
          <w:shd w:val="clear" w:color="auto" w:fill="auto"/>
          <w:lang w:eastAsia="zh-CN"/>
        </w:rPr>
        <w:t>由于预算数为</w:t>
      </w:r>
      <w:r>
        <w:rPr>
          <w:rFonts w:hint="eastAsia" w:ascii="宋体" w:hAnsi="Calibri" w:eastAsia="宋体"/>
          <w:sz w:val="32"/>
          <w:szCs w:val="24"/>
          <w:shd w:val="clear" w:color="auto" w:fill="auto"/>
          <w:lang w:val="en-US" w:eastAsia="zh-CN"/>
        </w:rPr>
        <w:t>0，无法计算百分比</w:t>
      </w:r>
      <w:r>
        <w:rPr>
          <w:rFonts w:hint="eastAsia" w:ascii="宋体" w:hAnsi="Calibri" w:eastAsia="宋体"/>
          <w:sz w:val="32"/>
          <w:szCs w:val="24"/>
          <w:lang w:val="en-US" w:eastAsia="zh-CN"/>
        </w:rPr>
        <w:t>，</w:t>
      </w:r>
      <w:r>
        <w:rPr>
          <w:rFonts w:hint="eastAsia" w:ascii="宋体" w:hAnsi="Times New Roman" w:eastAsia="宋体"/>
          <w:sz w:val="32"/>
          <w:szCs w:val="24"/>
          <w:highlight w:val="white"/>
          <w:lang w:val="zh-CN"/>
        </w:rPr>
        <w:t>决算数与预算数一致，主要原因</w:t>
      </w:r>
      <w:r>
        <w:rPr>
          <w:rFonts w:hint="eastAsia" w:ascii="宋体" w:hAnsi="宋体" w:eastAsia="宋体" w:cs="宋体"/>
          <w:sz w:val="32"/>
          <w:szCs w:val="32"/>
        </w:rPr>
        <w:t>疫情原因，</w:t>
      </w:r>
      <w:r>
        <w:rPr>
          <w:rFonts w:hint="eastAsia" w:ascii="宋体" w:hAnsi="宋体" w:eastAsia="宋体" w:cs="宋体"/>
          <w:sz w:val="32"/>
          <w:szCs w:val="32"/>
          <w:lang w:eastAsia="zh-CN"/>
        </w:rPr>
        <w:t>无出国事项</w:t>
      </w:r>
      <w:r>
        <w:rPr>
          <w:rFonts w:hint="eastAsia" w:ascii="宋体" w:hAnsi="Times New Roman" w:eastAsia="宋体"/>
          <w:sz w:val="32"/>
          <w:szCs w:val="24"/>
          <w:highlight w:val="white"/>
          <w:lang w:val="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right="0"/>
        <w:jc w:val="both"/>
        <w:textAlignment w:val="auto"/>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与上年相比持平，</w:t>
      </w:r>
      <w:r>
        <w:rPr>
          <w:rFonts w:hint="eastAsia" w:ascii="宋体" w:hAnsi="宋体" w:eastAsia="宋体" w:cs="宋体"/>
          <w:sz w:val="32"/>
          <w:szCs w:val="32"/>
        </w:rPr>
        <w:t>主要原因是疫情原因，</w:t>
      </w:r>
      <w:r>
        <w:rPr>
          <w:rFonts w:hint="eastAsia" w:ascii="宋体" w:hAnsi="宋体" w:eastAsia="宋体" w:cs="宋体"/>
          <w:sz w:val="32"/>
          <w:szCs w:val="32"/>
          <w:lang w:eastAsia="zh-CN"/>
        </w:rPr>
        <w:t>无出国事项</w:t>
      </w:r>
      <w:r>
        <w:rPr>
          <w:rFonts w:hint="eastAsia" w:ascii="宋体" w:hAnsi="宋体" w:eastAsia="宋体" w:cs="宋体"/>
          <w:color w:val="000000"/>
          <w:kern w:val="0"/>
          <w:sz w:val="32"/>
          <w:szCs w:val="32"/>
          <w:lang w:val="en-US" w:eastAsia="zh-CN" w:bidi="ar-SA"/>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right="0" w:firstLine="642" w:firstLineChars="200"/>
        <w:jc w:val="both"/>
        <w:textAlignment w:val="auto"/>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公务接待费支出预算为0万元，支出决算为0万元，</w:t>
      </w:r>
      <w:r>
        <w:rPr>
          <w:rFonts w:hint="eastAsia" w:ascii="宋体" w:hAnsi="Calibri" w:eastAsia="宋体"/>
          <w:sz w:val="32"/>
          <w:szCs w:val="24"/>
          <w:shd w:val="clear" w:color="auto" w:fill="auto"/>
          <w:lang w:eastAsia="zh-CN"/>
        </w:rPr>
        <w:t>由于预算数为</w:t>
      </w:r>
      <w:r>
        <w:rPr>
          <w:rFonts w:hint="eastAsia" w:ascii="宋体" w:hAnsi="Calibri" w:eastAsia="宋体"/>
          <w:sz w:val="32"/>
          <w:szCs w:val="24"/>
          <w:shd w:val="clear" w:color="auto" w:fill="auto"/>
          <w:lang w:val="en-US" w:eastAsia="zh-CN"/>
        </w:rPr>
        <w:t>0，无法计算百分比</w:t>
      </w:r>
      <w:r>
        <w:rPr>
          <w:rFonts w:hint="eastAsia" w:ascii="宋体" w:hAnsi="宋体" w:eastAsia="宋体" w:cs="宋体"/>
          <w:color w:val="000000"/>
          <w:kern w:val="0"/>
          <w:sz w:val="32"/>
          <w:szCs w:val="32"/>
          <w:lang w:val="en-US" w:eastAsia="zh-CN" w:bidi="ar-SA"/>
        </w:rPr>
        <w:t>，</w:t>
      </w:r>
      <w:r>
        <w:rPr>
          <w:rFonts w:hint="eastAsia" w:ascii="宋体" w:hAnsi="Times New Roman" w:eastAsia="宋体"/>
          <w:sz w:val="32"/>
          <w:szCs w:val="24"/>
          <w:highlight w:val="white"/>
          <w:lang w:val="zh-CN"/>
        </w:rPr>
        <w:t>决算数与预算数一致</w:t>
      </w:r>
      <w:r>
        <w:rPr>
          <w:rFonts w:hint="eastAsia" w:ascii="宋体" w:hAnsi="Times New Roman" w:eastAsia="宋体"/>
          <w:sz w:val="32"/>
          <w:szCs w:val="24"/>
          <w:highlight w:val="white"/>
          <w:lang w:val="en-US" w:eastAsia="zh-CN"/>
        </w:rPr>
        <w:t>的</w:t>
      </w:r>
      <w:r>
        <w:rPr>
          <w:rFonts w:hint="eastAsia" w:ascii="宋体" w:hAnsi="宋体" w:eastAsia="宋体" w:cs="宋体"/>
          <w:color w:val="000000"/>
          <w:kern w:val="0"/>
          <w:sz w:val="32"/>
          <w:szCs w:val="32"/>
          <w:lang w:val="en-US" w:eastAsia="zh-CN" w:bidi="ar-SA"/>
        </w:rPr>
        <w:t>主要原因是励行节约，与上年相比减少1.87万元，减少100.00%,减少的主要原因是进一步厉行节约及受疫情影响。</w:t>
      </w:r>
    </w:p>
    <w:p>
      <w:pPr>
        <w:keepNext/>
        <w:keepLines/>
        <w:autoSpaceDE w:val="0"/>
        <w:autoSpaceDN w:val="0"/>
        <w:adjustRightInd w:val="0"/>
        <w:spacing w:beforeLines="0" w:afterLines="0" w:line="560" w:lineRule="exact"/>
        <w:ind w:firstLine="640"/>
        <w:rPr>
          <w:rFonts w:hint="eastAsia" w:ascii="宋体" w:hAnsi="Times New Roman" w:eastAsia="宋体"/>
          <w:sz w:val="32"/>
          <w:szCs w:val="24"/>
          <w:highlight w:val="white"/>
          <w:lang w:val="zh-CN"/>
        </w:rPr>
      </w:pPr>
      <w:r>
        <w:rPr>
          <w:rFonts w:hint="eastAsia" w:ascii="宋体" w:hAnsi="Times New Roman" w:eastAsia="宋体"/>
          <w:color w:val="000000"/>
          <w:sz w:val="32"/>
          <w:szCs w:val="24"/>
          <w:highlight w:val="white"/>
        </w:rPr>
        <w:t>公务用车购置费支出预算为0万元，支出决算为0万元，</w:t>
      </w:r>
      <w:r>
        <w:rPr>
          <w:rFonts w:hint="eastAsia" w:ascii="宋体" w:hAnsi="Calibri" w:eastAsia="宋体"/>
          <w:sz w:val="32"/>
          <w:szCs w:val="24"/>
          <w:shd w:val="clear" w:color="auto" w:fill="auto"/>
          <w:lang w:eastAsia="zh-CN"/>
        </w:rPr>
        <w:t>由于预算数为</w:t>
      </w:r>
      <w:r>
        <w:rPr>
          <w:rFonts w:hint="eastAsia" w:ascii="宋体" w:hAnsi="Calibri" w:eastAsia="宋体"/>
          <w:sz w:val="32"/>
          <w:szCs w:val="24"/>
          <w:shd w:val="clear" w:color="auto" w:fill="auto"/>
          <w:lang w:val="en-US" w:eastAsia="zh-CN"/>
        </w:rPr>
        <w:t>0，无法计算百分比</w:t>
      </w:r>
      <w:r>
        <w:rPr>
          <w:rFonts w:hint="eastAsia" w:ascii="宋体" w:hAnsi="Calibri" w:eastAsia="宋体"/>
          <w:sz w:val="32"/>
          <w:szCs w:val="24"/>
          <w:lang w:val="en-US" w:eastAsia="zh-CN"/>
        </w:rPr>
        <w:t>，</w:t>
      </w:r>
      <w:r>
        <w:rPr>
          <w:rFonts w:hint="eastAsia" w:ascii="宋体" w:hAnsi="Times New Roman" w:eastAsia="宋体"/>
          <w:color w:val="000000"/>
          <w:sz w:val="32"/>
          <w:szCs w:val="24"/>
          <w:highlight w:val="white"/>
        </w:rPr>
        <w:t>决算数与预算数一致，主要原因是</w:t>
      </w:r>
      <w:r>
        <w:rPr>
          <w:rFonts w:hint="eastAsia" w:ascii="宋体" w:hAnsi="Times New Roman" w:eastAsia="宋体"/>
          <w:color w:val="000000"/>
          <w:sz w:val="32"/>
          <w:szCs w:val="24"/>
          <w:highlight w:val="white"/>
          <w:lang w:val="zh-CN"/>
        </w:rPr>
        <w:t>认真贯彻落实中央</w:t>
      </w:r>
      <w:r>
        <w:rPr>
          <w:rFonts w:hint="default" w:ascii="Times New Roman" w:hAnsi="Times New Roman" w:eastAsia="宋体"/>
          <w:color w:val="000000"/>
          <w:sz w:val="32"/>
          <w:szCs w:val="24"/>
          <w:highlight w:val="white"/>
          <w:lang w:val="zh-CN"/>
        </w:rPr>
        <w:t>“</w:t>
      </w:r>
      <w:r>
        <w:rPr>
          <w:rFonts w:hint="eastAsia" w:ascii="宋体" w:hAnsi="Times New Roman" w:eastAsia="宋体"/>
          <w:color w:val="000000"/>
          <w:sz w:val="32"/>
          <w:szCs w:val="24"/>
          <w:highlight w:val="white"/>
          <w:lang w:val="zh-CN"/>
        </w:rPr>
        <w:t>八项规定</w:t>
      </w:r>
      <w:r>
        <w:rPr>
          <w:rFonts w:hint="default" w:ascii="Times New Roman" w:hAnsi="Times New Roman" w:eastAsia="宋体"/>
          <w:color w:val="000000"/>
          <w:sz w:val="32"/>
          <w:szCs w:val="24"/>
          <w:highlight w:val="white"/>
          <w:lang w:val="zh-CN"/>
        </w:rPr>
        <w:t>”</w:t>
      </w:r>
      <w:r>
        <w:rPr>
          <w:rFonts w:hint="eastAsia" w:ascii="宋体" w:hAnsi="Times New Roman" w:eastAsia="宋体"/>
          <w:color w:val="000000"/>
          <w:sz w:val="32"/>
          <w:szCs w:val="24"/>
          <w:highlight w:val="white"/>
          <w:lang w:val="zh-CN"/>
        </w:rPr>
        <w:t>精神和厉行节约要求，从严控制</w:t>
      </w:r>
      <w:r>
        <w:rPr>
          <w:rFonts w:hint="default" w:ascii="Times New Roman" w:hAnsi="Times New Roman" w:eastAsia="宋体"/>
          <w:color w:val="000000"/>
          <w:sz w:val="32"/>
          <w:szCs w:val="24"/>
          <w:highlight w:val="white"/>
          <w:lang w:val="zh-CN"/>
        </w:rPr>
        <w:t>“</w:t>
      </w:r>
      <w:r>
        <w:rPr>
          <w:rFonts w:hint="eastAsia" w:ascii="宋体" w:hAnsi="Times New Roman" w:eastAsia="宋体"/>
          <w:color w:val="000000"/>
          <w:sz w:val="32"/>
          <w:szCs w:val="24"/>
          <w:highlight w:val="white"/>
          <w:lang w:val="zh-CN"/>
        </w:rPr>
        <w:t>三公</w:t>
      </w:r>
      <w:r>
        <w:rPr>
          <w:rFonts w:hint="default" w:ascii="Times New Roman" w:hAnsi="Times New Roman" w:eastAsia="宋体"/>
          <w:color w:val="000000"/>
          <w:sz w:val="32"/>
          <w:szCs w:val="24"/>
          <w:highlight w:val="white"/>
          <w:lang w:val="zh-CN"/>
        </w:rPr>
        <w:t>”</w:t>
      </w:r>
      <w:r>
        <w:rPr>
          <w:rFonts w:hint="eastAsia" w:ascii="宋体" w:hAnsi="Times New Roman" w:eastAsia="宋体"/>
          <w:color w:val="000000"/>
          <w:sz w:val="32"/>
          <w:szCs w:val="24"/>
          <w:highlight w:val="white"/>
          <w:lang w:val="zh-CN"/>
        </w:rPr>
        <w:t>经费开支，未作公务用车购置安排。</w:t>
      </w:r>
      <w:r>
        <w:rPr>
          <w:rFonts w:hint="eastAsia" w:ascii="宋体" w:hAnsi="Times New Roman" w:eastAsia="宋体"/>
          <w:sz w:val="32"/>
          <w:szCs w:val="24"/>
          <w:highlight w:val="white"/>
        </w:rPr>
        <w:t>与上年相比无增减变化，主要原因是持续</w:t>
      </w:r>
      <w:r>
        <w:rPr>
          <w:rFonts w:hint="eastAsia" w:ascii="宋体" w:hAnsi="Times New Roman" w:eastAsia="宋体"/>
          <w:sz w:val="32"/>
          <w:szCs w:val="24"/>
          <w:highlight w:val="white"/>
          <w:lang w:val="zh-CN"/>
        </w:rPr>
        <w:t>认真贯彻落实中央“八项规定”精神和厉行节约要求，从严控制“三公”经费开支，</w:t>
      </w:r>
      <w:r>
        <w:rPr>
          <w:rFonts w:hint="eastAsia" w:ascii="宋体" w:hAnsi="Times New Roman" w:eastAsia="宋体"/>
          <w:color w:val="000000"/>
          <w:sz w:val="32"/>
          <w:szCs w:val="24"/>
          <w:highlight w:val="white"/>
          <w:lang w:val="zh-CN"/>
        </w:rPr>
        <w:t>未作公务用车购置安排</w:t>
      </w:r>
      <w:r>
        <w:rPr>
          <w:rFonts w:hint="eastAsia" w:ascii="宋体" w:hAnsi="Times New Roman" w:eastAsia="宋体"/>
          <w:sz w:val="32"/>
          <w:szCs w:val="24"/>
          <w:highlight w:val="white"/>
          <w:lang w:val="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right="0" w:firstLine="642" w:firstLineChars="200"/>
        <w:jc w:val="both"/>
        <w:textAlignment w:val="auto"/>
        <w:rPr>
          <w:rFonts w:hint="eastAsia" w:ascii="宋体" w:hAnsi="宋体" w:eastAsia="宋体" w:cs="宋体"/>
          <w:color w:val="000000"/>
          <w:kern w:val="0"/>
          <w:sz w:val="32"/>
          <w:szCs w:val="32"/>
          <w:lang w:val="en-US" w:eastAsia="zh-CN" w:bidi="ar-SA"/>
        </w:rPr>
      </w:pPr>
      <w:r>
        <w:rPr>
          <w:rFonts w:hint="eastAsia" w:ascii="宋体" w:hAnsi="Times New Roman" w:eastAsia="宋体"/>
          <w:color w:val="000000"/>
          <w:sz w:val="32"/>
          <w:szCs w:val="24"/>
          <w:highlight w:val="white"/>
        </w:rPr>
        <w:t>公务用车运行维护费支出</w:t>
      </w:r>
      <w:r>
        <w:rPr>
          <w:rFonts w:hint="eastAsia" w:ascii="宋体" w:hAnsi="Times New Roman" w:eastAsia="宋体"/>
          <w:color w:val="000000"/>
          <w:sz w:val="32"/>
          <w:szCs w:val="24"/>
          <w:highlight w:val="white"/>
          <w:lang w:val="en-US" w:eastAsia="zh-CN"/>
        </w:rPr>
        <w:t>预算</w:t>
      </w:r>
      <w:r>
        <w:rPr>
          <w:rFonts w:hint="eastAsia" w:ascii="宋体" w:hAnsi="宋体" w:eastAsia="宋体" w:cs="宋体"/>
          <w:color w:val="000000"/>
          <w:kern w:val="0"/>
          <w:sz w:val="32"/>
          <w:szCs w:val="32"/>
          <w:lang w:val="en-US" w:eastAsia="zh-CN" w:bidi="ar-SA"/>
        </w:rPr>
        <w:t>为9.00万元，支出决算为9万元，完成预算的100%，</w:t>
      </w:r>
      <w:r>
        <w:rPr>
          <w:rFonts w:hint="eastAsia" w:ascii="宋体" w:hAnsi="Times New Roman" w:eastAsia="宋体"/>
          <w:color w:val="000000"/>
          <w:sz w:val="32"/>
          <w:szCs w:val="24"/>
          <w:highlight w:val="white"/>
        </w:rPr>
        <w:t>决算数与预算数一致</w:t>
      </w:r>
      <w:r>
        <w:rPr>
          <w:rFonts w:hint="eastAsia" w:ascii="宋体" w:hAnsi="Times New Roman" w:eastAsia="宋体"/>
          <w:color w:val="000000"/>
          <w:sz w:val="32"/>
          <w:szCs w:val="24"/>
          <w:highlight w:val="white"/>
          <w:lang w:eastAsia="zh-CN"/>
        </w:rPr>
        <w:t>，</w:t>
      </w:r>
      <w:r>
        <w:rPr>
          <w:rFonts w:hint="eastAsia" w:ascii="宋体" w:hAnsi="Times New Roman" w:eastAsia="宋体"/>
          <w:color w:val="000000"/>
          <w:sz w:val="32"/>
          <w:szCs w:val="24"/>
          <w:highlight w:val="white"/>
          <w:lang w:val="en-US" w:eastAsia="zh-CN"/>
        </w:rPr>
        <w:t>主要原因是严格按照预算安排标准列支，</w:t>
      </w:r>
      <w:r>
        <w:rPr>
          <w:rFonts w:hint="eastAsia" w:ascii="宋体" w:hAnsi="宋体" w:eastAsia="宋体" w:cs="宋体"/>
          <w:color w:val="000000"/>
          <w:kern w:val="0"/>
          <w:sz w:val="32"/>
          <w:szCs w:val="32"/>
          <w:lang w:val="en-US" w:eastAsia="zh-CN" w:bidi="ar-SA"/>
        </w:rPr>
        <w:t>与上年相比增加0.91万元，增长11.25%,增长的主要原因是招商专项工作任务重，各部门对接增多。</w:t>
      </w:r>
    </w:p>
    <w:p>
      <w:pPr>
        <w:pStyle w:val="22"/>
        <w:ind w:firstLine="642" w:firstLineChars="200"/>
        <w:rPr>
          <w:rFonts w:hint="eastAsia" w:ascii="宋体" w:hAnsi="宋体" w:eastAsia="宋体" w:cs="宋体"/>
          <w:b w:val="0"/>
          <w:bCs/>
          <w:sz w:val="32"/>
          <w:szCs w:val="32"/>
        </w:rPr>
      </w:pPr>
      <w:r>
        <w:rPr>
          <w:rFonts w:hint="eastAsia" w:ascii="宋体" w:hAnsi="宋体" w:eastAsia="宋体" w:cs="宋体"/>
          <w:b w:val="0"/>
          <w:bCs/>
          <w:sz w:val="32"/>
          <w:szCs w:val="32"/>
        </w:rPr>
        <w:t>（二）“三公”经费财政拨款支出决算具体情况说明</w:t>
      </w:r>
    </w:p>
    <w:p>
      <w:pPr>
        <w:pStyle w:val="22"/>
        <w:ind w:firstLine="642" w:firstLineChars="200"/>
        <w:rPr>
          <w:rFonts w:hint="eastAsia" w:ascii="宋体" w:hAnsi="宋体" w:eastAsia="宋体" w:cs="宋体"/>
          <w:sz w:val="32"/>
          <w:szCs w:val="32"/>
        </w:rPr>
      </w:pPr>
      <w:r>
        <w:rPr>
          <w:rFonts w:hint="eastAsia" w:ascii="宋体" w:hAnsi="宋体" w:eastAsia="宋体" w:cs="宋体"/>
          <w:sz w:val="32"/>
          <w:szCs w:val="32"/>
        </w:rPr>
        <w:t>2021年度“三公”经费财政拨款支出决算中，公务接待费支出决算</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%,因公出国（境）费支出决算</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%,公务用车购置费及运行维护费支出决算</w:t>
      </w:r>
      <w:r>
        <w:rPr>
          <w:rFonts w:hint="eastAsia" w:ascii="宋体" w:hAnsi="宋体" w:eastAsia="宋体" w:cs="宋体"/>
          <w:sz w:val="32"/>
          <w:szCs w:val="32"/>
          <w:lang w:val="en-US" w:eastAsia="zh-CN"/>
        </w:rPr>
        <w:t>9</w:t>
      </w:r>
      <w:r>
        <w:rPr>
          <w:rFonts w:hint="eastAsia" w:ascii="宋体" w:hAnsi="宋体" w:eastAsia="宋体" w:cs="宋体"/>
          <w:sz w:val="32"/>
          <w:szCs w:val="32"/>
        </w:rPr>
        <w:t>万元，占</w:t>
      </w:r>
      <w:r>
        <w:rPr>
          <w:rFonts w:hint="eastAsia" w:ascii="宋体" w:hAnsi="宋体" w:eastAsia="宋体" w:cs="宋体"/>
          <w:sz w:val="32"/>
          <w:szCs w:val="32"/>
          <w:lang w:val="en-US" w:eastAsia="zh-CN"/>
        </w:rPr>
        <w:t>100</w:t>
      </w:r>
      <w:r>
        <w:rPr>
          <w:rFonts w:hint="eastAsia" w:ascii="宋体" w:hAnsi="宋体" w:eastAsia="宋体" w:cs="宋体"/>
          <w:sz w:val="32"/>
          <w:szCs w:val="32"/>
        </w:rPr>
        <w:t>%。其中：</w:t>
      </w:r>
    </w:p>
    <w:p>
      <w:pPr>
        <w:pStyle w:val="22"/>
        <w:ind w:firstLine="642" w:firstLineChars="200"/>
        <w:rPr>
          <w:rFonts w:hint="eastAsia" w:ascii="宋体" w:hAnsi="宋体" w:eastAsia="宋体" w:cs="宋体"/>
          <w:b/>
          <w:sz w:val="32"/>
          <w:szCs w:val="32"/>
          <w:lang w:eastAsia="zh-CN"/>
        </w:rPr>
      </w:pPr>
      <w:r>
        <w:rPr>
          <w:rFonts w:hint="eastAsia" w:ascii="宋体" w:hAnsi="宋体" w:eastAsia="宋体" w:cs="宋体"/>
          <w:sz w:val="32"/>
          <w:szCs w:val="32"/>
        </w:rPr>
        <w:t>1、因公出国（境）费支出决算为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万元，全年安排因公出国（境）团组</w:t>
      </w:r>
      <w:r>
        <w:rPr>
          <w:rFonts w:hint="eastAsia" w:ascii="宋体" w:hAnsi="宋体" w:eastAsia="宋体" w:cs="宋体"/>
          <w:sz w:val="32"/>
          <w:szCs w:val="32"/>
          <w:lang w:val="en-US" w:eastAsia="zh-CN"/>
        </w:rPr>
        <w:t>0</w:t>
      </w:r>
      <w:r>
        <w:rPr>
          <w:rFonts w:hint="eastAsia" w:ascii="宋体" w:hAnsi="宋体" w:eastAsia="宋体" w:cs="宋体"/>
          <w:sz w:val="32"/>
          <w:szCs w:val="32"/>
        </w:rPr>
        <w:t>个，累计</w:t>
      </w:r>
      <w:r>
        <w:rPr>
          <w:rFonts w:hint="eastAsia" w:ascii="宋体" w:hAnsi="宋体" w:eastAsia="宋体" w:cs="宋体"/>
          <w:sz w:val="32"/>
          <w:szCs w:val="32"/>
          <w:lang w:val="en-US" w:eastAsia="zh-CN"/>
        </w:rPr>
        <w:t>0</w:t>
      </w:r>
      <w:r>
        <w:rPr>
          <w:rFonts w:hint="eastAsia" w:ascii="宋体" w:hAnsi="宋体" w:eastAsia="宋体" w:cs="宋体"/>
          <w:sz w:val="32"/>
          <w:szCs w:val="32"/>
        </w:rPr>
        <w:t>人次</w:t>
      </w:r>
      <w:r>
        <w:rPr>
          <w:rFonts w:hint="eastAsia" w:ascii="宋体" w:hAnsi="宋体" w:eastAsia="宋体" w:cs="宋体"/>
          <w:sz w:val="32"/>
          <w:szCs w:val="32"/>
          <w:lang w:eastAsia="zh-CN"/>
        </w:rPr>
        <w:t>。</w:t>
      </w:r>
    </w:p>
    <w:p>
      <w:pPr>
        <w:pStyle w:val="22"/>
        <w:ind w:firstLine="642" w:firstLineChars="200"/>
        <w:rPr>
          <w:rFonts w:hint="eastAsia" w:ascii="宋体" w:hAnsi="宋体" w:eastAsia="宋体" w:cs="宋体"/>
          <w:sz w:val="32"/>
          <w:szCs w:val="32"/>
        </w:rPr>
      </w:pPr>
      <w:r>
        <w:rPr>
          <w:rFonts w:hint="eastAsia" w:ascii="宋体" w:hAnsi="宋体" w:eastAsia="宋体" w:cs="宋体"/>
          <w:sz w:val="32"/>
          <w:szCs w:val="32"/>
        </w:rPr>
        <w:t>2、公务接待费支出决算为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万元，全年共接待来访团组</w:t>
      </w:r>
      <w:r>
        <w:rPr>
          <w:rFonts w:hint="eastAsia" w:ascii="宋体" w:hAnsi="宋体" w:eastAsia="宋体" w:cs="宋体"/>
          <w:sz w:val="32"/>
          <w:szCs w:val="32"/>
          <w:lang w:val="en-US" w:eastAsia="zh-CN"/>
        </w:rPr>
        <w:t>0</w:t>
      </w:r>
      <w:r>
        <w:rPr>
          <w:rFonts w:hint="eastAsia" w:ascii="宋体" w:hAnsi="宋体" w:eastAsia="宋体" w:cs="宋体"/>
          <w:sz w:val="32"/>
          <w:szCs w:val="32"/>
        </w:rPr>
        <w:t>个、来宾</w:t>
      </w:r>
      <w:r>
        <w:rPr>
          <w:rFonts w:hint="eastAsia" w:ascii="宋体" w:hAnsi="宋体" w:eastAsia="宋体" w:cs="宋体"/>
          <w:sz w:val="32"/>
          <w:szCs w:val="32"/>
          <w:lang w:val="en-US" w:eastAsia="zh-CN"/>
        </w:rPr>
        <w:t>0</w:t>
      </w:r>
      <w:r>
        <w:rPr>
          <w:rFonts w:hint="eastAsia" w:ascii="宋体" w:hAnsi="宋体" w:eastAsia="宋体" w:cs="宋体"/>
          <w:sz w:val="32"/>
          <w:szCs w:val="32"/>
        </w:rPr>
        <w:t>人次。</w:t>
      </w:r>
    </w:p>
    <w:p>
      <w:pPr>
        <w:keepNext/>
        <w:keepLines/>
        <w:ind w:firstLine="640"/>
        <w:rPr>
          <w:rFonts w:hint="eastAsia" w:ascii="宋体" w:hAnsi="宋体" w:eastAsia="宋体" w:cs="宋体"/>
          <w:color w:val="auto"/>
          <w:sz w:val="32"/>
          <w:szCs w:val="24"/>
          <w:lang w:val="zh-CN"/>
        </w:rPr>
      </w:pPr>
      <w:r>
        <w:rPr>
          <w:rFonts w:hint="eastAsia" w:ascii="宋体" w:hAnsi="宋体" w:eastAsia="宋体" w:cs="宋体"/>
          <w:sz w:val="32"/>
          <w:szCs w:val="32"/>
        </w:rPr>
        <w:t>3、公务用车购置费及运行维护费支出决算为</w:t>
      </w:r>
      <w:r>
        <w:rPr>
          <w:rFonts w:hint="eastAsia" w:ascii="宋体" w:hAnsi="宋体" w:eastAsia="宋体" w:cs="宋体"/>
          <w:sz w:val="32"/>
          <w:szCs w:val="32"/>
          <w:lang w:val="en-US" w:eastAsia="zh-CN"/>
        </w:rPr>
        <w:t>9</w:t>
      </w:r>
      <w:r>
        <w:rPr>
          <w:rFonts w:hint="eastAsia" w:ascii="宋体" w:hAnsi="宋体" w:eastAsia="宋体" w:cs="宋体"/>
          <w:sz w:val="32"/>
          <w:szCs w:val="32"/>
        </w:rPr>
        <w:t>万元，其中：公务用车购置费</w:t>
      </w:r>
      <w:r>
        <w:rPr>
          <w:rFonts w:hint="eastAsia" w:ascii="宋体" w:hAnsi="宋体" w:eastAsia="宋体" w:cs="宋体"/>
          <w:sz w:val="32"/>
          <w:szCs w:val="32"/>
          <w:lang w:val="en-US" w:eastAsia="zh-CN"/>
        </w:rPr>
        <w:t>0</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rPr>
        <w:t>公务用车运行维护费</w:t>
      </w:r>
      <w:r>
        <w:rPr>
          <w:rFonts w:hint="eastAsia" w:ascii="宋体" w:hAnsi="宋体" w:eastAsia="宋体" w:cs="宋体"/>
          <w:sz w:val="32"/>
          <w:szCs w:val="32"/>
          <w:lang w:val="en-US" w:eastAsia="zh-CN"/>
        </w:rPr>
        <w:t>9</w:t>
      </w:r>
      <w:r>
        <w:rPr>
          <w:rFonts w:hint="eastAsia" w:ascii="宋体" w:hAnsi="宋体" w:eastAsia="宋体" w:cs="宋体"/>
          <w:sz w:val="32"/>
          <w:szCs w:val="32"/>
        </w:rPr>
        <w:t>万元，主要是</w:t>
      </w:r>
      <w:r>
        <w:rPr>
          <w:rFonts w:hint="eastAsia" w:ascii="宋体" w:hAnsi="宋体" w:eastAsia="宋体" w:cs="宋体"/>
          <w:color w:val="auto"/>
          <w:sz w:val="32"/>
          <w:szCs w:val="24"/>
          <w:lang w:val="zh-CN"/>
        </w:rPr>
        <w:t>按规定保留的公务用车的燃料费、维修费、过桥过路费、保险费、安全奖励费用等支出。截至2021年12月31日，我单位开支财政拨款的公务用车保有量为3辆。</w:t>
      </w:r>
    </w:p>
    <w:p>
      <w:pPr>
        <w:pStyle w:val="22"/>
        <w:ind w:firstLine="642" w:firstLineChars="200"/>
        <w:rPr>
          <w:rFonts w:hint="eastAsia" w:hAnsi="黑体"/>
          <w:b w:val="0"/>
          <w:bCs/>
          <w:sz w:val="32"/>
          <w:szCs w:val="32"/>
        </w:rPr>
      </w:pPr>
      <w:r>
        <w:rPr>
          <w:rFonts w:hint="eastAsia" w:hAnsi="黑体"/>
          <w:b w:val="0"/>
          <w:bCs/>
          <w:sz w:val="32"/>
          <w:szCs w:val="32"/>
        </w:rPr>
        <w:t>八、政府性基金预算收入支出决算情况</w:t>
      </w:r>
    </w:p>
    <w:p>
      <w:pPr>
        <w:keepNext/>
        <w:keepLines/>
        <w:ind w:firstLine="642" w:firstLineChars="200"/>
        <w:rPr>
          <w:rFonts w:hint="eastAsia" w:ascii="宋体" w:hAnsi="宋体" w:eastAsia="宋体" w:cs="宋体"/>
          <w:b/>
          <w:sz w:val="32"/>
          <w:szCs w:val="32"/>
        </w:rPr>
      </w:pPr>
      <w:r>
        <w:rPr>
          <w:rFonts w:hint="eastAsia" w:ascii="宋体" w:hAnsi="宋体" w:eastAsia="宋体" w:cs="宋体"/>
          <w:color w:val="auto"/>
          <w:sz w:val="32"/>
          <w:szCs w:val="24"/>
          <w:lang w:val="zh-CN"/>
        </w:rPr>
        <w:t>2021年</w:t>
      </w:r>
      <w:r>
        <w:rPr>
          <w:rFonts w:hint="eastAsia" w:ascii="宋体" w:hAnsi="宋体" w:eastAsia="宋体" w:cs="宋体"/>
          <w:sz w:val="32"/>
          <w:szCs w:val="32"/>
          <w:lang w:eastAsia="zh-CN"/>
        </w:rPr>
        <w:t>本部门无政府性基金收支</w:t>
      </w:r>
      <w:r>
        <w:rPr>
          <w:rFonts w:hint="eastAsia" w:ascii="宋体" w:hAnsi="宋体" w:eastAsia="宋体" w:cs="宋体"/>
          <w:color w:val="auto"/>
          <w:sz w:val="32"/>
          <w:szCs w:val="24"/>
          <w:lang w:val="zh-CN"/>
        </w:rPr>
        <w:t>。</w:t>
      </w:r>
    </w:p>
    <w:p>
      <w:pPr>
        <w:pStyle w:val="22"/>
        <w:numPr>
          <w:ilvl w:val="0"/>
          <w:numId w:val="0"/>
        </w:numPr>
        <w:rPr>
          <w:rFonts w:hint="eastAsia" w:hAnsi="黑体"/>
          <w:b/>
          <w:sz w:val="32"/>
          <w:szCs w:val="32"/>
          <w:lang w:eastAsia="zh-CN"/>
        </w:rPr>
      </w:pPr>
      <w:r>
        <w:rPr>
          <w:rFonts w:hint="eastAsia" w:hAnsi="黑体"/>
          <w:b/>
          <w:sz w:val="32"/>
          <w:szCs w:val="32"/>
          <w:lang w:val="en-US" w:eastAsia="zh-CN"/>
        </w:rPr>
        <w:t xml:space="preserve">    </w:t>
      </w:r>
      <w:r>
        <w:rPr>
          <w:rFonts w:hint="eastAsia" w:hAnsi="黑体"/>
          <w:b w:val="0"/>
          <w:bCs/>
          <w:sz w:val="32"/>
          <w:szCs w:val="32"/>
          <w:lang w:val="en-US" w:eastAsia="zh-CN"/>
        </w:rPr>
        <w:t>九、</w:t>
      </w:r>
      <w:r>
        <w:rPr>
          <w:rFonts w:hint="eastAsia" w:hAnsi="黑体"/>
          <w:b w:val="0"/>
          <w:bCs/>
          <w:sz w:val="32"/>
          <w:szCs w:val="32"/>
        </w:rPr>
        <w:t>国有资本经营预算财政拨款支出决算</w:t>
      </w:r>
      <w:r>
        <w:rPr>
          <w:rFonts w:hint="eastAsia" w:hAnsi="黑体"/>
          <w:b w:val="0"/>
          <w:bCs/>
          <w:sz w:val="32"/>
          <w:szCs w:val="32"/>
          <w:lang w:eastAsia="zh-CN"/>
        </w:rPr>
        <w:t>情况</w:t>
      </w:r>
    </w:p>
    <w:p>
      <w:pPr>
        <w:keepNext/>
        <w:keepLines/>
        <w:ind w:firstLine="642" w:firstLineChars="200"/>
        <w:rPr>
          <w:rFonts w:hint="eastAsia" w:ascii="宋体" w:hAnsi="宋体" w:eastAsia="宋体" w:cs="宋体"/>
          <w:color w:val="auto"/>
          <w:sz w:val="32"/>
          <w:szCs w:val="24"/>
          <w:lang w:val="zh-CN"/>
        </w:rPr>
      </w:pPr>
      <w:r>
        <w:rPr>
          <w:rFonts w:hint="eastAsia" w:ascii="宋体" w:hAnsi="宋体" w:eastAsia="宋体" w:cs="宋体"/>
          <w:color w:val="auto"/>
          <w:sz w:val="32"/>
          <w:szCs w:val="24"/>
          <w:lang w:val="zh-CN"/>
        </w:rPr>
        <w:t>2021年</w:t>
      </w:r>
      <w:r>
        <w:rPr>
          <w:rFonts w:hint="eastAsia" w:ascii="宋体" w:hAnsi="宋体" w:eastAsia="宋体" w:cs="宋体"/>
          <w:b w:val="0"/>
          <w:bCs w:val="0"/>
          <w:sz w:val="32"/>
          <w:szCs w:val="32"/>
          <w:lang w:eastAsia="zh-CN"/>
        </w:rPr>
        <w:t>本</w:t>
      </w:r>
      <w:r>
        <w:rPr>
          <w:rFonts w:hint="eastAsia" w:ascii="宋体" w:hAnsi="宋体" w:eastAsia="宋体" w:cs="宋体"/>
          <w:sz w:val="32"/>
          <w:szCs w:val="32"/>
          <w:lang w:eastAsia="zh-CN"/>
        </w:rPr>
        <w:t>部门</w:t>
      </w:r>
      <w:r>
        <w:rPr>
          <w:rFonts w:hint="eastAsia" w:ascii="宋体" w:hAnsi="宋体" w:eastAsia="宋体" w:cs="宋体"/>
          <w:sz w:val="32"/>
          <w:szCs w:val="32"/>
        </w:rPr>
        <w:t>无国有资本经营预算财政拨款支出</w:t>
      </w:r>
      <w:r>
        <w:rPr>
          <w:rFonts w:hint="eastAsia" w:ascii="宋体" w:hAnsi="宋体" w:eastAsia="宋体" w:cs="宋体"/>
          <w:color w:val="auto"/>
          <w:sz w:val="32"/>
          <w:szCs w:val="24"/>
          <w:lang w:val="zh-CN"/>
        </w:rPr>
        <w:t>。</w:t>
      </w:r>
    </w:p>
    <w:p>
      <w:pPr>
        <w:pStyle w:val="22"/>
        <w:ind w:firstLine="642" w:firstLineChars="200"/>
        <w:rPr>
          <w:rFonts w:hAnsi="黑体"/>
          <w:b w:val="0"/>
          <w:bCs/>
          <w:sz w:val="32"/>
          <w:szCs w:val="32"/>
        </w:rPr>
      </w:pPr>
      <w:r>
        <w:rPr>
          <w:rFonts w:hint="eastAsia" w:hAnsi="黑体"/>
          <w:b w:val="0"/>
          <w:bCs/>
          <w:sz w:val="32"/>
          <w:szCs w:val="32"/>
        </w:rPr>
        <w:t>十、机关运行经费支出说明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642" w:firstLineChars="200"/>
        <w:jc w:val="both"/>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本部门2021年度机关运行经费支出40.65万元，比年初预算数增加2.22万元，增长5.77 %。主要原因是今年招商对接项目较多，任务重，增加招商工作经费。</w:t>
      </w:r>
    </w:p>
    <w:p>
      <w:pPr>
        <w:pStyle w:val="22"/>
        <w:ind w:firstLine="642" w:firstLineChars="200"/>
        <w:rPr>
          <w:rFonts w:hAnsi="黑体"/>
          <w:b w:val="0"/>
          <w:bCs/>
          <w:sz w:val="32"/>
          <w:szCs w:val="32"/>
        </w:rPr>
      </w:pPr>
      <w:r>
        <w:rPr>
          <w:rFonts w:hint="eastAsia" w:hAnsi="黑体"/>
          <w:b w:val="0"/>
          <w:bCs/>
          <w:sz w:val="32"/>
          <w:szCs w:val="32"/>
        </w:rPr>
        <w:t>十一、一般性支出情况说明</w:t>
      </w:r>
    </w:p>
    <w:p>
      <w:pPr>
        <w:pStyle w:val="22"/>
        <w:ind w:firstLine="642" w:firstLineChars="200"/>
        <w:rPr>
          <w:rFonts w:hint="eastAsia" w:ascii="宋体" w:hAnsi="宋体" w:eastAsia="宋体" w:cs="宋体"/>
          <w:i/>
          <w:iCs/>
          <w:sz w:val="32"/>
          <w:szCs w:val="32"/>
          <w:lang w:eastAsia="zh-CN"/>
        </w:rPr>
      </w:pPr>
      <w:r>
        <w:rPr>
          <w:rFonts w:hint="eastAsia" w:ascii="宋体" w:hAnsi="宋体" w:eastAsia="宋体" w:cs="宋体"/>
          <w:sz w:val="32"/>
          <w:szCs w:val="32"/>
        </w:rPr>
        <w:t>2021年本部门开支会议费0万元，末召开会议，人数0人；开支培训费</w:t>
      </w:r>
      <w:r>
        <w:rPr>
          <w:rFonts w:hint="eastAsia" w:ascii="宋体" w:hAnsi="宋体" w:eastAsia="宋体" w:cs="宋体"/>
          <w:sz w:val="32"/>
          <w:szCs w:val="32"/>
          <w:lang w:val="en-US" w:eastAsia="zh-CN"/>
        </w:rPr>
        <w:t>0</w:t>
      </w:r>
      <w:r>
        <w:rPr>
          <w:rFonts w:hint="eastAsia" w:ascii="宋体" w:hAnsi="宋体" w:eastAsia="宋体" w:cs="宋体"/>
          <w:sz w:val="32"/>
          <w:szCs w:val="32"/>
        </w:rPr>
        <w:t>万元</w:t>
      </w:r>
      <w:r>
        <w:rPr>
          <w:rFonts w:hint="eastAsia" w:ascii="宋体" w:hAnsi="宋体" w:eastAsia="宋体" w:cs="宋体"/>
          <w:sz w:val="32"/>
          <w:szCs w:val="32"/>
          <w:lang w:eastAsia="zh-CN"/>
        </w:rPr>
        <w:t>，未开展培训，人数</w:t>
      </w:r>
      <w:r>
        <w:rPr>
          <w:rFonts w:hint="eastAsia" w:ascii="宋体" w:hAnsi="宋体" w:eastAsia="宋体" w:cs="宋体"/>
          <w:sz w:val="32"/>
          <w:szCs w:val="32"/>
          <w:lang w:val="en-US" w:eastAsia="zh-CN"/>
        </w:rPr>
        <w:t>0人</w:t>
      </w:r>
      <w:r>
        <w:rPr>
          <w:rFonts w:hint="eastAsia" w:ascii="宋体" w:hAnsi="宋体" w:eastAsia="宋体" w:cs="宋体"/>
          <w:sz w:val="32"/>
          <w:szCs w:val="32"/>
        </w:rPr>
        <w:t>；</w:t>
      </w:r>
      <w:r>
        <w:rPr>
          <w:rFonts w:hint="eastAsia" w:ascii="宋体" w:hAnsi="宋体" w:eastAsia="宋体" w:cs="宋体"/>
          <w:sz w:val="32"/>
          <w:szCs w:val="32"/>
          <w:lang w:eastAsia="zh-CN"/>
        </w:rPr>
        <w:t>未</w:t>
      </w:r>
      <w:r>
        <w:rPr>
          <w:rFonts w:hint="eastAsia" w:ascii="宋体" w:hAnsi="宋体" w:eastAsia="宋体" w:cs="宋体"/>
          <w:sz w:val="32"/>
          <w:szCs w:val="32"/>
        </w:rPr>
        <w:t>举办节庆、晚会、论坛、赛事</w:t>
      </w:r>
      <w:r>
        <w:rPr>
          <w:rFonts w:hint="eastAsia" w:ascii="宋体" w:hAnsi="宋体" w:eastAsia="宋体" w:cs="宋体"/>
          <w:sz w:val="32"/>
          <w:szCs w:val="32"/>
          <w:lang w:eastAsia="zh-CN"/>
        </w:rPr>
        <w:t>等</w:t>
      </w:r>
      <w:r>
        <w:rPr>
          <w:rFonts w:hint="eastAsia" w:ascii="宋体" w:hAnsi="宋体" w:eastAsia="宋体" w:cs="宋体"/>
          <w:sz w:val="32"/>
          <w:szCs w:val="32"/>
        </w:rPr>
        <w:t>活动，开支</w:t>
      </w:r>
      <w:r>
        <w:rPr>
          <w:rFonts w:hint="eastAsia" w:ascii="宋体" w:hAnsi="宋体" w:eastAsia="宋体" w:cs="宋体"/>
          <w:sz w:val="32"/>
          <w:szCs w:val="32"/>
          <w:lang w:val="en-US" w:eastAsia="zh-CN"/>
        </w:rPr>
        <w:t>0</w:t>
      </w:r>
      <w:r>
        <w:rPr>
          <w:rFonts w:hint="eastAsia" w:ascii="宋体" w:hAnsi="宋体" w:eastAsia="宋体" w:cs="宋体"/>
          <w:sz w:val="32"/>
          <w:szCs w:val="32"/>
        </w:rPr>
        <w:t>万元</w:t>
      </w:r>
      <w:r>
        <w:rPr>
          <w:rFonts w:hint="eastAsia" w:ascii="宋体" w:hAnsi="宋体" w:eastAsia="宋体" w:cs="宋体"/>
          <w:sz w:val="32"/>
          <w:szCs w:val="32"/>
          <w:lang w:eastAsia="zh-CN"/>
        </w:rPr>
        <w:t>。</w:t>
      </w:r>
    </w:p>
    <w:p>
      <w:pPr>
        <w:pStyle w:val="22"/>
        <w:ind w:firstLine="642" w:firstLineChars="200"/>
        <w:rPr>
          <w:rFonts w:hAnsi="黑体"/>
          <w:b w:val="0"/>
          <w:bCs/>
          <w:sz w:val="32"/>
          <w:szCs w:val="32"/>
        </w:rPr>
      </w:pPr>
      <w:r>
        <w:rPr>
          <w:rFonts w:hint="eastAsia" w:hAnsi="黑体"/>
          <w:b w:val="0"/>
          <w:bCs/>
          <w:sz w:val="32"/>
          <w:szCs w:val="32"/>
        </w:rPr>
        <w:t>十二、政府采购支出说明</w:t>
      </w:r>
    </w:p>
    <w:p>
      <w:pPr>
        <w:pStyle w:val="22"/>
        <w:ind w:firstLine="642" w:firstLineChars="200"/>
        <w:rPr>
          <w:rFonts w:hint="eastAsia" w:ascii="宋体" w:hAnsi="宋体" w:eastAsia="宋体" w:cs="宋体"/>
          <w:sz w:val="32"/>
          <w:szCs w:val="32"/>
        </w:rPr>
      </w:pPr>
      <w:r>
        <w:rPr>
          <w:rFonts w:hint="eastAsia" w:ascii="宋体" w:hAnsi="宋体" w:eastAsia="宋体" w:cs="宋体"/>
          <w:sz w:val="32"/>
          <w:szCs w:val="32"/>
        </w:rPr>
        <w:t>本部门2021年度政府采购支出总额</w:t>
      </w:r>
      <w:r>
        <w:rPr>
          <w:rFonts w:hint="eastAsia" w:ascii="宋体" w:hAnsi="宋体" w:eastAsia="宋体" w:cs="宋体"/>
          <w:sz w:val="32"/>
          <w:szCs w:val="32"/>
          <w:lang w:val="en-US" w:eastAsia="zh-CN"/>
        </w:rPr>
        <w:t>0</w:t>
      </w:r>
      <w:r>
        <w:rPr>
          <w:rFonts w:hint="eastAsia" w:ascii="宋体" w:hAnsi="宋体" w:eastAsia="宋体" w:cs="宋体"/>
          <w:sz w:val="32"/>
          <w:szCs w:val="32"/>
        </w:rPr>
        <w:t>万元，其中：政府采购货物支出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万元、政府采购工程支出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万元、政府采购服务支出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万元。授予中小企业合同金额</w:t>
      </w:r>
      <w:r>
        <w:rPr>
          <w:rFonts w:hint="eastAsia" w:ascii="宋体" w:hAnsi="宋体" w:eastAsia="宋体" w:cs="宋体"/>
          <w:sz w:val="32"/>
          <w:szCs w:val="32"/>
          <w:lang w:val="en-US" w:eastAsia="zh-CN"/>
        </w:rPr>
        <w:t>0</w:t>
      </w:r>
      <w:r>
        <w:rPr>
          <w:rFonts w:hint="eastAsia" w:ascii="宋体" w:hAnsi="宋体" w:eastAsia="宋体" w:cs="宋体"/>
          <w:sz w:val="32"/>
          <w:szCs w:val="32"/>
        </w:rPr>
        <w:t>万元，占政府采购支出总额的</w:t>
      </w:r>
      <w:r>
        <w:rPr>
          <w:rFonts w:hint="eastAsia" w:ascii="宋体" w:hAnsi="宋体" w:eastAsia="宋体" w:cs="宋体"/>
          <w:sz w:val="32"/>
          <w:szCs w:val="32"/>
          <w:lang w:val="en-US" w:eastAsia="zh-CN"/>
        </w:rPr>
        <w:t>0</w:t>
      </w:r>
      <w:r>
        <w:rPr>
          <w:rFonts w:hint="eastAsia" w:ascii="宋体" w:hAnsi="宋体" w:eastAsia="宋体" w:cs="宋体"/>
          <w:sz w:val="32"/>
          <w:szCs w:val="32"/>
        </w:rPr>
        <w:t>%，其中：授予小微企业合同金额</w:t>
      </w:r>
      <w:r>
        <w:rPr>
          <w:rFonts w:hint="eastAsia" w:ascii="宋体" w:hAnsi="宋体" w:eastAsia="宋体" w:cs="宋体"/>
          <w:sz w:val="32"/>
          <w:szCs w:val="32"/>
          <w:lang w:val="en-US" w:eastAsia="zh-CN"/>
        </w:rPr>
        <w:t>0</w:t>
      </w:r>
      <w:r>
        <w:rPr>
          <w:rFonts w:hint="eastAsia" w:ascii="宋体" w:hAnsi="宋体" w:eastAsia="宋体" w:cs="宋体"/>
          <w:sz w:val="32"/>
          <w:szCs w:val="32"/>
        </w:rPr>
        <w:t>万元，占授予中小企业合同金额的</w:t>
      </w:r>
      <w:r>
        <w:rPr>
          <w:rFonts w:hint="eastAsia" w:ascii="宋体" w:hAnsi="宋体" w:eastAsia="宋体" w:cs="宋体"/>
          <w:sz w:val="32"/>
          <w:szCs w:val="32"/>
          <w:lang w:val="en-US" w:eastAsia="zh-CN"/>
        </w:rPr>
        <w:t>0</w:t>
      </w:r>
      <w:r>
        <w:rPr>
          <w:rFonts w:hint="eastAsia" w:ascii="宋体" w:hAnsi="宋体" w:eastAsia="宋体" w:cs="宋体"/>
          <w:sz w:val="32"/>
          <w:szCs w:val="32"/>
        </w:rPr>
        <w:t>%；货物采购授予中小企业合同金额占货物支出金额的</w:t>
      </w:r>
      <w:r>
        <w:rPr>
          <w:rFonts w:hint="eastAsia" w:ascii="宋体" w:hAnsi="宋体" w:eastAsia="宋体" w:cs="宋体"/>
          <w:sz w:val="32"/>
          <w:szCs w:val="32"/>
          <w:lang w:val="en-US" w:eastAsia="zh-CN"/>
        </w:rPr>
        <w:t>0</w:t>
      </w:r>
      <w:r>
        <w:rPr>
          <w:rFonts w:hint="eastAsia" w:ascii="宋体" w:hAnsi="宋体" w:eastAsia="宋体" w:cs="宋体"/>
          <w:sz w:val="32"/>
          <w:szCs w:val="32"/>
        </w:rPr>
        <w:t>%，工程采购授予中小企业合同金额占工程支出金额的</w:t>
      </w:r>
      <w:r>
        <w:rPr>
          <w:rFonts w:hint="eastAsia" w:ascii="宋体" w:hAnsi="宋体" w:eastAsia="宋体" w:cs="宋体"/>
          <w:sz w:val="32"/>
          <w:szCs w:val="32"/>
          <w:lang w:val="en-US" w:eastAsia="zh-CN"/>
        </w:rPr>
        <w:t>0</w:t>
      </w:r>
      <w:r>
        <w:rPr>
          <w:rFonts w:hint="eastAsia" w:ascii="宋体" w:hAnsi="宋体" w:eastAsia="宋体" w:cs="宋体"/>
          <w:sz w:val="32"/>
          <w:szCs w:val="32"/>
        </w:rPr>
        <w:t>%，服务采购授予中小企业合同金额占服务支出金额的</w:t>
      </w:r>
      <w:r>
        <w:rPr>
          <w:rFonts w:hint="eastAsia" w:ascii="宋体" w:hAnsi="宋体" w:eastAsia="宋体" w:cs="宋体"/>
          <w:sz w:val="32"/>
          <w:szCs w:val="32"/>
          <w:lang w:val="en-US" w:eastAsia="zh-CN"/>
        </w:rPr>
        <w:t>0</w:t>
      </w:r>
      <w:r>
        <w:rPr>
          <w:rFonts w:hint="eastAsia" w:ascii="宋体" w:hAnsi="宋体" w:eastAsia="宋体" w:cs="宋体"/>
          <w:sz w:val="32"/>
          <w:szCs w:val="32"/>
        </w:rPr>
        <w:t>%。</w:t>
      </w:r>
    </w:p>
    <w:p>
      <w:pPr>
        <w:pStyle w:val="22"/>
        <w:ind w:firstLine="642" w:firstLineChars="200"/>
        <w:rPr>
          <w:rFonts w:hAnsi="黑体"/>
          <w:b w:val="0"/>
          <w:bCs/>
          <w:sz w:val="32"/>
          <w:szCs w:val="32"/>
        </w:rPr>
      </w:pPr>
      <w:r>
        <w:rPr>
          <w:rFonts w:hint="eastAsia" w:hAnsi="黑体"/>
          <w:b w:val="0"/>
          <w:bCs/>
          <w:sz w:val="32"/>
          <w:szCs w:val="32"/>
        </w:rPr>
        <w:t>十三、国有资产占用情况说明</w:t>
      </w:r>
    </w:p>
    <w:p>
      <w:pPr>
        <w:pStyle w:val="22"/>
        <w:ind w:firstLine="642" w:firstLineChars="200"/>
        <w:rPr>
          <w:rFonts w:hint="eastAsia" w:ascii="宋体" w:hAnsi="宋体" w:eastAsia="宋体" w:cs="宋体"/>
          <w:sz w:val="32"/>
          <w:szCs w:val="32"/>
        </w:rPr>
      </w:pPr>
      <w:r>
        <w:rPr>
          <w:rFonts w:hint="eastAsia" w:ascii="宋体" w:hAnsi="宋体" w:eastAsia="宋体" w:cs="宋体"/>
          <w:sz w:val="32"/>
          <w:szCs w:val="32"/>
        </w:rPr>
        <w:t>截至2021年12月31日，部门共有车辆</w:t>
      </w:r>
      <w:r>
        <w:rPr>
          <w:rFonts w:hint="eastAsia" w:ascii="宋体" w:hAnsi="宋体" w:eastAsia="宋体" w:cs="宋体"/>
          <w:sz w:val="32"/>
          <w:szCs w:val="32"/>
          <w:lang w:val="en-US" w:eastAsia="zh-CN"/>
        </w:rPr>
        <w:t>3</w:t>
      </w:r>
      <w:r>
        <w:rPr>
          <w:rFonts w:hint="eastAsia" w:ascii="宋体" w:hAnsi="宋体" w:eastAsia="宋体" w:cs="宋体"/>
          <w:sz w:val="32"/>
          <w:szCs w:val="32"/>
        </w:rPr>
        <w:t>辆，其中，主要领导干部用车</w:t>
      </w:r>
      <w:r>
        <w:rPr>
          <w:rFonts w:hint="eastAsia" w:ascii="宋体" w:hAnsi="宋体" w:eastAsia="宋体" w:cs="宋体"/>
          <w:sz w:val="32"/>
          <w:szCs w:val="32"/>
          <w:lang w:val="en-US" w:eastAsia="zh-CN"/>
        </w:rPr>
        <w:t>0</w:t>
      </w:r>
      <w:r>
        <w:rPr>
          <w:rFonts w:hint="eastAsia" w:ascii="宋体" w:hAnsi="宋体" w:eastAsia="宋体" w:cs="宋体"/>
          <w:sz w:val="32"/>
          <w:szCs w:val="32"/>
        </w:rPr>
        <w:t>辆，机要通信用车</w:t>
      </w:r>
      <w:r>
        <w:rPr>
          <w:rFonts w:hint="eastAsia" w:ascii="宋体" w:hAnsi="宋体" w:eastAsia="宋体" w:cs="宋体"/>
          <w:sz w:val="32"/>
          <w:szCs w:val="32"/>
          <w:lang w:val="en-US" w:eastAsia="zh-CN"/>
        </w:rPr>
        <w:t>3</w:t>
      </w:r>
      <w:r>
        <w:rPr>
          <w:rFonts w:hint="eastAsia" w:ascii="宋体" w:hAnsi="宋体" w:eastAsia="宋体" w:cs="宋体"/>
          <w:sz w:val="32"/>
          <w:szCs w:val="32"/>
        </w:rPr>
        <w:t>辆、应急保障用车</w:t>
      </w:r>
      <w:r>
        <w:rPr>
          <w:rFonts w:hint="eastAsia" w:ascii="宋体" w:hAnsi="宋体" w:eastAsia="宋体" w:cs="宋体"/>
          <w:sz w:val="32"/>
          <w:szCs w:val="32"/>
          <w:lang w:val="en-US" w:eastAsia="zh-CN"/>
        </w:rPr>
        <w:t>0</w:t>
      </w:r>
      <w:r>
        <w:rPr>
          <w:rFonts w:hint="eastAsia" w:ascii="宋体" w:hAnsi="宋体" w:eastAsia="宋体" w:cs="宋体"/>
          <w:sz w:val="32"/>
          <w:szCs w:val="32"/>
        </w:rPr>
        <w:t>辆、执法执勤用车</w:t>
      </w:r>
      <w:r>
        <w:rPr>
          <w:rFonts w:hint="eastAsia" w:ascii="宋体" w:hAnsi="宋体" w:eastAsia="宋体" w:cs="宋体"/>
          <w:sz w:val="32"/>
          <w:szCs w:val="32"/>
          <w:lang w:val="en-US" w:eastAsia="zh-CN"/>
        </w:rPr>
        <w:t>0</w:t>
      </w:r>
      <w:r>
        <w:rPr>
          <w:rFonts w:hint="eastAsia" w:ascii="宋体" w:hAnsi="宋体" w:eastAsia="宋体" w:cs="宋体"/>
          <w:sz w:val="32"/>
          <w:szCs w:val="32"/>
        </w:rPr>
        <w:t>辆、特种专业技术用车</w:t>
      </w:r>
      <w:r>
        <w:rPr>
          <w:rFonts w:hint="eastAsia" w:ascii="宋体" w:hAnsi="宋体" w:eastAsia="宋体" w:cs="宋体"/>
          <w:sz w:val="32"/>
          <w:szCs w:val="32"/>
          <w:lang w:val="en-US" w:eastAsia="zh-CN"/>
        </w:rPr>
        <w:t>0</w:t>
      </w:r>
      <w:r>
        <w:rPr>
          <w:rFonts w:hint="eastAsia" w:ascii="宋体" w:hAnsi="宋体" w:eastAsia="宋体" w:cs="宋体"/>
          <w:sz w:val="32"/>
          <w:szCs w:val="32"/>
        </w:rPr>
        <w:t>辆、其他用车</w:t>
      </w:r>
      <w:r>
        <w:rPr>
          <w:rFonts w:hint="eastAsia" w:ascii="宋体" w:hAnsi="宋体" w:eastAsia="宋体" w:cs="宋体"/>
          <w:sz w:val="32"/>
          <w:szCs w:val="32"/>
          <w:lang w:val="en-US" w:eastAsia="zh-CN"/>
        </w:rPr>
        <w:t>0</w:t>
      </w:r>
      <w:r>
        <w:rPr>
          <w:rFonts w:hint="eastAsia" w:ascii="宋体" w:hAnsi="宋体" w:eastAsia="宋体" w:cs="宋体"/>
          <w:sz w:val="32"/>
          <w:szCs w:val="32"/>
        </w:rPr>
        <w:t>辆；单位价值50万元以上通用设备</w:t>
      </w:r>
      <w:r>
        <w:rPr>
          <w:rFonts w:hint="eastAsia" w:ascii="宋体" w:hAnsi="宋体" w:eastAsia="宋体" w:cs="宋体"/>
          <w:sz w:val="32"/>
          <w:szCs w:val="32"/>
          <w:lang w:val="en-US" w:eastAsia="zh-CN"/>
        </w:rPr>
        <w:t>0</w:t>
      </w:r>
      <w:r>
        <w:rPr>
          <w:rFonts w:hint="eastAsia" w:ascii="宋体" w:hAnsi="宋体" w:eastAsia="宋体" w:cs="宋体"/>
          <w:sz w:val="32"/>
          <w:szCs w:val="32"/>
        </w:rPr>
        <w:t>台（套）；单位价值100万元以上专用设备</w:t>
      </w:r>
      <w:r>
        <w:rPr>
          <w:rFonts w:hint="eastAsia" w:ascii="宋体" w:hAnsi="宋体" w:eastAsia="宋体" w:cs="宋体"/>
          <w:sz w:val="32"/>
          <w:szCs w:val="32"/>
          <w:lang w:val="en-US" w:eastAsia="zh-CN"/>
        </w:rPr>
        <w:t>0</w:t>
      </w:r>
      <w:r>
        <w:rPr>
          <w:rFonts w:hint="eastAsia" w:ascii="宋体" w:hAnsi="宋体" w:eastAsia="宋体" w:cs="宋体"/>
          <w:sz w:val="32"/>
          <w:szCs w:val="32"/>
        </w:rPr>
        <w:t>台（套）。</w:t>
      </w:r>
    </w:p>
    <w:p>
      <w:pPr>
        <w:pStyle w:val="22"/>
        <w:ind w:firstLine="642" w:firstLineChars="200"/>
        <w:rPr>
          <w:rFonts w:hint="eastAsia" w:hAnsi="黑体"/>
          <w:b w:val="0"/>
          <w:bCs/>
          <w:sz w:val="32"/>
          <w:szCs w:val="32"/>
          <w:highlight w:val="none"/>
        </w:rPr>
      </w:pPr>
      <w:r>
        <w:rPr>
          <w:rFonts w:hint="eastAsia" w:hAnsi="黑体"/>
          <w:b w:val="0"/>
          <w:bCs/>
          <w:sz w:val="32"/>
          <w:szCs w:val="32"/>
          <w:highlight w:val="none"/>
          <w:lang w:eastAsia="zh-CN"/>
        </w:rPr>
        <w:t>十四、</w:t>
      </w:r>
      <w:r>
        <w:rPr>
          <w:rFonts w:hint="eastAsia" w:hAnsi="黑体"/>
          <w:b w:val="0"/>
          <w:bCs/>
          <w:sz w:val="32"/>
          <w:szCs w:val="32"/>
          <w:highlight w:val="none"/>
        </w:rPr>
        <w:t>2021年度预算绩效情况说明</w:t>
      </w:r>
    </w:p>
    <w:p>
      <w:pPr>
        <w:autoSpaceDE w:val="0"/>
        <w:autoSpaceDN w:val="0"/>
        <w:adjustRightInd w:val="0"/>
        <w:ind w:firstLine="642" w:firstLineChars="200"/>
        <w:jc w:val="left"/>
        <w:rPr>
          <w:rFonts w:ascii="宋体" w:hAnsi="宋体" w:cs="黑体"/>
          <w:color w:val="000000"/>
          <w:kern w:val="0"/>
          <w:sz w:val="32"/>
          <w:szCs w:val="32"/>
        </w:rPr>
      </w:pPr>
      <w:r>
        <w:rPr>
          <w:rFonts w:hint="eastAsia" w:ascii="宋体" w:hAnsi="宋体" w:cs="黑体"/>
          <w:b/>
          <w:color w:val="000000"/>
          <w:kern w:val="0"/>
          <w:sz w:val="32"/>
          <w:szCs w:val="32"/>
        </w:rPr>
        <w:t>（1）绩效管理评价工作开展情况</w:t>
      </w:r>
      <w:r>
        <w:rPr>
          <w:rFonts w:hint="eastAsia" w:ascii="宋体" w:hAnsi="宋体" w:cs="黑体"/>
          <w:color w:val="000000"/>
          <w:kern w:val="0"/>
          <w:sz w:val="32"/>
          <w:szCs w:val="32"/>
        </w:rPr>
        <w:t>。</w:t>
      </w:r>
    </w:p>
    <w:p>
      <w:pPr>
        <w:keepNext w:val="0"/>
        <w:keepLines w:val="0"/>
        <w:pageBreakBefore w:val="0"/>
        <w:widowControl w:val="0"/>
        <w:kinsoku/>
        <w:wordWrap/>
        <w:overflowPunct/>
        <w:topLinePunct w:val="0"/>
        <w:autoSpaceDE/>
        <w:autoSpaceDN w:val="0"/>
        <w:bidi w:val="0"/>
        <w:adjustRightInd/>
        <w:snapToGrid/>
        <w:spacing w:line="600" w:lineRule="exact"/>
        <w:ind w:firstLine="642" w:firstLineChars="200"/>
        <w:jc w:val="left"/>
        <w:textAlignment w:val="center"/>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2021年，综保区在市委市政府的坚持领导下，在各级部门单位的帮助和支持下，在全体干部职工的共同努力下，深入贯彻落实“三高四新”战略和省域副中心城市建设要求，奋勇争先，迈上了新台阶，取得了新突破。围绕“三区一中心”建设和“95668”工作目标，真抓实干、主动求为，各项经济指标均实现较快增长，业绩持续排名全省7个海关特殊监管区第一。在2020年度综合保税区发展绩效评估工作中，城陵矶综保区排名全国134个综合保税区第47位，排名中西部地区（含东三省）55个综合保税区第12位，较上年度分别上升35位和11位，为全市乃至全省开放型经济高质量发展作出新的贡献，展示新的担当。</w:t>
      </w:r>
    </w:p>
    <w:p>
      <w:pPr>
        <w:pStyle w:val="22"/>
        <w:keepNext w:val="0"/>
        <w:keepLines w:val="0"/>
        <w:pageBreakBefore w:val="0"/>
        <w:widowControl w:val="0"/>
        <w:kinsoku/>
        <w:wordWrap/>
        <w:overflowPunct/>
        <w:topLinePunct w:val="0"/>
        <w:autoSpaceDE w:val="0"/>
        <w:autoSpaceDN w:val="0"/>
        <w:bidi w:val="0"/>
        <w:adjustRightInd w:val="0"/>
        <w:snapToGrid/>
        <w:ind w:firstLine="642" w:firstLineChars="200"/>
        <w:textAlignment w:val="auto"/>
        <w:rPr>
          <w:rFonts w:hint="default" w:eastAsia="黑体"/>
          <w:sz w:val="72"/>
          <w:szCs w:val="72"/>
          <w:lang w:val="en-US" w:eastAsia="zh-CN"/>
        </w:rPr>
      </w:pPr>
      <w:r>
        <w:rPr>
          <w:rFonts w:hint="eastAsia" w:ascii="宋体" w:hAnsi="宋体" w:eastAsia="宋体" w:cs="宋体"/>
          <w:color w:val="auto"/>
          <w:kern w:val="2"/>
          <w:sz w:val="32"/>
          <w:szCs w:val="32"/>
          <w:lang w:val="en-US" w:eastAsia="zh-CN" w:bidi="ar-SA"/>
        </w:rPr>
        <w:t>我单位根据相关法律法规严格制定年度工作计划，一是对年初的预算数据测算更加精细、准确，确保预算的编制质量；二是根据工作需要及时建立健全和修订各项管理制度，规范工作流程，将工作责任落实到每个岗位。</w:t>
      </w:r>
    </w:p>
    <w:p>
      <w:pPr>
        <w:autoSpaceDE w:val="0"/>
        <w:autoSpaceDN w:val="0"/>
        <w:adjustRightInd w:val="0"/>
        <w:ind w:firstLine="642" w:firstLineChars="200"/>
        <w:jc w:val="left"/>
        <w:rPr>
          <w:rFonts w:ascii="宋体" w:hAnsi="宋体" w:cs="黑体"/>
          <w:b/>
          <w:color w:val="000000"/>
          <w:kern w:val="0"/>
          <w:sz w:val="32"/>
          <w:szCs w:val="32"/>
        </w:rPr>
      </w:pPr>
      <w:r>
        <w:rPr>
          <w:rFonts w:hint="eastAsia" w:ascii="宋体" w:hAnsi="宋体" w:cs="黑体"/>
          <w:b/>
          <w:color w:val="000000"/>
          <w:kern w:val="0"/>
          <w:sz w:val="32"/>
          <w:szCs w:val="32"/>
        </w:rPr>
        <w:t>（2）部门决算中项目绩效自评结果。</w:t>
      </w:r>
    </w:p>
    <w:p>
      <w:pPr>
        <w:keepNext w:val="0"/>
        <w:keepLines w:val="0"/>
        <w:pageBreakBefore w:val="0"/>
        <w:widowControl w:val="0"/>
        <w:kinsoku/>
        <w:wordWrap/>
        <w:overflowPunct/>
        <w:topLinePunct w:val="0"/>
        <w:autoSpaceDE/>
        <w:autoSpaceDN w:val="0"/>
        <w:bidi w:val="0"/>
        <w:adjustRightInd/>
        <w:snapToGrid/>
        <w:spacing w:line="600" w:lineRule="exact"/>
        <w:ind w:firstLine="642" w:firstLineChars="200"/>
        <w:jc w:val="left"/>
        <w:textAlignment w:val="center"/>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本单位无项目支出，故未开展项目自评，无自评结果。</w:t>
      </w:r>
    </w:p>
    <w:p>
      <w:pPr>
        <w:spacing w:beforeLines="0" w:afterLines="0" w:line="600" w:lineRule="exact"/>
        <w:ind w:firstLine="963" w:firstLineChars="300"/>
        <w:rPr>
          <w:rFonts w:hint="eastAsia" w:ascii="宋体" w:hAnsi="Times New Roman" w:eastAsia="宋体"/>
          <w:sz w:val="32"/>
          <w:szCs w:val="24"/>
          <w:highlight w:val="white"/>
        </w:rPr>
      </w:pPr>
      <w:r>
        <w:rPr>
          <w:rFonts w:hint="eastAsia" w:ascii="宋体" w:hAnsi="Times New Roman" w:eastAsia="宋体"/>
          <w:sz w:val="32"/>
          <w:szCs w:val="24"/>
          <w:highlight w:val="white"/>
        </w:rPr>
        <w:t>2021年度本部门绩效任务有效执行，三公经费有效控制，行政效率有效提高。单位紧扣目标任务对部门整体支出全面开展绩效自评，自评率100%，自评综合得分</w:t>
      </w:r>
      <w:r>
        <w:rPr>
          <w:rFonts w:hint="eastAsia" w:ascii="宋体" w:hAnsi="Times New Roman" w:eastAsia="宋体"/>
          <w:sz w:val="32"/>
          <w:szCs w:val="24"/>
          <w:highlight w:val="white"/>
          <w:lang w:val="en-US" w:eastAsia="zh-CN"/>
        </w:rPr>
        <w:t>95</w:t>
      </w:r>
      <w:r>
        <w:rPr>
          <w:rFonts w:hint="eastAsia" w:ascii="宋体" w:hAnsi="Times New Roman" w:eastAsia="宋体"/>
          <w:sz w:val="32"/>
          <w:szCs w:val="24"/>
          <w:highlight w:val="white"/>
        </w:rPr>
        <w:t>分，评价等次为优秀。</w:t>
      </w:r>
    </w:p>
    <w:p>
      <w:pPr>
        <w:spacing w:beforeLines="0" w:afterLines="0" w:line="600" w:lineRule="exact"/>
        <w:ind w:firstLine="642" w:firstLineChars="200"/>
        <w:rPr>
          <w:rFonts w:hint="eastAsia" w:ascii="宋体" w:hAnsi="Times New Roman" w:eastAsia="宋体"/>
          <w:sz w:val="32"/>
          <w:szCs w:val="24"/>
          <w:highlight w:val="white"/>
          <w:lang w:eastAsia="zh-CN"/>
        </w:rPr>
      </w:pPr>
      <w:r>
        <w:rPr>
          <w:rFonts w:hint="eastAsia" w:ascii="宋体" w:hAnsi="Times New Roman" w:eastAsia="宋体"/>
          <w:sz w:val="32"/>
          <w:szCs w:val="24"/>
          <w:highlight w:val="white"/>
          <w:lang w:eastAsia="zh-CN"/>
        </w:rPr>
        <w:t>预算绩效管理开展情况、</w:t>
      </w:r>
      <w:bookmarkStart w:id="0" w:name="_GoBack"/>
      <w:bookmarkEnd w:id="0"/>
      <w:r>
        <w:rPr>
          <w:rFonts w:hint="eastAsia" w:ascii="宋体" w:hAnsi="Times New Roman" w:eastAsia="宋体"/>
          <w:sz w:val="32"/>
          <w:szCs w:val="24"/>
          <w:highlight w:val="white"/>
          <w:lang w:eastAsia="zh-CN"/>
        </w:rPr>
        <w:t>绩效目标和绩效评价报告等，一并作为附件公开。</w:t>
      </w:r>
    </w:p>
    <w:p>
      <w:pPr>
        <w:pStyle w:val="2"/>
        <w:rPr>
          <w:rFonts w:hint="eastAsia"/>
          <w:lang w:val="en-US" w:eastAsia="zh-CN"/>
        </w:rPr>
      </w:pPr>
    </w:p>
    <w:p>
      <w:pPr>
        <w:pStyle w:val="3"/>
        <w:rPr>
          <w:rFonts w:hint="eastAsia"/>
          <w:lang w:val="en-US" w:eastAsia="zh-CN"/>
        </w:rPr>
      </w:pPr>
    </w:p>
    <w:p>
      <w:pPr>
        <w:pStyle w:val="22"/>
        <w:jc w:val="both"/>
        <w:rPr>
          <w:sz w:val="72"/>
          <w:szCs w:val="72"/>
        </w:rPr>
      </w:pPr>
    </w:p>
    <w:p>
      <w:pPr>
        <w:pStyle w:val="22"/>
        <w:jc w:val="center"/>
        <w:rPr>
          <w:rFonts w:hint="eastAsia"/>
          <w:sz w:val="72"/>
          <w:szCs w:val="72"/>
        </w:rPr>
      </w:pPr>
    </w:p>
    <w:p>
      <w:pPr>
        <w:pStyle w:val="22"/>
        <w:jc w:val="center"/>
        <w:rPr>
          <w:rFonts w:hint="eastAsia"/>
          <w:sz w:val="72"/>
          <w:szCs w:val="72"/>
        </w:rPr>
      </w:pPr>
    </w:p>
    <w:p>
      <w:pPr>
        <w:pStyle w:val="22"/>
        <w:jc w:val="center"/>
        <w:rPr>
          <w:rFonts w:hint="eastAsia"/>
          <w:sz w:val="72"/>
          <w:szCs w:val="72"/>
        </w:rPr>
      </w:pPr>
    </w:p>
    <w:p>
      <w:pPr>
        <w:pStyle w:val="22"/>
        <w:jc w:val="center"/>
        <w:rPr>
          <w:rFonts w:hint="eastAsia"/>
          <w:sz w:val="72"/>
          <w:szCs w:val="72"/>
        </w:rPr>
      </w:pPr>
    </w:p>
    <w:p>
      <w:pPr>
        <w:pStyle w:val="22"/>
        <w:jc w:val="center"/>
        <w:rPr>
          <w:rFonts w:hint="eastAsia"/>
          <w:sz w:val="72"/>
          <w:szCs w:val="72"/>
        </w:rPr>
      </w:pPr>
    </w:p>
    <w:p>
      <w:pPr>
        <w:pStyle w:val="22"/>
        <w:jc w:val="center"/>
        <w:rPr>
          <w:rFonts w:hint="eastAsia"/>
          <w:sz w:val="72"/>
          <w:szCs w:val="72"/>
        </w:rPr>
      </w:pPr>
    </w:p>
    <w:p>
      <w:pPr>
        <w:pStyle w:val="22"/>
        <w:jc w:val="center"/>
        <w:rPr>
          <w:rFonts w:hint="eastAsia"/>
          <w:sz w:val="72"/>
          <w:szCs w:val="72"/>
        </w:rPr>
      </w:pPr>
    </w:p>
    <w:p>
      <w:pPr>
        <w:pStyle w:val="22"/>
        <w:jc w:val="center"/>
        <w:rPr>
          <w:rFonts w:hint="eastAsia"/>
          <w:sz w:val="72"/>
          <w:szCs w:val="72"/>
        </w:rPr>
      </w:pPr>
    </w:p>
    <w:p>
      <w:pPr>
        <w:pStyle w:val="22"/>
        <w:jc w:val="center"/>
        <w:rPr>
          <w:rFonts w:hint="eastAsia"/>
          <w:sz w:val="72"/>
          <w:szCs w:val="72"/>
        </w:rPr>
      </w:pPr>
    </w:p>
    <w:p>
      <w:pPr>
        <w:pStyle w:val="22"/>
        <w:jc w:val="center"/>
        <w:rPr>
          <w:rFonts w:hint="eastAsia"/>
          <w:sz w:val="72"/>
          <w:szCs w:val="72"/>
        </w:rPr>
      </w:pPr>
    </w:p>
    <w:p>
      <w:pPr>
        <w:pStyle w:val="22"/>
        <w:jc w:val="center"/>
        <w:rPr>
          <w:rFonts w:hint="eastAsia"/>
          <w:sz w:val="72"/>
          <w:szCs w:val="72"/>
        </w:rPr>
      </w:pPr>
    </w:p>
    <w:p>
      <w:pPr>
        <w:pStyle w:val="22"/>
        <w:jc w:val="center"/>
        <w:rPr>
          <w:rFonts w:hint="eastAsia"/>
          <w:sz w:val="72"/>
          <w:szCs w:val="72"/>
        </w:rPr>
      </w:pPr>
    </w:p>
    <w:p>
      <w:pPr>
        <w:pStyle w:val="22"/>
        <w:jc w:val="center"/>
        <w:rPr>
          <w:rFonts w:hint="eastAsia"/>
          <w:sz w:val="72"/>
          <w:szCs w:val="72"/>
        </w:rPr>
      </w:pPr>
    </w:p>
    <w:p>
      <w:pPr>
        <w:pStyle w:val="22"/>
        <w:jc w:val="center"/>
        <w:rPr>
          <w:rFonts w:hint="eastAsia"/>
          <w:sz w:val="72"/>
          <w:szCs w:val="72"/>
        </w:rPr>
      </w:pPr>
    </w:p>
    <w:p>
      <w:pPr>
        <w:pStyle w:val="22"/>
        <w:jc w:val="center"/>
        <w:rPr>
          <w:rFonts w:hint="eastAsia"/>
          <w:sz w:val="72"/>
          <w:szCs w:val="72"/>
        </w:rPr>
      </w:pPr>
    </w:p>
    <w:p>
      <w:pPr>
        <w:pStyle w:val="22"/>
        <w:jc w:val="center"/>
        <w:rPr>
          <w:rFonts w:hint="eastAsia"/>
          <w:sz w:val="72"/>
          <w:szCs w:val="72"/>
        </w:rPr>
      </w:pPr>
    </w:p>
    <w:p>
      <w:pPr>
        <w:pStyle w:val="22"/>
        <w:jc w:val="center"/>
        <w:rPr>
          <w:rFonts w:hint="eastAsia"/>
          <w:sz w:val="72"/>
          <w:szCs w:val="72"/>
        </w:rPr>
      </w:pPr>
    </w:p>
    <w:p>
      <w:pPr>
        <w:pStyle w:val="22"/>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一、财政拨款收入：指本级财政当年拨付的资金。</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二、</w:t>
      </w:r>
      <w:r>
        <w:rPr>
          <w:rFonts w:hint="eastAsia" w:ascii="宋体" w:hAnsi="宋体" w:eastAsia="宋体" w:cs="宋体"/>
          <w:color w:val="000000"/>
          <w:kern w:val="0"/>
          <w:sz w:val="32"/>
          <w:szCs w:val="32"/>
        </w:rPr>
        <w:t>年末结转和结余资金：指本年度或以前年度预算安排、因客观条件发生变化无法按原计划实施，需要延迟到以后年度按有关规定继续使用的资金。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三、</w:t>
      </w:r>
      <w:r>
        <w:rPr>
          <w:rFonts w:hint="eastAsia" w:ascii="宋体" w:hAnsi="宋体" w:eastAsia="宋体" w:cs="宋体"/>
          <w:color w:val="000000"/>
          <w:kern w:val="0"/>
          <w:sz w:val="32"/>
          <w:szCs w:val="32"/>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w:t>
      </w:r>
      <w:r>
        <w:rPr>
          <w:rFonts w:hint="eastAsia" w:ascii="宋体" w:hAnsi="宋体" w:eastAsia="宋体" w:cs="宋体"/>
          <w:color w:val="000000"/>
          <w:kern w:val="0"/>
          <w:sz w:val="32"/>
          <w:szCs w:val="32"/>
          <w:lang w:eastAsia="zh-CN"/>
        </w:rPr>
        <w:t>四、</w:t>
      </w:r>
      <w:r>
        <w:rPr>
          <w:rFonts w:hint="eastAsia" w:ascii="宋体" w:hAnsi="宋体" w:eastAsia="宋体" w:cs="宋体"/>
          <w:color w:val="000000"/>
          <w:kern w:val="0"/>
          <w:sz w:val="32"/>
          <w:szCs w:val="32"/>
        </w:rPr>
        <w:t>基本支出：指保障机构正常运转、完成支日常工作任务而发生的人员支出和公用支出。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四、</w:t>
      </w:r>
      <w:r>
        <w:rPr>
          <w:rFonts w:hint="eastAsia" w:ascii="宋体" w:hAnsi="宋体" w:eastAsia="宋体" w:cs="宋体"/>
          <w:color w:val="000000"/>
          <w:kern w:val="0"/>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五、</w:t>
      </w:r>
      <w:r>
        <w:rPr>
          <w:rFonts w:hint="eastAsia" w:ascii="宋体" w:hAnsi="宋体" w:eastAsia="宋体" w:cs="宋体"/>
          <w:color w:val="000000"/>
          <w:kern w:val="0"/>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六、</w:t>
      </w:r>
      <w:r>
        <w:rPr>
          <w:rFonts w:hint="eastAsia" w:ascii="宋体" w:hAnsi="宋体" w:eastAsia="宋体" w:cs="宋体"/>
          <w:color w:val="000000"/>
          <w:kern w:val="0"/>
          <w:sz w:val="32"/>
          <w:szCs w:val="32"/>
        </w:rPr>
        <w:t>政府采购：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七、</w:t>
      </w:r>
      <w:r>
        <w:rPr>
          <w:rFonts w:hint="eastAsia" w:ascii="宋体" w:hAnsi="宋体" w:eastAsia="宋体" w:cs="宋体"/>
          <w:color w:val="000000"/>
          <w:kern w:val="0"/>
          <w:sz w:val="32"/>
          <w:szCs w:val="32"/>
        </w:rPr>
        <w:t>工资福利支出：反映单位开支的在职职工和编制外长期聘用人员的各类劳动报酬，以及为上述人员缴纳的各项社会保险费等。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eastAsia="zh-CN"/>
        </w:rPr>
        <w:t>八、</w:t>
      </w:r>
      <w:r>
        <w:rPr>
          <w:rFonts w:hint="eastAsia" w:ascii="宋体" w:hAnsi="宋体" w:eastAsia="宋体" w:cs="宋体"/>
          <w:color w:val="000000"/>
          <w:kern w:val="0"/>
          <w:sz w:val="32"/>
          <w:szCs w:val="32"/>
          <w:lang w:val="en-US" w:eastAsia="zh-CN"/>
        </w:rPr>
        <w:t>机关运行经费：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
        <w:rPr>
          <w:rFonts w:hint="eastAsia" w:ascii="宋体" w:hAnsi="宋体" w:eastAsia="宋体" w:cs="宋体"/>
          <w:color w:val="000000"/>
          <w:kern w:val="0"/>
          <w:sz w:val="32"/>
          <w:szCs w:val="32"/>
          <w:lang w:val="en-US" w:eastAsia="zh-CN"/>
        </w:rPr>
      </w:pPr>
    </w:p>
    <w:p>
      <w:pPr>
        <w:pStyle w:val="22"/>
        <w:jc w:val="center"/>
        <w:rPr>
          <w:rFonts w:hint="eastAsia"/>
          <w:sz w:val="72"/>
          <w:szCs w:val="72"/>
        </w:rPr>
      </w:pPr>
    </w:p>
    <w:p>
      <w:pPr>
        <w:pStyle w:val="22"/>
        <w:jc w:val="center"/>
        <w:rPr>
          <w:rFonts w:hint="eastAsia"/>
          <w:sz w:val="72"/>
          <w:szCs w:val="72"/>
        </w:rPr>
      </w:pPr>
    </w:p>
    <w:p>
      <w:pPr>
        <w:pStyle w:val="22"/>
        <w:jc w:val="center"/>
        <w:rPr>
          <w:rFonts w:hint="eastAsia"/>
          <w:sz w:val="72"/>
          <w:szCs w:val="72"/>
        </w:rPr>
      </w:pPr>
    </w:p>
    <w:p>
      <w:pPr>
        <w:pStyle w:val="22"/>
        <w:jc w:val="center"/>
        <w:rPr>
          <w:rFonts w:hint="eastAsia"/>
          <w:sz w:val="72"/>
          <w:szCs w:val="72"/>
        </w:rPr>
      </w:pPr>
    </w:p>
    <w:p>
      <w:pPr>
        <w:pStyle w:val="22"/>
        <w:jc w:val="center"/>
        <w:rPr>
          <w:rFonts w:hint="eastAsia"/>
          <w:sz w:val="72"/>
          <w:szCs w:val="72"/>
        </w:rPr>
      </w:pPr>
      <w:r>
        <w:rPr>
          <w:rFonts w:hint="eastAsia"/>
          <w:sz w:val="72"/>
          <w:szCs w:val="72"/>
        </w:rPr>
        <w:t>第</w:t>
      </w:r>
      <w:r>
        <w:rPr>
          <w:rFonts w:hint="eastAsia"/>
          <w:sz w:val="72"/>
          <w:szCs w:val="72"/>
          <w:lang w:eastAsia="zh-CN"/>
        </w:rPr>
        <w:t>五</w:t>
      </w:r>
      <w:r>
        <w:rPr>
          <w:rFonts w:hint="eastAsia"/>
          <w:sz w:val="72"/>
          <w:szCs w:val="72"/>
        </w:rPr>
        <w:t>部分</w:t>
      </w:r>
    </w:p>
    <w:p>
      <w:pPr>
        <w:pStyle w:val="22"/>
        <w:jc w:val="center"/>
        <w:rPr>
          <w:rFonts w:hint="eastAsia"/>
          <w:sz w:val="72"/>
          <w:szCs w:val="72"/>
        </w:rPr>
      </w:pPr>
    </w:p>
    <w:p>
      <w:pPr>
        <w:pStyle w:val="22"/>
        <w:jc w:val="center"/>
        <w:rPr>
          <w:rFonts w:hint="eastAsia" w:ascii="黑体" w:eastAsia="黑体" w:cs="黑体"/>
          <w:color w:val="000000"/>
          <w:kern w:val="0"/>
          <w:sz w:val="70"/>
          <w:szCs w:val="70"/>
          <w:lang w:eastAsia="zh-CN"/>
        </w:rPr>
      </w:pPr>
      <w:r>
        <w:rPr>
          <w:rFonts w:hint="eastAsia" w:ascii="黑体" w:eastAsia="黑体" w:cs="黑体"/>
          <w:color w:val="000000"/>
          <w:kern w:val="0"/>
          <w:sz w:val="70"/>
          <w:szCs w:val="70"/>
          <w:lang w:eastAsia="zh-CN"/>
        </w:rPr>
        <w:t>附</w:t>
      </w:r>
      <w:r>
        <w:rPr>
          <w:rFonts w:hint="eastAsia" w:cs="黑体"/>
          <w:color w:val="000000"/>
          <w:kern w:val="0"/>
          <w:sz w:val="70"/>
          <w:szCs w:val="70"/>
          <w:lang w:val="en-US" w:eastAsia="zh-CN"/>
        </w:rPr>
        <w:t xml:space="preserve"> </w:t>
      </w:r>
      <w:r>
        <w:rPr>
          <w:rFonts w:hint="eastAsia" w:ascii="黑体" w:eastAsia="黑体" w:cs="黑体"/>
          <w:color w:val="000000"/>
          <w:kern w:val="0"/>
          <w:sz w:val="70"/>
          <w:szCs w:val="70"/>
          <w:lang w:val="en-US" w:eastAsia="zh-CN"/>
        </w:rPr>
        <w:t xml:space="preserve"> </w:t>
      </w:r>
      <w:r>
        <w:rPr>
          <w:rFonts w:hint="eastAsia" w:ascii="黑体" w:eastAsia="黑体" w:cs="黑体"/>
          <w:color w:val="000000"/>
          <w:kern w:val="0"/>
          <w:sz w:val="70"/>
          <w:szCs w:val="70"/>
          <w:lang w:eastAsia="zh-CN"/>
        </w:rPr>
        <w:t>件</w:t>
      </w:r>
    </w:p>
    <w:p>
      <w:pPr>
        <w:pStyle w:val="22"/>
        <w:jc w:val="center"/>
        <w:rPr>
          <w:rFonts w:hint="eastAsia" w:ascii="黑体" w:eastAsia="黑体" w:cs="黑体"/>
          <w:color w:val="000000"/>
          <w:kern w:val="0"/>
          <w:sz w:val="70"/>
          <w:szCs w:val="70"/>
          <w:lang w:eastAsia="zh-CN"/>
        </w:rPr>
      </w:pPr>
    </w:p>
    <w:p>
      <w:pPr>
        <w:pStyle w:val="22"/>
        <w:jc w:val="center"/>
        <w:rPr>
          <w:rFonts w:hint="eastAsia" w:ascii="黑体" w:eastAsia="黑体" w:cs="黑体"/>
          <w:color w:val="000000"/>
          <w:kern w:val="0"/>
          <w:sz w:val="70"/>
          <w:szCs w:val="70"/>
          <w:lang w:eastAsia="zh-CN"/>
        </w:rPr>
      </w:pPr>
    </w:p>
    <w:p>
      <w:pPr>
        <w:pStyle w:val="22"/>
        <w:jc w:val="center"/>
        <w:rPr>
          <w:rFonts w:hint="eastAsia" w:ascii="黑体" w:eastAsia="黑体" w:cs="黑体"/>
          <w:color w:val="000000"/>
          <w:kern w:val="0"/>
          <w:sz w:val="70"/>
          <w:szCs w:val="70"/>
          <w:lang w:eastAsia="zh-CN"/>
        </w:rPr>
      </w:pPr>
    </w:p>
    <w:p>
      <w:pPr>
        <w:pStyle w:val="22"/>
        <w:jc w:val="center"/>
        <w:rPr>
          <w:rFonts w:hint="eastAsia" w:ascii="黑体" w:eastAsia="黑体" w:cs="黑体"/>
          <w:color w:val="000000"/>
          <w:kern w:val="0"/>
          <w:sz w:val="70"/>
          <w:szCs w:val="70"/>
          <w:lang w:eastAsia="zh-CN"/>
        </w:rPr>
      </w:pPr>
    </w:p>
    <w:p>
      <w:pPr>
        <w:pStyle w:val="22"/>
        <w:jc w:val="center"/>
        <w:rPr>
          <w:rFonts w:hint="eastAsia" w:ascii="黑体" w:eastAsia="黑体" w:cs="黑体"/>
          <w:color w:val="000000"/>
          <w:kern w:val="0"/>
          <w:sz w:val="70"/>
          <w:szCs w:val="70"/>
          <w:lang w:eastAsia="zh-CN"/>
        </w:rPr>
      </w:pPr>
    </w:p>
    <w:p>
      <w:pPr>
        <w:pStyle w:val="22"/>
        <w:jc w:val="center"/>
        <w:rPr>
          <w:rFonts w:hint="eastAsia" w:ascii="黑体" w:eastAsia="黑体" w:cs="黑体"/>
          <w:color w:val="000000"/>
          <w:kern w:val="0"/>
          <w:sz w:val="70"/>
          <w:szCs w:val="70"/>
          <w:lang w:eastAsia="zh-CN"/>
        </w:rPr>
      </w:pPr>
    </w:p>
    <w:p>
      <w:pPr>
        <w:pStyle w:val="22"/>
        <w:jc w:val="center"/>
        <w:rPr>
          <w:rFonts w:hint="eastAsia" w:ascii="黑体" w:eastAsia="黑体" w:cs="黑体"/>
          <w:color w:val="000000"/>
          <w:kern w:val="0"/>
          <w:sz w:val="70"/>
          <w:szCs w:val="70"/>
          <w:lang w:eastAsia="zh-CN"/>
        </w:rPr>
      </w:pPr>
    </w:p>
    <w:p>
      <w:pPr>
        <w:pStyle w:val="22"/>
        <w:jc w:val="center"/>
        <w:rPr>
          <w:rFonts w:hint="eastAsia" w:ascii="黑体" w:eastAsia="黑体" w:cs="黑体"/>
          <w:color w:val="000000"/>
          <w:kern w:val="0"/>
          <w:sz w:val="70"/>
          <w:szCs w:val="70"/>
          <w:lang w:eastAsia="zh-CN"/>
        </w:rPr>
      </w:pPr>
    </w:p>
    <w:p>
      <w:pPr>
        <w:jc w:val="center"/>
        <w:rPr>
          <w:rFonts w:hint="eastAsia"/>
        </w:rPr>
      </w:pPr>
      <w:r>
        <w:rPr>
          <w:rFonts w:hint="eastAsia" w:cs="黑体" w:asciiTheme="minorEastAsia" w:hAnsiTheme="minorEastAsia"/>
          <w:b/>
          <w:color w:val="000000"/>
          <w:kern w:val="0"/>
          <w:sz w:val="32"/>
          <w:szCs w:val="32"/>
        </w:rPr>
        <w:t>2021年度部门整体支出绩效评价报告</w:t>
      </w:r>
    </w:p>
    <w:p>
      <w:pPr>
        <w:pStyle w:val="3"/>
        <w:keepNext/>
        <w:keepLines/>
        <w:pageBreakBefore w:val="0"/>
        <w:widowControl w:val="0"/>
        <w:kinsoku/>
        <w:wordWrap/>
        <w:overflowPunct/>
        <w:topLinePunct w:val="0"/>
        <w:autoSpaceDE/>
        <w:autoSpaceDN/>
        <w:bidi w:val="0"/>
        <w:adjustRightInd/>
        <w:snapToGrid/>
        <w:spacing w:line="200" w:lineRule="exact"/>
        <w:textAlignment w:val="auto"/>
      </w:pPr>
    </w:p>
    <w:tbl>
      <w:tblPr>
        <w:tblStyle w:val="9"/>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981"/>
        <w:gridCol w:w="1306"/>
        <w:gridCol w:w="226"/>
        <w:gridCol w:w="313"/>
        <w:gridCol w:w="142"/>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45"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55"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73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吴娟</w:t>
            </w:r>
          </w:p>
        </w:tc>
        <w:tc>
          <w:tcPr>
            <w:tcW w:w="1306"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18773010789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2"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73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25</w:t>
            </w:r>
          </w:p>
        </w:tc>
        <w:tc>
          <w:tcPr>
            <w:tcW w:w="1306"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45"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一）贯彻执行党和国家关于发展综合保税区的方针、政策和法律、法规、规章；研究制定和组织实施岳阳城陵矶综合保税区各项具体管理制度；开展政策、法规宣传教育工作；根据市人民政府授权，检查督促各项政策、法规的执行。</w:t>
            </w:r>
          </w:p>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（二）组织参与编制岳阳城陵矶综合保税区中长期发展规划，拟定鼓励重点产业发展的财政扶持政策。</w:t>
            </w:r>
          </w:p>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（三）负责综合保税区招商引资有关工作；协助有关部门审核和批准管理范围内的外资和内资项目，指导和协调招商引资，对外经济技术合作与交流；协助有关部门处理区内有关涉外事务。</w:t>
            </w:r>
          </w:p>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（四）根据市人民政府授权或接受有关部门委托，负责协调区内与民航、海关、检验检疫、口岸、工商、税务、金融、知识产权等有关部门和公安等其他驻区单位的工作，为企业提供指导和服务。                                                                                       （五）负责区内基础设施的建设和维护管理工作。</w:t>
            </w:r>
          </w:p>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（六）负责区内的综合、信息、统计及国有资产管理等工作。                                                                                                                                                                           （七）完成市委、市政府交办的其他事项。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1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tcPr>
          <w:p>
            <w:pPr>
              <w:autoSpaceDN w:val="0"/>
              <w:spacing w:line="400" w:lineRule="exact"/>
              <w:ind w:firstLine="482"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认真贯彻“三高四新”战略部署，助力岳阳“三区一中心”建设，加速将岳阳城陵矶综合保税区建成岳阳对外开放新高地和电子信息产业聚集区、金融服务创新引领区、外贸合作先行示范区。</w:t>
            </w:r>
          </w:p>
          <w:p>
            <w:pPr>
              <w:autoSpaceDN w:val="0"/>
              <w:spacing w:line="400" w:lineRule="exact"/>
              <w:ind w:firstLine="482"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1.以平台优势为着力点，推动高水平开放；</w:t>
            </w:r>
          </w:p>
          <w:p>
            <w:pPr>
              <w:autoSpaceDN w:val="0"/>
              <w:spacing w:line="400" w:lineRule="exact"/>
              <w:ind w:firstLine="482"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2.以产业项目为主攻点，推动高质量发展；</w:t>
            </w:r>
          </w:p>
          <w:p>
            <w:pPr>
              <w:autoSpaceDN w:val="0"/>
              <w:spacing w:line="400" w:lineRule="exact"/>
              <w:ind w:firstLine="482"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3.以金融支撑为发力点，推动高品质服务；</w:t>
            </w:r>
          </w:p>
          <w:p>
            <w:pPr>
              <w:autoSpaceDN w:val="0"/>
              <w:spacing w:line="400" w:lineRule="exact"/>
              <w:ind w:firstLine="482"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4.以创新驱动为突破点，推动高层次引领；</w:t>
            </w:r>
          </w:p>
          <w:p>
            <w:pPr>
              <w:autoSpaceDN w:val="0"/>
              <w:spacing w:line="400" w:lineRule="exact"/>
              <w:ind w:firstLine="482" w:firstLineChars="200"/>
              <w:textAlignment w:val="center"/>
            </w:pPr>
            <w:r>
              <w:rPr>
                <w:rFonts w:hint="eastAsia" w:ascii="仿宋_GB2312" w:hAnsi="仿宋_GB2312" w:eastAsia="仿宋_GB2312" w:cs="仿宋_GB2312"/>
                <w:color w:val="000000"/>
                <w:sz w:val="24"/>
              </w:rPr>
              <w:t>5.以固本强基为切入点，推动高标准建设。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15"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60" w:lineRule="exact"/>
              <w:ind w:firstLine="482"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2021年，综保区在市委市政府的坚持领导下，在各级部门单位的帮助和支持下，在全体干部职工的共同努力下，深入贯彻落实“三高四新”战略和省域副中心城市建设要求，奋勇争先，迈上了新台阶，取得了新突破。围绕“三区一中心”建设和“95668”工作目标，真抓实干、主动求为，各项经济指标均实现较快增长，业绩持续排名全省7个海关特殊监管区第一。在2020年度综合保税区发展绩效评估工作中，城陵矶综保区排名全国134个综合保税区第47位，排名中西部地区（含东三省）55个综合保税区第12位，较上年度分别上升35位和11位，为全市乃至全省开放型经济高质量发展作出新的贡献，展示新的担当。</w:t>
            </w:r>
          </w:p>
          <w:p>
            <w:pPr>
              <w:autoSpaceDN w:val="0"/>
              <w:spacing w:line="360" w:lineRule="exact"/>
              <w:ind w:firstLine="482" w:firstLineChars="200"/>
              <w:jc w:val="left"/>
              <w:textAlignment w:val="center"/>
              <w:rPr>
                <w:rFonts w:ascii="仿宋_GB2312" w:hAnsi="仿宋_GB2312" w:eastAsia="仿宋_GB2312" w:cs="仿宋_GB2312"/>
                <w:color w:val="000000"/>
                <w:sz w:val="24"/>
              </w:rPr>
            </w:pPr>
            <w:r>
              <w:rPr>
                <w:rFonts w:hint="eastAsia" w:ascii="黑体" w:hAnsi="黑体" w:eastAsia="黑体" w:cs="仿宋_GB2312"/>
                <w:color w:val="000000"/>
                <w:sz w:val="24"/>
              </w:rPr>
              <w:t>一、坚持党建引领，激活了新动能。</w:t>
            </w:r>
            <w:r>
              <w:rPr>
                <w:rFonts w:hint="eastAsia" w:ascii="仿宋_GB2312" w:hAnsi="仿宋_GB2312" w:eastAsia="仿宋_GB2312" w:cs="仿宋_GB2312"/>
                <w:color w:val="000000"/>
                <w:sz w:val="24"/>
              </w:rPr>
              <w:t>以党建为引领，围绕主责主业，统筹推进疫情防控、项目建设、外贸业务、金融服务等各项工作。深入开展党史学习教育，不断强化党员的阵地意识和职责意识。特别是机关支部和观盛公司支部分别与省财政厅、省商务厅等相关处室开展联合主题党日活动，既丰富了党员活动，又联系了相关工作。积极开展工会和群团活动，在全市口岸系统和新港区举办的羽毛球赛、乒乓球赛、篮球赛中均取得优异的成绩，不但丰富了干部职工的文化生活，也凝聚了队伍。今年还提拔重用了4名信念坚定、廉洁务实的机关干部和4名业务精湛、敢于担当的平台企业员工走上了重要岗位，并通过招考，引进22名“985”“211”高校毕业生和研究生充实到外贸、财务、法务等岗位，园区干部资源配置得到进一步扩充和加强。</w:t>
            </w:r>
          </w:p>
          <w:p>
            <w:pPr>
              <w:autoSpaceDN w:val="0"/>
              <w:spacing w:line="360" w:lineRule="exact"/>
              <w:ind w:firstLine="482" w:firstLineChars="200"/>
              <w:jc w:val="left"/>
              <w:textAlignment w:val="center"/>
              <w:rPr>
                <w:rFonts w:ascii="仿宋_GB2312" w:hAnsi="仿宋_GB2312" w:eastAsia="仿宋_GB2312" w:cs="仿宋_GB2312"/>
                <w:color w:val="000000"/>
                <w:sz w:val="24"/>
              </w:rPr>
            </w:pPr>
            <w:r>
              <w:rPr>
                <w:rFonts w:hint="eastAsia" w:ascii="黑体" w:hAnsi="黑体" w:eastAsia="黑体" w:cs="仿宋_GB2312"/>
                <w:color w:val="000000"/>
                <w:sz w:val="24"/>
              </w:rPr>
              <w:t>二、突出目标导向，完成了新跨越。</w:t>
            </w:r>
            <w:r>
              <w:rPr>
                <w:rFonts w:hint="eastAsia" w:ascii="仿宋_GB2312" w:hAnsi="仿宋_GB2312" w:eastAsia="仿宋_GB2312" w:cs="仿宋_GB2312"/>
                <w:color w:val="000000"/>
                <w:sz w:val="24"/>
              </w:rPr>
              <w:t>围绕年初新港区党工委和综保区管委会制定的各项目标任务精准发力，圆满完成各项目标任务。全年园区完成GDP72亿元；实现技工贸总收入364亿元；规上企业32家，形成工业产值161.8亿元；上缴各类税收约22.59亿元（海关税收约19.72亿元，地方税收约2.87亿元）。全年共有汇川科技、中瑞3D打印、卂龙二、三、四期等24家项目签约落地，签约金额超过200亿元。完成进出口贸易额498.7亿元，总量和增幅排名全省海关特殊监管区第一，助力全市进出口总量首次突破600亿元大关。总投资6 亿元的中非工贸产业园（一期）和总投资10亿元的鑫源链项目已全部建成投用。</w:t>
            </w:r>
          </w:p>
          <w:p>
            <w:pPr>
              <w:autoSpaceDN w:val="0"/>
              <w:spacing w:line="360" w:lineRule="exact"/>
              <w:ind w:firstLine="482" w:firstLineChars="200"/>
              <w:jc w:val="left"/>
              <w:textAlignment w:val="center"/>
              <w:rPr>
                <w:rFonts w:ascii="仿宋_GB2312" w:hAnsi="仿宋_GB2312" w:eastAsia="仿宋_GB2312" w:cs="仿宋_GB2312"/>
                <w:color w:val="000000"/>
                <w:sz w:val="24"/>
              </w:rPr>
            </w:pPr>
            <w:r>
              <w:rPr>
                <w:rFonts w:hint="eastAsia" w:ascii="黑体" w:hAnsi="黑体" w:eastAsia="黑体" w:cs="仿宋_GB2312"/>
                <w:color w:val="000000"/>
                <w:sz w:val="24"/>
                <w:lang w:eastAsia="zh-CN"/>
              </w:rPr>
              <w:t>三、</w:t>
            </w:r>
            <w:r>
              <w:rPr>
                <w:rFonts w:hint="eastAsia" w:ascii="黑体" w:hAnsi="黑体" w:eastAsia="黑体" w:cs="仿宋_GB2312"/>
                <w:color w:val="000000"/>
                <w:sz w:val="24"/>
              </w:rPr>
              <w:t>持续改革创新，实现了新开放</w:t>
            </w:r>
            <w:r>
              <w:rPr>
                <w:rFonts w:hint="eastAsia" w:ascii="仿宋_GB2312" w:hAnsi="仿宋_GB2312" w:eastAsia="仿宋_GB2312" w:cs="仿宋_GB2312"/>
                <w:color w:val="000000"/>
                <w:sz w:val="24"/>
              </w:rPr>
              <w:t>。成立了综保区投资决策委员会，进一步规范投资决策程序，加强国有资产管理。由观盛公司与湖南南粤基金管理有限公司共同出资2.55亿，成立全市首支市场化模式运作的汉图打印机专项基金，专项投资小米打印机项目，破解大项目、好项目推进不畅的困局。将不动产资源用好用活，实现将资源变资产、资产变资金，使综保区作为岳阳市REITs发行工作试点区域。观盛公司成功获批2021年燃料油非国营贸易进口企业。观盛公司、岳阳玉松食品有限公司作为试点企业，在城陵矶口岸开展仅用于食品加工的药食同源产品进口业务。通过与海关协调，在城陵矶港开展集装箱进口原木业务，并积极申报进境原木指定监管场地。全力扶持岳阳邦盛实业有限公司与上海华夏一号公司成立合资公司，并探索成立海外分公司，做大国内、国外两个粮食贸易市场。</w:t>
            </w:r>
          </w:p>
          <w:p>
            <w:pPr>
              <w:autoSpaceDN w:val="0"/>
              <w:spacing w:line="360" w:lineRule="exact"/>
              <w:ind w:firstLine="482" w:firstLineChars="200"/>
              <w:jc w:val="left"/>
              <w:textAlignment w:val="center"/>
              <w:rPr>
                <w:rFonts w:ascii="仿宋_GB2312" w:hAnsi="仿宋_GB2312" w:eastAsia="仿宋_GB2312" w:cs="仿宋_GB2312"/>
                <w:color w:val="000000"/>
                <w:sz w:val="24"/>
              </w:rPr>
            </w:pPr>
            <w:r>
              <w:rPr>
                <w:rFonts w:hint="eastAsia" w:ascii="黑体" w:hAnsi="黑体" w:eastAsia="黑体" w:cs="仿宋_GB2312"/>
                <w:color w:val="000000"/>
                <w:sz w:val="24"/>
                <w:lang w:eastAsia="zh-CN"/>
              </w:rPr>
              <w:t>四</w:t>
            </w:r>
            <w:r>
              <w:rPr>
                <w:rFonts w:hint="eastAsia" w:ascii="黑体" w:hAnsi="黑体" w:eastAsia="黑体" w:cs="仿宋_GB2312"/>
                <w:color w:val="000000"/>
                <w:sz w:val="24"/>
              </w:rPr>
              <w:t>、聚焦发展提升，开创了新局面。</w:t>
            </w:r>
            <w:r>
              <w:rPr>
                <w:rFonts w:hint="eastAsia" w:ascii="仿宋_GB2312" w:hAnsi="仿宋_GB2312" w:eastAsia="仿宋_GB2312" w:cs="仿宋_GB2312"/>
                <w:color w:val="000000"/>
                <w:sz w:val="24"/>
              </w:rPr>
              <w:t>与上海实业、上海国和成功组建运营规模达50亿元的产业引导基金，并通过“母基金+子基金”的模式，投资13亿元，与汉图科技、深兰科技、赛赫智能设备、谷夫科技、上海盐巴信息科技等5家科技含量高、发展前景好的企业联合在岳合作，建设总投资48亿元的高科技产业新项目。今年来获批新增授信41.12亿元，在22家银行累计获批授信214.12亿元，为园区企业提供外贸融资和供应链金融服务达到500亿元，带动银行现金流超1800亿元，极大降低企业财务成本。聚焦园区企业招工难、用工难，全年共为园区企业招聘20000人，入职近8000人，及时满足了多个企业用工需求，并与岳阳职业技术学院合作共同筹建岳阳自贸片区现代产业学院，切实解决园区人力资源需求和企业专项人才需要。围绕“五好园区”建设目标，全力抓好园区基础设施和配套项目建设、园区管理、安全生产、企业服务及疫情防控等工作，园区的承载力和竞争力不断增强。区内企业君泰农业成功入选2021“三湘民营企业百强”榜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07" w:hRule="atLeast"/>
          <w:jc w:val="center"/>
        </w:trPr>
        <w:tc>
          <w:tcPr>
            <w:tcW w:w="9800" w:type="dxa"/>
            <w:gridSpan w:val="17"/>
            <w:vAlign w:val="center"/>
          </w:tcPr>
          <w:p>
            <w:pPr>
              <w:autoSpaceDN w:val="0"/>
              <w:spacing w:line="320" w:lineRule="exact"/>
              <w:jc w:val="center"/>
              <w:textAlignment w:val="center"/>
              <w:rPr>
                <w:rFonts w:hint="eastAsia" w:ascii="楷体_GB2312" w:hAnsi="仿宋_GB2312" w:eastAsia="楷体_GB2312" w:cs="仿宋_GB2312"/>
                <w:color w:val="000000"/>
                <w:sz w:val="24"/>
              </w:rPr>
            </w:pPr>
            <w:r>
              <w:rPr>
                <w:rFonts w:hint="eastAsia" w:ascii="楷体_GB2312" w:hAnsi="仿宋_GB2312" w:eastAsia="楷体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4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99"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253"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532"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17"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综保区</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190.78</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53"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190.78</w:t>
            </w:r>
          </w:p>
        </w:tc>
        <w:tc>
          <w:tcPr>
            <w:tcW w:w="1532"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19"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楷体_GB2312" w:hAnsi="仿宋_GB2312" w:eastAsia="楷体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79"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9"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5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53"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987"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2" w:hRule="atLeast"/>
          <w:jc w:val="center"/>
        </w:trPr>
        <w:tc>
          <w:tcPr>
            <w:tcW w:w="1700"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综保区</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190.78</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53"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150.13</w:t>
            </w:r>
          </w:p>
        </w:tc>
        <w:tc>
          <w:tcPr>
            <w:tcW w:w="1987"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40.65</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65"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253"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运维费</w:t>
            </w:r>
          </w:p>
        </w:tc>
        <w:tc>
          <w:tcPr>
            <w:tcW w:w="1987"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8" w:hRule="atLeast"/>
          <w:jc w:val="center"/>
        </w:trPr>
        <w:tc>
          <w:tcPr>
            <w:tcW w:w="1700"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综保区</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9</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53"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9</w:t>
            </w:r>
          </w:p>
        </w:tc>
        <w:tc>
          <w:tcPr>
            <w:tcW w:w="1987"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608"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471"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25" w:hRule="atLeast"/>
          <w:jc w:val="center"/>
        </w:trPr>
        <w:tc>
          <w:tcPr>
            <w:tcW w:w="1700"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综保区</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11.84</w:t>
            </w:r>
          </w:p>
        </w:tc>
        <w:tc>
          <w:tcPr>
            <w:tcW w:w="2608"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11.84</w:t>
            </w:r>
          </w:p>
        </w:tc>
        <w:tc>
          <w:tcPr>
            <w:tcW w:w="3471"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5"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947" w:type="dxa"/>
            <w:gridSpan w:val="7"/>
            <w:vAlign w:val="center"/>
          </w:tcPr>
          <w:p>
            <w:pPr>
              <w:autoSpaceDN w:val="0"/>
              <w:spacing w:line="320" w:lineRule="exact"/>
              <w:jc w:val="center"/>
              <w:textAlignment w:val="center"/>
              <w:rPr>
                <w:rFonts w:ascii="楷体_GB2312" w:hAnsi="仿宋_GB2312" w:eastAsia="楷体_GB2312" w:cs="仿宋_GB2312"/>
                <w:b/>
                <w:bCs/>
                <w:color w:val="000000"/>
                <w:sz w:val="24"/>
              </w:rPr>
            </w:pPr>
            <w:r>
              <w:rPr>
                <w:rFonts w:hint="eastAsia" w:ascii="楷体_GB2312" w:hAnsi="仿宋_GB2312" w:eastAsia="楷体_GB2312" w:cs="仿宋_GB2312"/>
                <w:b/>
                <w:bCs/>
                <w:color w:val="000000"/>
                <w:sz w:val="24"/>
              </w:rPr>
              <w:t>预期目标</w:t>
            </w:r>
          </w:p>
        </w:tc>
        <w:tc>
          <w:tcPr>
            <w:tcW w:w="4412" w:type="dxa"/>
            <w:gridSpan w:val="9"/>
            <w:vAlign w:val="center"/>
          </w:tcPr>
          <w:p>
            <w:pPr>
              <w:autoSpaceDN w:val="0"/>
              <w:spacing w:line="320" w:lineRule="exact"/>
              <w:jc w:val="center"/>
              <w:textAlignment w:val="center"/>
              <w:rPr>
                <w:rFonts w:ascii="楷体_GB2312" w:hAnsi="仿宋_GB2312" w:eastAsia="楷体_GB2312" w:cs="仿宋_GB2312"/>
                <w:b/>
                <w:bCs/>
                <w:color w:val="000000"/>
                <w:sz w:val="24"/>
              </w:rPr>
            </w:pPr>
            <w:r>
              <w:rPr>
                <w:rFonts w:hint="eastAsia" w:ascii="楷体_GB2312" w:hAnsi="仿宋_GB2312" w:eastAsia="楷体_GB2312" w:cs="仿宋_GB2312"/>
                <w:b/>
                <w:bCs/>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30" w:hRule="atLeast"/>
          <w:jc w:val="center"/>
        </w:trPr>
        <w:tc>
          <w:tcPr>
            <w:tcW w:w="1441" w:type="dxa"/>
            <w:vMerge w:val="continue"/>
            <w:vAlign w:val="center"/>
          </w:tcPr>
          <w:p>
            <w:pPr>
              <w:autoSpaceDN w:val="0"/>
              <w:spacing w:line="320" w:lineRule="exact"/>
              <w:jc w:val="left"/>
              <w:textAlignment w:val="center"/>
            </w:pPr>
          </w:p>
        </w:tc>
        <w:tc>
          <w:tcPr>
            <w:tcW w:w="3947" w:type="dxa"/>
            <w:gridSpan w:val="7"/>
            <w:vAlign w:val="center"/>
          </w:tcPr>
          <w:p>
            <w:pPr>
              <w:autoSpaceDN w:val="0"/>
              <w:spacing w:line="320" w:lineRule="exact"/>
              <w:textAlignment w:val="center"/>
            </w:pPr>
            <w:r>
              <w:rPr>
                <w:rFonts w:hint="eastAsia" w:ascii="仿宋_GB2312" w:hAnsi="仿宋_GB2312" w:eastAsia="仿宋_GB2312" w:cs="仿宋_GB2312"/>
                <w:color w:val="000000"/>
                <w:sz w:val="24"/>
              </w:rPr>
              <w:t>2021年的工作任务是：深入贯彻落实“三高四新”战略和中央、省委、市委经济工作会议精神，围绕“十四五”总体发展目标，突出重点，打造亮点，实施“113355”工程。1个1即：力争长江经济带绿色发展产业基金成立运营，通过基金带动产业项目总投资不少于100亿元；3个3即：技工贸总收入突破300亿元、实现自营代理进出口营业额300亿元、综合税收30亿元；5个5即：实现进出口贸易总额500亿元、地区生产总值达到50亿元、一家投资过50亿元的项目建成投产、一家投资过50亿元的项目签约落地、新培育一家产值过50亿元的工业企业。</w:t>
            </w:r>
          </w:p>
        </w:tc>
        <w:tc>
          <w:tcPr>
            <w:tcW w:w="4412" w:type="dxa"/>
            <w:gridSpan w:val="9"/>
            <w:vAlign w:val="center"/>
          </w:tcPr>
          <w:p>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2021年园区完成GDP72亿元；实现技工贸总收入364亿元；规上企业32家，形成工业产值161.8亿元；上缴各类税收约22.59亿元（海关税收约19.72亿元，地方税收约2.87亿元）。全年共有汇川科技、中瑞3D打印、</w:t>
            </w:r>
            <w:r>
              <w:rPr>
                <w:rFonts w:hint="eastAsia" w:ascii="宋体" w:hAnsi="宋体" w:cs="宋体"/>
                <w:color w:val="000000"/>
                <w:sz w:val="24"/>
              </w:rPr>
              <w:t>卂</w:t>
            </w:r>
            <w:r>
              <w:rPr>
                <w:rFonts w:hint="eastAsia" w:ascii="仿宋_GB2312" w:hAnsi="仿宋_GB2312" w:eastAsia="仿宋_GB2312" w:cs="仿宋_GB2312"/>
                <w:color w:val="000000"/>
                <w:sz w:val="24"/>
              </w:rPr>
              <w:t>龙二、三、四期等24家项目签约落地，签约金额超过200亿元。完成进出口贸易额498.7亿元，总量和增幅排名湖南省海关特殊监管区第一。</w:t>
            </w:r>
          </w:p>
          <w:p>
            <w:pPr>
              <w:autoSpaceDN w:val="0"/>
              <w:spacing w:line="32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与上海实业、上海国和成功组建运营规模达50亿元的产业引导基金，并通过“母基金+子基金”的模式，投资13亿元，与汉图科技、深兰科技、赛赫智能设备、谷夫科技、上海盐巴信息科技等5家科技含量高、发展前景好的企业联合在岳合作，建设总投资48亿元的高科技产业新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楷体_GB2312" w:hAnsi="仿宋_GB2312" w:eastAsia="楷体_GB2312" w:cs="仿宋_GB2312"/>
                <w:b/>
                <w:bCs/>
                <w:color w:val="000000"/>
                <w:sz w:val="24"/>
              </w:rPr>
            </w:pPr>
            <w:r>
              <w:rPr>
                <w:rFonts w:hint="eastAsia" w:ascii="楷体_GB2312" w:hAnsi="仿宋_GB2312" w:eastAsia="楷体_GB2312" w:cs="仿宋_GB2312"/>
                <w:b/>
                <w:bCs/>
                <w:color w:val="000000"/>
                <w:sz w:val="24"/>
              </w:rPr>
              <w:t>评价内容</w:t>
            </w:r>
          </w:p>
        </w:tc>
        <w:tc>
          <w:tcPr>
            <w:tcW w:w="2826" w:type="dxa"/>
            <w:gridSpan w:val="4"/>
            <w:vAlign w:val="center"/>
          </w:tcPr>
          <w:p>
            <w:pPr>
              <w:autoSpaceDN w:val="0"/>
              <w:spacing w:line="320" w:lineRule="exact"/>
              <w:jc w:val="center"/>
              <w:textAlignment w:val="center"/>
              <w:rPr>
                <w:rFonts w:ascii="楷体_GB2312" w:hAnsi="仿宋_GB2312" w:eastAsia="楷体_GB2312" w:cs="仿宋_GB2312"/>
                <w:b/>
                <w:bCs/>
                <w:color w:val="000000"/>
                <w:sz w:val="24"/>
              </w:rPr>
            </w:pPr>
            <w:r>
              <w:rPr>
                <w:rFonts w:hint="eastAsia" w:ascii="楷体_GB2312" w:hAnsi="仿宋_GB2312" w:eastAsia="楷体_GB2312" w:cs="仿宋_GB2312"/>
                <w:b/>
                <w:bCs/>
                <w:color w:val="000000"/>
                <w:sz w:val="24"/>
              </w:rPr>
              <w:t>绩效目标</w:t>
            </w:r>
          </w:p>
        </w:tc>
        <w:tc>
          <w:tcPr>
            <w:tcW w:w="2567" w:type="dxa"/>
            <w:gridSpan w:val="6"/>
            <w:vAlign w:val="center"/>
          </w:tcPr>
          <w:p>
            <w:pPr>
              <w:autoSpaceDN w:val="0"/>
              <w:spacing w:line="320" w:lineRule="exact"/>
              <w:jc w:val="center"/>
              <w:textAlignment w:val="center"/>
              <w:rPr>
                <w:rFonts w:ascii="楷体_GB2312" w:hAnsi="仿宋_GB2312" w:eastAsia="楷体_GB2312" w:cs="仿宋_GB2312"/>
                <w:b/>
                <w:bCs/>
                <w:color w:val="000000"/>
                <w:sz w:val="24"/>
              </w:rPr>
            </w:pPr>
            <w:r>
              <w:rPr>
                <w:rFonts w:hint="eastAsia" w:ascii="楷体_GB2312" w:hAnsi="仿宋_GB2312" w:eastAsia="楷体_GB2312" w:cs="仿宋_GB2312"/>
                <w:b/>
                <w:bCs/>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826" w:type="dxa"/>
            <w:gridSpan w:val="4"/>
            <w:vAlign w:val="center"/>
          </w:tcPr>
          <w:p>
            <w:pPr>
              <w:spacing w:line="300" w:lineRule="exact"/>
              <w:jc w:val="center"/>
              <w:rPr>
                <w:rFonts w:ascii="仿宋_GB2312" w:hAnsi="宋体" w:eastAsia="仿宋_GB2312" w:cs="仿宋_GB2312"/>
                <w:color w:val="000000"/>
                <w:sz w:val="22"/>
                <w:szCs w:val="22"/>
              </w:rPr>
            </w:pPr>
          </w:p>
          <w:p>
            <w:pPr>
              <w:spacing w:line="300" w:lineRule="exact"/>
              <w:jc w:val="left"/>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简化通关流程，提高通关，</w:t>
            </w:r>
          </w:p>
          <w:p>
            <w:pPr>
              <w:spacing w:line="300" w:lineRule="exact"/>
              <w:jc w:val="left"/>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查验效率，缩减通关时间</w:t>
            </w:r>
          </w:p>
          <w:p>
            <w:pPr>
              <w:autoSpaceDN w:val="0"/>
              <w:spacing w:line="320" w:lineRule="exact"/>
              <w:jc w:val="center"/>
              <w:textAlignment w:val="center"/>
              <w:rPr>
                <w:rFonts w:ascii="仿宋_GB2312" w:hAnsi="仿宋_GB2312" w:eastAsia="仿宋_GB2312" w:cs="仿宋_GB2312"/>
                <w:color w:val="000000"/>
                <w:sz w:val="24"/>
              </w:rPr>
            </w:pPr>
          </w:p>
        </w:tc>
        <w:tc>
          <w:tcPr>
            <w:tcW w:w="2567"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通关时效提升90%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826"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宋体" w:eastAsia="仿宋_GB2312" w:cs="仿宋_GB2312"/>
                <w:color w:val="000000"/>
                <w:sz w:val="22"/>
                <w:szCs w:val="22"/>
              </w:rPr>
              <w:t>基础设施日常维护达标率</w:t>
            </w:r>
          </w:p>
        </w:tc>
        <w:tc>
          <w:tcPr>
            <w:tcW w:w="2567"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kern w:val="0"/>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1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826" w:type="dxa"/>
            <w:gridSpan w:val="4"/>
            <w:vAlign w:val="center"/>
          </w:tcPr>
          <w:p>
            <w:pPr>
              <w:autoSpaceDN w:val="0"/>
              <w:spacing w:line="320" w:lineRule="exact"/>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1.平行汽车进口≥2000台；</w:t>
            </w:r>
          </w:p>
          <w:p>
            <w:pPr>
              <w:autoSpaceDN w:val="0"/>
              <w:spacing w:line="320" w:lineRule="exact"/>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2.原材料进出口≥500万吨；</w:t>
            </w:r>
          </w:p>
          <w:p>
            <w:pPr>
              <w:autoSpaceDN w:val="0"/>
              <w:spacing w:line="320" w:lineRule="exact"/>
              <w:jc w:val="left"/>
              <w:textAlignment w:val="center"/>
              <w:rPr>
                <w:rFonts w:ascii="仿宋_GB2312" w:hAnsi="宋体" w:eastAsia="仿宋_GB2312" w:cs="仿宋_GB2312"/>
                <w:color w:val="000000"/>
                <w:spacing w:val="-11"/>
                <w:sz w:val="22"/>
                <w:szCs w:val="22"/>
              </w:rPr>
            </w:pPr>
            <w:r>
              <w:rPr>
                <w:rFonts w:hint="eastAsia" w:ascii="仿宋_GB2312" w:hAnsi="宋体" w:eastAsia="仿宋_GB2312" w:cs="仿宋_GB2312"/>
                <w:color w:val="000000"/>
                <w:sz w:val="22"/>
                <w:szCs w:val="22"/>
              </w:rPr>
              <w:t>3.石化产品进出口≥3</w:t>
            </w:r>
            <w:r>
              <w:rPr>
                <w:rFonts w:hint="eastAsia" w:ascii="仿宋_GB2312" w:hAnsi="宋体" w:eastAsia="仿宋_GB2312" w:cs="仿宋_GB2312"/>
                <w:color w:val="000000"/>
                <w:spacing w:val="-11"/>
                <w:sz w:val="22"/>
                <w:szCs w:val="22"/>
              </w:rPr>
              <w:t>00万吨；</w:t>
            </w:r>
          </w:p>
          <w:p>
            <w:pPr>
              <w:autoSpaceDN w:val="0"/>
              <w:spacing w:line="320" w:lineRule="exact"/>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4.木材进口≥130万方；</w:t>
            </w:r>
          </w:p>
          <w:p>
            <w:pPr>
              <w:autoSpaceDN w:val="0"/>
              <w:spacing w:line="320" w:lineRule="exact"/>
              <w:jc w:val="left"/>
              <w:textAlignment w:val="center"/>
            </w:pPr>
            <w:r>
              <w:rPr>
                <w:rFonts w:hint="eastAsia" w:ascii="仿宋_GB2312" w:hAnsi="宋体" w:eastAsia="仿宋_GB2312" w:cs="仿宋_GB2312"/>
                <w:color w:val="000000"/>
                <w:sz w:val="22"/>
                <w:szCs w:val="22"/>
              </w:rPr>
              <w:t>5.肉类进口≥13万吨。</w:t>
            </w:r>
          </w:p>
        </w:tc>
        <w:tc>
          <w:tcPr>
            <w:tcW w:w="2567"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kern w:val="0"/>
                <w:sz w:val="24"/>
              </w:rPr>
              <w:t>≥</w:t>
            </w:r>
            <w:r>
              <w:rPr>
                <w:rFonts w:hint="eastAsia" w:ascii="楷体_GB2312" w:eastAsia="楷体_GB2312"/>
                <w:bCs/>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826" w:type="dxa"/>
            <w:gridSpan w:val="4"/>
            <w:vAlign w:val="center"/>
          </w:tcPr>
          <w:p>
            <w:pPr>
              <w:autoSpaceDN w:val="0"/>
              <w:spacing w:line="320" w:lineRule="exact"/>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指标1：带动社会就业</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宋体" w:eastAsia="仿宋_GB2312" w:cs="仿宋_GB2312"/>
                <w:color w:val="000000"/>
                <w:sz w:val="22"/>
                <w:szCs w:val="22"/>
              </w:rPr>
              <w:t>指标2：促进地区经济发展，拉动周边地区就业，拉动地方税收</w:t>
            </w:r>
          </w:p>
        </w:tc>
        <w:tc>
          <w:tcPr>
            <w:tcW w:w="2567"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解决就业2万人</w:t>
            </w:r>
          </w:p>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带动第三产业发展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826" w:type="dxa"/>
            <w:gridSpan w:val="4"/>
          </w:tcPr>
          <w:p>
            <w:pPr>
              <w:autoSpaceDN w:val="0"/>
              <w:spacing w:line="320" w:lineRule="exact"/>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指标1：社会公众满意度≥95%</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宋体" w:eastAsia="仿宋_GB2312" w:cs="仿宋_GB2312"/>
                <w:color w:val="000000"/>
                <w:sz w:val="22"/>
                <w:szCs w:val="22"/>
              </w:rPr>
              <w:t>指标2：服务对象满意度≥95%</w:t>
            </w:r>
          </w:p>
        </w:tc>
        <w:tc>
          <w:tcPr>
            <w:tcW w:w="2567" w:type="dxa"/>
            <w:gridSpan w:val="6"/>
            <w:vAlign w:val="center"/>
          </w:tcPr>
          <w:p>
            <w:pPr>
              <w:autoSpaceDN w:val="0"/>
              <w:spacing w:line="3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满意度≥95%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12"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FF0000"/>
                <w:sz w:val="24"/>
              </w:rPr>
            </w:pPr>
            <w:r>
              <w:rPr>
                <w:rFonts w:ascii="仿宋_GB2312" w:hAnsi="仿宋_GB2312" w:eastAsia="仿宋_GB2312" w:cs="仿宋_GB2312"/>
                <w:color w:val="000000" w:themeColor="text1"/>
                <w:sz w:val="24"/>
                <w14:textFill>
                  <w14:solidFill>
                    <w14:schemeClr w14:val="tx1"/>
                  </w14:solidFill>
                </w14:textFill>
              </w:rPr>
              <w:t>9</w:t>
            </w:r>
            <w:r>
              <w:rPr>
                <w:rFonts w:hint="eastAsia" w:ascii="仿宋_GB2312" w:hAnsi="仿宋_GB2312" w:eastAsia="仿宋_GB2312" w:cs="仿宋_GB2312"/>
                <w:color w:val="000000" w:themeColor="text1"/>
                <w:sz w:val="24"/>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1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4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姓名</w:t>
            </w:r>
          </w:p>
        </w:tc>
        <w:tc>
          <w:tcPr>
            <w:tcW w:w="373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职称</w:t>
            </w:r>
          </w:p>
        </w:tc>
        <w:tc>
          <w:tcPr>
            <w:tcW w:w="1306"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宋振权</w:t>
            </w:r>
          </w:p>
        </w:tc>
        <w:tc>
          <w:tcPr>
            <w:tcW w:w="373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管委会副主任（分管财务）</w:t>
            </w:r>
          </w:p>
        </w:tc>
        <w:tc>
          <w:tcPr>
            <w:tcW w:w="1306"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李宗阳</w:t>
            </w:r>
          </w:p>
        </w:tc>
        <w:tc>
          <w:tcPr>
            <w:tcW w:w="373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办公室主任</w:t>
            </w:r>
          </w:p>
        </w:tc>
        <w:tc>
          <w:tcPr>
            <w:tcW w:w="1306"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45"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吴  娟</w:t>
            </w:r>
          </w:p>
        </w:tc>
        <w:tc>
          <w:tcPr>
            <w:tcW w:w="373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办公室科员</w:t>
            </w:r>
          </w:p>
        </w:tc>
        <w:tc>
          <w:tcPr>
            <w:tcW w:w="1306"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8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57"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347"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hint="eastAsia" w:eastAsia="仿宋_GB2312"/>
                <w:sz w:val="24"/>
              </w:rPr>
            </w:pPr>
          </w:p>
          <w:p>
            <w:pPr>
              <w:spacing w:line="320" w:lineRule="exact"/>
              <w:rPr>
                <w:rFonts w:eastAsia="仿宋_GB2312"/>
                <w:sz w:val="24"/>
              </w:rPr>
            </w:pPr>
            <w:r>
              <w:rPr>
                <w:rFonts w:hint="eastAsia" w:eastAsia="仿宋_GB2312"/>
                <w:sz w:val="24"/>
              </w:rPr>
              <w:t>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年月日</w:t>
            </w:r>
          </w:p>
        </w:tc>
      </w:tr>
    </w:tbl>
    <w:p>
      <w:pPr>
        <w:widowControl/>
        <w:jc w:val="left"/>
        <w:rPr>
          <w:rFonts w:ascii="黑体" w:eastAsia="黑体" w:cs="黑体"/>
          <w:color w:val="000000"/>
          <w:kern w:val="0"/>
          <w:sz w:val="70"/>
          <w:szCs w:val="70"/>
        </w:rPr>
      </w:pPr>
    </w:p>
    <w:p>
      <w:pPr>
        <w:jc w:val="center"/>
        <w:rPr>
          <w:rFonts w:ascii="黑体" w:eastAsia="黑体" w:cs="黑体"/>
          <w:color w:val="000000"/>
          <w:kern w:val="0"/>
          <w:sz w:val="70"/>
          <w:szCs w:val="70"/>
        </w:rPr>
      </w:pPr>
    </w:p>
    <w:p>
      <w:pPr>
        <w:ind w:firstLine="642" w:firstLineChars="200"/>
        <w:jc w:val="left"/>
        <w:rPr>
          <w:rFonts w:cs="黑体" w:asciiTheme="minorEastAsia" w:hAnsiTheme="minorEastAsia"/>
          <w:color w:val="000000"/>
          <w:kern w:val="0"/>
          <w:sz w:val="32"/>
          <w:szCs w:val="32"/>
        </w:rPr>
      </w:pPr>
    </w:p>
    <w:p>
      <w:pPr>
        <w:pStyle w:val="3"/>
        <w:rPr>
          <w:rFonts w:cs="黑体" w:asciiTheme="minorEastAsia" w:hAnsiTheme="minorEastAsia"/>
          <w:color w:val="000000"/>
          <w:kern w:val="0"/>
          <w:sz w:val="32"/>
          <w:szCs w:val="32"/>
        </w:rPr>
      </w:pPr>
    </w:p>
    <w:p>
      <w:pPr>
        <w:pStyle w:val="4"/>
        <w:rPr>
          <w:rFonts w:cs="黑体" w:asciiTheme="minorEastAsia" w:hAnsiTheme="minorEastAsia"/>
          <w:color w:val="000000"/>
          <w:kern w:val="0"/>
          <w:sz w:val="32"/>
          <w:szCs w:val="32"/>
        </w:rPr>
      </w:pPr>
    </w:p>
    <w:p>
      <w:pPr>
        <w:pStyle w:val="4"/>
        <w:rPr>
          <w:rFonts w:cs="黑体" w:asciiTheme="minorEastAsia" w:hAnsiTheme="minorEastAsia"/>
          <w:color w:val="000000"/>
          <w:kern w:val="0"/>
          <w:sz w:val="32"/>
          <w:szCs w:val="32"/>
        </w:rPr>
      </w:pPr>
    </w:p>
    <w:p>
      <w:pPr>
        <w:pStyle w:val="4"/>
        <w:rPr>
          <w:rFonts w:cs="黑体" w:asciiTheme="minorEastAsia" w:hAnsiTheme="minorEastAsia"/>
          <w:color w:val="000000"/>
          <w:kern w:val="0"/>
          <w:sz w:val="32"/>
          <w:szCs w:val="32"/>
        </w:rPr>
      </w:pPr>
    </w:p>
    <w:p>
      <w:pPr>
        <w:pStyle w:val="4"/>
        <w:rPr>
          <w:rFonts w:cs="黑体" w:asciiTheme="minorEastAsia" w:hAnsiTheme="minorEastAsia"/>
          <w:color w:val="000000"/>
          <w:kern w:val="0"/>
          <w:sz w:val="32"/>
          <w:szCs w:val="32"/>
        </w:rPr>
      </w:pPr>
    </w:p>
    <w:p>
      <w:pPr>
        <w:pStyle w:val="4"/>
        <w:ind w:left="0" w:leftChars="0" w:firstLine="0" w:firstLineChars="0"/>
        <w:rPr>
          <w:rFonts w:cs="黑体" w:asciiTheme="minorEastAsia" w:hAnsiTheme="minorEastAsia"/>
          <w:color w:val="000000"/>
          <w:kern w:val="0"/>
          <w:sz w:val="32"/>
          <w:szCs w:val="32"/>
        </w:rPr>
      </w:pPr>
    </w:p>
    <w:p>
      <w:pPr>
        <w:pStyle w:val="4"/>
        <w:rPr>
          <w:rFonts w:cs="黑体" w:asciiTheme="minorEastAsia" w:hAnsiTheme="minorEastAsia"/>
          <w:color w:val="000000"/>
          <w:kern w:val="0"/>
          <w:sz w:val="32"/>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2" w:firstLineChars="200"/>
              <w:rPr>
                <w:rFonts w:eastAsia="仿宋_GB2312"/>
                <w:sz w:val="32"/>
                <w:szCs w:val="32"/>
              </w:rPr>
            </w:pPr>
          </w:p>
          <w:p>
            <w:pPr>
              <w:spacing w:line="560" w:lineRule="exact"/>
              <w:ind w:firstLine="562"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5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1、单位人员情况</w:t>
            </w:r>
          </w:p>
          <w:p>
            <w:pPr>
              <w:spacing w:line="5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岳阳城陵矶综合保税区管理委员会是市财政全额拨款事业单位。2021年经编制部门核实，人员编制为25人，实有人数为18人，与财政预算人数相符。</w:t>
            </w:r>
          </w:p>
          <w:p>
            <w:pPr>
              <w:spacing w:line="5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2、单位机构设置情况</w:t>
            </w:r>
          </w:p>
          <w:p>
            <w:pPr>
              <w:spacing w:line="5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岳阳城陵矶综合保税区管理委员会内设机构4个，分别为：办公室、经济发展局、企业服务局、口岸贸易局。</w:t>
            </w:r>
          </w:p>
          <w:p>
            <w:pPr>
              <w:spacing w:line="5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（二）部门（单位）整体支出规模、使用方向和主要内容、涉及范围等</w:t>
            </w:r>
          </w:p>
          <w:p>
            <w:pPr>
              <w:spacing w:line="500" w:lineRule="exact"/>
              <w:ind w:firstLine="562"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1</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实际整体收支情况。2021年</w:t>
            </w:r>
            <w:r>
              <w:rPr>
                <w:rFonts w:hint="eastAsia" w:ascii="仿宋_GB2312" w:hAnsi="仿宋_GB2312" w:eastAsia="仿宋_GB2312" w:cs="仿宋_GB2312"/>
                <w:bCs/>
                <w:sz w:val="28"/>
                <w:szCs w:val="28"/>
                <w:lang w:eastAsia="zh-CN"/>
              </w:rPr>
              <w:t>我单位收入</w:t>
            </w:r>
            <w:r>
              <w:rPr>
                <w:rFonts w:hint="eastAsia" w:ascii="仿宋_GB2312" w:hAnsi="仿宋_GB2312" w:eastAsia="仿宋_GB2312" w:cs="仿宋_GB2312"/>
                <w:bCs/>
                <w:sz w:val="28"/>
                <w:szCs w:val="28"/>
                <w:lang w:val="en-US" w:eastAsia="zh-CN"/>
              </w:rPr>
              <w:t>190.78</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val="en-US" w:eastAsia="zh-CN"/>
              </w:rPr>
              <w:t>其中一般公共预算财政拨款收入190.78万元。我单位</w:t>
            </w:r>
            <w:r>
              <w:rPr>
                <w:rFonts w:hint="eastAsia" w:ascii="仿宋_GB2312" w:hAnsi="仿宋_GB2312" w:eastAsia="仿宋_GB2312" w:cs="仿宋_GB2312"/>
                <w:bCs/>
                <w:sz w:val="28"/>
                <w:szCs w:val="28"/>
                <w:lang w:eastAsia="zh-CN"/>
              </w:rPr>
              <w:t>支出</w:t>
            </w:r>
            <w:r>
              <w:rPr>
                <w:rFonts w:hint="eastAsia" w:ascii="仿宋_GB2312" w:hAnsi="仿宋_GB2312" w:eastAsia="仿宋_GB2312" w:cs="仿宋_GB2312"/>
                <w:bCs/>
                <w:sz w:val="28"/>
                <w:szCs w:val="28"/>
                <w:lang w:val="en-US" w:eastAsia="zh-CN"/>
              </w:rPr>
              <w:t>190.78</w:t>
            </w:r>
            <w:r>
              <w:rPr>
                <w:rFonts w:hint="eastAsia" w:ascii="仿宋_GB2312" w:hAnsi="仿宋_GB2312" w:eastAsia="仿宋_GB2312" w:cs="仿宋_GB2312"/>
                <w:bCs/>
                <w:sz w:val="28"/>
                <w:szCs w:val="28"/>
              </w:rPr>
              <w:t>万元，其中人员经费支出</w:t>
            </w:r>
            <w:r>
              <w:rPr>
                <w:rFonts w:hint="eastAsia" w:ascii="仿宋_GB2312" w:hAnsi="仿宋_GB2312" w:eastAsia="仿宋_GB2312" w:cs="仿宋_GB2312"/>
                <w:bCs/>
                <w:sz w:val="28"/>
                <w:szCs w:val="28"/>
                <w:lang w:val="en-US" w:eastAsia="zh-CN"/>
              </w:rPr>
              <w:t>150.13</w:t>
            </w:r>
            <w:r>
              <w:rPr>
                <w:rFonts w:hint="eastAsia" w:ascii="仿宋_GB2312" w:hAnsi="仿宋_GB2312" w:eastAsia="仿宋_GB2312" w:cs="仿宋_GB2312"/>
                <w:bCs/>
                <w:sz w:val="28"/>
                <w:szCs w:val="28"/>
              </w:rPr>
              <w:t>万元；一般商品和服务支出</w:t>
            </w:r>
            <w:r>
              <w:rPr>
                <w:rFonts w:hint="eastAsia" w:ascii="仿宋_GB2312" w:hAnsi="仿宋_GB2312" w:eastAsia="仿宋_GB2312" w:cs="仿宋_GB2312"/>
                <w:bCs/>
                <w:sz w:val="28"/>
                <w:szCs w:val="28"/>
                <w:lang w:val="en-US" w:eastAsia="zh-CN"/>
              </w:rPr>
              <w:t>40.65</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w:t>
            </w:r>
          </w:p>
          <w:p>
            <w:pPr>
              <w:spacing w:line="5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“三公”经费总支出情况：公务用车运行维护费</w:t>
            </w:r>
            <w:r>
              <w:rPr>
                <w:rFonts w:hint="eastAsia" w:ascii="仿宋_GB2312" w:hAnsi="仿宋_GB2312" w:eastAsia="仿宋_GB2312" w:cs="仿宋_GB2312"/>
                <w:bCs/>
                <w:sz w:val="28"/>
                <w:szCs w:val="28"/>
                <w:lang w:val="en-US" w:eastAsia="zh-CN"/>
              </w:rPr>
              <w:t>9</w:t>
            </w:r>
            <w:r>
              <w:rPr>
                <w:rFonts w:hint="eastAsia" w:ascii="仿宋_GB2312" w:hAnsi="仿宋_GB2312" w:eastAsia="仿宋_GB2312" w:cs="仿宋_GB2312"/>
                <w:bCs/>
                <w:sz w:val="28"/>
                <w:szCs w:val="28"/>
              </w:rPr>
              <w:t>万元；公务接待费零开支；公务用车购置费零开支；因公出国（境）费用零支出。</w:t>
            </w:r>
          </w:p>
          <w:p>
            <w:pPr>
              <w:spacing w:line="500" w:lineRule="exact"/>
              <w:ind w:firstLine="562"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00" w:lineRule="exact"/>
              <w:ind w:firstLine="562"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2021</w:t>
            </w:r>
            <w:r>
              <w:rPr>
                <w:rFonts w:hint="eastAsia" w:ascii="仿宋_GB2312" w:hAnsi="仿宋_GB2312" w:eastAsia="仿宋_GB2312" w:cs="仿宋_GB2312"/>
                <w:bCs/>
                <w:sz w:val="28"/>
                <w:szCs w:val="28"/>
              </w:rPr>
              <w:t>年度我单位整体支出</w:t>
            </w:r>
            <w:r>
              <w:rPr>
                <w:rFonts w:hint="eastAsia" w:ascii="仿宋_GB2312" w:hAnsi="仿宋_GB2312" w:eastAsia="仿宋_GB2312" w:cs="仿宋_GB2312"/>
                <w:bCs/>
                <w:sz w:val="28"/>
                <w:szCs w:val="28"/>
                <w:lang w:val="en-US" w:eastAsia="zh-CN"/>
              </w:rPr>
              <w:t>190.78</w:t>
            </w:r>
            <w:r>
              <w:rPr>
                <w:rFonts w:hint="eastAsia" w:ascii="仿宋_GB2312" w:hAnsi="仿宋_GB2312" w:eastAsia="仿宋_GB2312" w:cs="仿宋_GB2312"/>
                <w:bCs/>
                <w:sz w:val="28"/>
                <w:szCs w:val="28"/>
              </w:rPr>
              <w:t>万元，使用内容为人员经费和日常公用经费。其中人员经费支出</w:t>
            </w:r>
            <w:r>
              <w:rPr>
                <w:rFonts w:hint="eastAsia" w:ascii="仿宋_GB2312" w:hAnsi="仿宋_GB2312" w:eastAsia="仿宋_GB2312" w:cs="仿宋_GB2312"/>
                <w:bCs/>
                <w:sz w:val="28"/>
                <w:szCs w:val="28"/>
                <w:lang w:val="en-US" w:eastAsia="zh-CN"/>
              </w:rPr>
              <w:t>150.13</w:t>
            </w:r>
            <w:r>
              <w:rPr>
                <w:rFonts w:hint="eastAsia" w:ascii="仿宋_GB2312" w:hAnsi="仿宋_GB2312" w:eastAsia="仿宋_GB2312" w:cs="仿宋_GB2312"/>
                <w:bCs/>
                <w:sz w:val="28"/>
                <w:szCs w:val="28"/>
              </w:rPr>
              <w:t>万元，主要用于发放事业人员工资及社保；一般商品和服务支出</w:t>
            </w:r>
            <w:r>
              <w:rPr>
                <w:rFonts w:hint="eastAsia" w:ascii="仿宋_GB2312" w:hAnsi="仿宋_GB2312" w:eastAsia="仿宋_GB2312" w:cs="仿宋_GB2312"/>
                <w:bCs/>
                <w:sz w:val="28"/>
                <w:szCs w:val="28"/>
                <w:lang w:val="en-US" w:eastAsia="zh-CN"/>
              </w:rPr>
              <w:t>40.65</w:t>
            </w:r>
            <w:r>
              <w:rPr>
                <w:rFonts w:hint="eastAsia" w:ascii="仿宋_GB2312" w:hAnsi="仿宋_GB2312" w:eastAsia="仿宋_GB2312" w:cs="仿宋_GB2312"/>
                <w:bCs/>
                <w:sz w:val="28"/>
                <w:szCs w:val="28"/>
              </w:rPr>
              <w:t>万元，主要用于保障机关正常运转所需开支的办公费、印刷费、维修（护）费、工会经费、公务用车运行维护费等。</w:t>
            </w:r>
            <w:r>
              <w:rPr>
                <w:rFonts w:hint="eastAsia" w:ascii="仿宋_GB2312" w:hAnsi="仿宋_GB2312" w:eastAsia="仿宋_GB2312" w:cs="仿宋_GB2312"/>
                <w:bCs/>
                <w:sz w:val="28"/>
                <w:szCs w:val="28"/>
                <w:lang w:eastAsia="zh-CN"/>
              </w:rPr>
              <w:t>整体</w:t>
            </w:r>
            <w:r>
              <w:rPr>
                <w:rFonts w:hint="eastAsia" w:ascii="仿宋_GB2312" w:hAnsi="仿宋_GB2312" w:eastAsia="仿宋_GB2312" w:cs="仿宋_GB2312"/>
                <w:bCs/>
                <w:sz w:val="28"/>
                <w:szCs w:val="28"/>
              </w:rPr>
              <w:t>开支来自于年初预算拨款。</w:t>
            </w:r>
          </w:p>
          <w:p>
            <w:pPr>
              <w:spacing w:line="500" w:lineRule="exact"/>
              <w:ind w:firstLine="562" w:firstLineChars="200"/>
              <w:rPr>
                <w:rFonts w:ascii="黑体" w:hAnsi="黑体" w:eastAsia="黑体" w:cs="黑体"/>
                <w:bCs/>
                <w:sz w:val="28"/>
                <w:szCs w:val="28"/>
              </w:rPr>
            </w:pPr>
            <w:r>
              <w:rPr>
                <w:rFonts w:hint="eastAsia" w:ascii="黑体" w:hAnsi="黑体" w:eastAsia="黑体" w:cs="黑体"/>
                <w:bCs/>
                <w:sz w:val="28"/>
                <w:szCs w:val="28"/>
              </w:rPr>
              <w:t>三、部门（单位）整体支出绩效情况</w:t>
            </w:r>
          </w:p>
          <w:p>
            <w:pPr>
              <w:spacing w:line="5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根据年初工作规划和重点工作安排，围绕市委、市政府的工作部署，积极履行职责，强化管理，较好地完成了年度工作目标。同时，通过预算收支的管理、建立内部规章制度、严格规范管理流程等一系列措施，单位年度整体支出管理得到有效提升。具体绩效情况如下：</w:t>
            </w:r>
          </w:p>
          <w:p>
            <w:pPr>
              <w:spacing w:line="500" w:lineRule="exact"/>
              <w:ind w:firstLine="562"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（一）严格按照年初预算来执行，有效防止了超预算；认真学习财经法规，严格执行财经纪律，防止了违法违纪行为的发生</w:t>
            </w:r>
            <w:r>
              <w:rPr>
                <w:rFonts w:hint="eastAsia" w:ascii="仿宋_GB2312" w:hAnsi="仿宋_GB2312" w:eastAsia="仿宋_GB2312" w:cs="仿宋_GB2312"/>
                <w:bCs/>
                <w:sz w:val="28"/>
                <w:szCs w:val="28"/>
                <w:lang w:eastAsia="zh-CN"/>
              </w:rPr>
              <w:t>；</w:t>
            </w:r>
          </w:p>
          <w:p>
            <w:pPr>
              <w:spacing w:line="500" w:lineRule="exact"/>
              <w:ind w:firstLine="562"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（二）严格按照厉行节约的要求，精打细算，规范机关事务管理工作，提高服务质量，降低运行成本，合理配置，提高保障能力。保障了干部待遇按政策发放落实</w:t>
            </w:r>
            <w:r>
              <w:rPr>
                <w:rFonts w:hint="eastAsia" w:ascii="仿宋_GB2312" w:hAnsi="仿宋_GB2312" w:eastAsia="仿宋_GB2312" w:cs="仿宋_GB2312"/>
                <w:bCs/>
                <w:sz w:val="28"/>
                <w:szCs w:val="28"/>
                <w:lang w:eastAsia="zh-CN"/>
              </w:rPr>
              <w:t>；</w:t>
            </w:r>
          </w:p>
          <w:p>
            <w:pPr>
              <w:spacing w:line="5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认真贯彻落实从严治党各项要求，始终坚持把纪律规矩挺在最前面。全面贯彻落实习近平新时代中国特色社会主义思想和党的十九大精神，深化推进党风廉政建设和反腐败工作纵深发展。通过前述对我部门整体支出情况的分析，反映出目前在整体支出的预算编制、执行和管理过程中，依然存在一些问题和不足：因部分工作不可预见性，有些支出无法纳入预算，导致预算执行存在偏差。针对这些不足，我</w:t>
            </w:r>
            <w:r>
              <w:rPr>
                <w:rFonts w:hint="eastAsia" w:ascii="仿宋_GB2312" w:hAnsi="仿宋_GB2312" w:eastAsia="仿宋_GB2312" w:cs="仿宋_GB2312"/>
                <w:bCs/>
                <w:sz w:val="28"/>
                <w:szCs w:val="28"/>
                <w:lang w:eastAsia="zh-CN"/>
              </w:rPr>
              <w:t>单位</w:t>
            </w:r>
            <w:r>
              <w:rPr>
                <w:rFonts w:hint="eastAsia" w:ascii="仿宋_GB2312" w:hAnsi="仿宋_GB2312" w:eastAsia="仿宋_GB2312" w:cs="仿宋_GB2312"/>
                <w:bCs/>
                <w:sz w:val="28"/>
                <w:szCs w:val="28"/>
              </w:rPr>
              <w:t>将积极采取改进措施，持续改进，不断规范和强化管理。</w:t>
            </w:r>
          </w:p>
          <w:p>
            <w:pPr>
              <w:numPr>
                <w:ilvl w:val="0"/>
                <w:numId w:val="2"/>
              </w:numPr>
              <w:spacing w:line="500" w:lineRule="exact"/>
              <w:ind w:firstLine="562" w:firstLineChars="200"/>
              <w:rPr>
                <w:rFonts w:ascii="黑体" w:hAnsi="黑体" w:eastAsia="黑体" w:cs="黑体"/>
                <w:bCs/>
                <w:sz w:val="28"/>
                <w:szCs w:val="28"/>
              </w:rPr>
            </w:pPr>
            <w:r>
              <w:rPr>
                <w:rFonts w:hint="eastAsia" w:ascii="黑体" w:hAnsi="黑体" w:eastAsia="黑体" w:cs="黑体"/>
                <w:bCs/>
                <w:sz w:val="28"/>
                <w:szCs w:val="28"/>
              </w:rPr>
              <w:t>改进措施和有关建议</w:t>
            </w:r>
          </w:p>
          <w:p>
            <w:pPr>
              <w:spacing w:line="500" w:lineRule="exact"/>
              <w:ind w:firstLine="562" w:firstLineChars="200"/>
            </w:pPr>
            <w:r>
              <w:rPr>
                <w:rFonts w:hint="eastAsia" w:ascii="仿宋_GB2312" w:hAnsi="仿宋_GB2312" w:eastAsia="仿宋_GB2312" w:cs="仿宋_GB2312"/>
                <w:bCs/>
                <w:sz w:val="28"/>
                <w:szCs w:val="28"/>
              </w:rPr>
              <w:t>1.科学合理编制预算，严格执行预算。要按照《预算法》及其实施条例的相关规定，参考上一年的预算执行情况和年度的收支预测科学编制预算，避免年中大幅追加以及超预算。同时严格预算执行，提高资金使用效率。</w:t>
            </w:r>
          </w:p>
          <w:p>
            <w:pPr>
              <w:spacing w:line="500" w:lineRule="exact"/>
              <w:ind w:firstLine="562" w:firstLineChars="200"/>
              <w:rPr>
                <w:rFonts w:eastAsia="楷体_GB2312"/>
                <w:bCs/>
                <w:sz w:val="28"/>
                <w:szCs w:val="28"/>
              </w:rPr>
            </w:pPr>
            <w:r>
              <w:rPr>
                <w:rFonts w:hint="eastAsia" w:ascii="仿宋_GB2312" w:hAnsi="仿宋_GB2312" w:eastAsia="仿宋_GB2312" w:cs="仿宋_GB2312"/>
                <w:bCs/>
                <w:sz w:val="28"/>
                <w:szCs w:val="28"/>
              </w:rPr>
              <w:t>2.加强机关单位人员的教育培训，增加人员流动，增强单位人员活力，将单位的各项工作落到实处。</w:t>
            </w:r>
          </w:p>
        </w:tc>
      </w:tr>
    </w:tbl>
    <w:p>
      <w:pPr>
        <w:pStyle w:val="4"/>
        <w:rPr>
          <w:rFonts w:cs="黑体" w:asciiTheme="minorEastAsia" w:hAnsiTheme="minorEastAsia"/>
          <w:color w:val="000000"/>
          <w:kern w:val="0"/>
          <w:sz w:val="32"/>
          <w:szCs w:val="32"/>
        </w:rPr>
      </w:pPr>
    </w:p>
    <w:p>
      <w:pPr>
        <w:pStyle w:val="22"/>
        <w:jc w:val="center"/>
        <w:rPr>
          <w:rFonts w:hint="eastAsia" w:ascii="黑体" w:eastAsia="黑体" w:cs="黑体"/>
          <w:color w:val="000000"/>
          <w:kern w:val="0"/>
          <w:sz w:val="70"/>
          <w:szCs w:val="70"/>
          <w:lang w:eastAsia="zh-CN"/>
        </w:rPr>
      </w:pPr>
    </w:p>
    <w:sectPr>
      <w:pgSz w:w="11906" w:h="16838"/>
      <w:pgMar w:top="720" w:right="567" w:bottom="720" w:left="567" w:header="851" w:footer="992" w:gutter="0"/>
      <w:pgBorders>
        <w:top w:val="none" w:sz="0" w:space="0"/>
        <w:left w:val="none" w:sz="0" w:space="0"/>
        <w:bottom w:val="none" w:sz="0" w:space="0"/>
        <w:right w:val="none" w:sz="0" w:space="0"/>
      </w:pgBorders>
      <w:cols w:space="0" w:num="1"/>
      <w:rtlGutter w:val="0"/>
      <w:docGrid w:type="linesAndChars" w:linePitch="317" w:charSpace="2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F7C69"/>
    <w:multiLevelType w:val="singleLevel"/>
    <w:tmpl w:val="2AAF7C69"/>
    <w:lvl w:ilvl="0" w:tentative="0">
      <w:start w:val="4"/>
      <w:numFmt w:val="chineseCounting"/>
      <w:suff w:val="nothing"/>
      <w:lvlText w:val="%1、"/>
      <w:lvlJc w:val="left"/>
      <w:rPr>
        <w:rFonts w:hint="eastAsia"/>
      </w:rPr>
    </w:lvl>
  </w:abstractNum>
  <w:abstractNum w:abstractNumId="1">
    <w:nsid w:val="64B238E3"/>
    <w:multiLevelType w:val="singleLevel"/>
    <w:tmpl w:val="64B238E3"/>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6"/>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Y2NjYWY0NDFlNmY3YWVjMmFlMWExMWMzMDYzZTMifQ=="/>
  </w:docVars>
  <w:rsids>
    <w:rsidRoot w:val="00172A27"/>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5633A58"/>
    <w:rsid w:val="06B411F0"/>
    <w:rsid w:val="087403E0"/>
    <w:rsid w:val="09500069"/>
    <w:rsid w:val="0B5913C1"/>
    <w:rsid w:val="0BE56081"/>
    <w:rsid w:val="0D321F39"/>
    <w:rsid w:val="0D43450D"/>
    <w:rsid w:val="11564FFC"/>
    <w:rsid w:val="13BE003E"/>
    <w:rsid w:val="14FF3947"/>
    <w:rsid w:val="17A87124"/>
    <w:rsid w:val="20EE713C"/>
    <w:rsid w:val="27220024"/>
    <w:rsid w:val="27DB542D"/>
    <w:rsid w:val="2E710450"/>
    <w:rsid w:val="33264A29"/>
    <w:rsid w:val="366364DD"/>
    <w:rsid w:val="36A12B31"/>
    <w:rsid w:val="370B6762"/>
    <w:rsid w:val="3A4F6223"/>
    <w:rsid w:val="45E458EE"/>
    <w:rsid w:val="45F9639D"/>
    <w:rsid w:val="48C75126"/>
    <w:rsid w:val="48ED43E7"/>
    <w:rsid w:val="4A7E6143"/>
    <w:rsid w:val="4AAF5694"/>
    <w:rsid w:val="4ADA1DAD"/>
    <w:rsid w:val="4F4A07F0"/>
    <w:rsid w:val="50F62226"/>
    <w:rsid w:val="52EC26EB"/>
    <w:rsid w:val="590928C6"/>
    <w:rsid w:val="5B973ABC"/>
    <w:rsid w:val="60A907EA"/>
    <w:rsid w:val="6145544E"/>
    <w:rsid w:val="6ABE188D"/>
    <w:rsid w:val="75376B2C"/>
    <w:rsid w:val="78FF3729"/>
    <w:rsid w:val="7B4E0774"/>
    <w:rsid w:val="7D6F6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4"/>
    <w:qFormat/>
    <w:uiPriority w:val="0"/>
    <w:pPr>
      <w:keepNext/>
      <w:keepLines/>
      <w:spacing w:line="576" w:lineRule="auto"/>
      <w:outlineLvl w:val="0"/>
    </w:pPr>
    <w:rPr>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hint="default"/>
      <w:sz w:val="21"/>
      <w:szCs w:val="24"/>
    </w:rPr>
  </w:style>
  <w:style w:type="paragraph" w:customStyle="1" w:styleId="4">
    <w:name w:val="正文2"/>
    <w:basedOn w:val="1"/>
    <w:qFormat/>
    <w:uiPriority w:val="0"/>
    <w:pPr>
      <w:spacing w:line="360" w:lineRule="auto"/>
      <w:ind w:firstLine="420" w:firstLineChars="200"/>
    </w:pPr>
  </w:style>
  <w:style w:type="paragraph" w:styleId="5">
    <w:name w:val="Balloon Text"/>
    <w:basedOn w:val="1"/>
    <w:link w:val="24"/>
    <w:semiHidden/>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99"/>
    <w:rPr>
      <w:rFonts w:cs="Times New Roman"/>
    </w:rPr>
  </w:style>
  <w:style w:type="character" w:styleId="12">
    <w:name w:val="FollowedHyperlink"/>
    <w:basedOn w:val="10"/>
    <w:semiHidden/>
    <w:unhideWhenUsed/>
    <w:qFormat/>
    <w:uiPriority w:val="99"/>
    <w:rPr>
      <w:color w:val="4C4C4C"/>
      <w:u w:val="none"/>
    </w:rPr>
  </w:style>
  <w:style w:type="character" w:styleId="13">
    <w:name w:val="Emphasis"/>
    <w:basedOn w:val="10"/>
    <w:qFormat/>
    <w:uiPriority w:val="20"/>
  </w:style>
  <w:style w:type="character" w:styleId="14">
    <w:name w:val="HTML Definition"/>
    <w:basedOn w:val="10"/>
    <w:semiHidden/>
    <w:unhideWhenUsed/>
    <w:qFormat/>
    <w:uiPriority w:val="99"/>
  </w:style>
  <w:style w:type="character" w:styleId="15">
    <w:name w:val="HTML Acronym"/>
    <w:basedOn w:val="10"/>
    <w:semiHidden/>
    <w:unhideWhenUsed/>
    <w:qFormat/>
    <w:uiPriority w:val="99"/>
  </w:style>
  <w:style w:type="character" w:styleId="16">
    <w:name w:val="HTML Variable"/>
    <w:basedOn w:val="10"/>
    <w:semiHidden/>
    <w:unhideWhenUsed/>
    <w:qFormat/>
    <w:uiPriority w:val="99"/>
  </w:style>
  <w:style w:type="character" w:styleId="17">
    <w:name w:val="Hyperlink"/>
    <w:basedOn w:val="10"/>
    <w:semiHidden/>
    <w:unhideWhenUsed/>
    <w:qFormat/>
    <w:uiPriority w:val="99"/>
    <w:rPr>
      <w:color w:val="4C4C4C"/>
      <w:u w:val="none"/>
    </w:rPr>
  </w:style>
  <w:style w:type="character" w:styleId="18">
    <w:name w:val="HTML Code"/>
    <w:basedOn w:val="10"/>
    <w:semiHidden/>
    <w:unhideWhenUsed/>
    <w:qFormat/>
    <w:uiPriority w:val="99"/>
    <w:rPr>
      <w:rFonts w:hint="eastAsia" w:ascii="微软雅黑" w:hAnsi="微软雅黑" w:eastAsia="微软雅黑" w:cs="微软雅黑"/>
      <w:sz w:val="18"/>
      <w:szCs w:val="18"/>
    </w:rPr>
  </w:style>
  <w:style w:type="character" w:styleId="19">
    <w:name w:val="HTML Cite"/>
    <w:basedOn w:val="10"/>
    <w:semiHidden/>
    <w:unhideWhenUsed/>
    <w:qFormat/>
    <w:uiPriority w:val="99"/>
  </w:style>
  <w:style w:type="character" w:customStyle="1" w:styleId="20">
    <w:name w:val="页眉 Char"/>
    <w:basedOn w:val="10"/>
    <w:link w:val="7"/>
    <w:qFormat/>
    <w:uiPriority w:val="99"/>
    <w:rPr>
      <w:sz w:val="18"/>
      <w:szCs w:val="18"/>
    </w:rPr>
  </w:style>
  <w:style w:type="character" w:customStyle="1" w:styleId="21">
    <w:name w:val="页脚 Char"/>
    <w:basedOn w:val="10"/>
    <w:link w:val="6"/>
    <w:qFormat/>
    <w:uiPriority w:val="99"/>
    <w:rPr>
      <w:sz w:val="18"/>
      <w:szCs w:val="18"/>
    </w:rPr>
  </w:style>
  <w:style w:type="paragraph" w:customStyle="1" w:styleId="2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批注框文本 Char"/>
    <w:basedOn w:val="10"/>
    <w:link w:val="5"/>
    <w:semiHidden/>
    <w:qFormat/>
    <w:uiPriority w:val="99"/>
    <w:rPr>
      <w:sz w:val="18"/>
      <w:szCs w:val="18"/>
    </w:rPr>
  </w:style>
  <w:style w:type="character" w:customStyle="1" w:styleId="25">
    <w:name w:val="hj-easyread-speakerprocesser-position-action-icon"/>
    <w:basedOn w:val="10"/>
    <w:qFormat/>
    <w:uiPriority w:val="0"/>
  </w:style>
  <w:style w:type="character" w:customStyle="1" w:styleId="26">
    <w:name w:val="dropselect_box"/>
    <w:basedOn w:val="10"/>
    <w:qFormat/>
    <w:uiPriority w:val="0"/>
  </w:style>
  <w:style w:type="character" w:customStyle="1" w:styleId="27">
    <w:name w:val="dropselect_box1"/>
    <w:basedOn w:val="10"/>
    <w:qFormat/>
    <w:uiPriority w:val="0"/>
    <w:rPr>
      <w:bdr w:val="single" w:color="E2E2E2" w:sz="6" w:space="0"/>
    </w:rPr>
  </w:style>
  <w:style w:type="character" w:customStyle="1" w:styleId="28">
    <w:name w:val="hover4"/>
    <w:basedOn w:val="10"/>
    <w:qFormat/>
    <w:uiPriority w:val="0"/>
    <w:rPr>
      <w:color w:val="DC3C34"/>
    </w:rPr>
  </w:style>
  <w:style w:type="character" w:customStyle="1" w:styleId="29">
    <w:name w:val="hover"/>
    <w:basedOn w:val="10"/>
    <w:qFormat/>
    <w:uiPriority w:val="0"/>
    <w:rPr>
      <w:color w:val="DC3C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7389</Words>
  <Characters>8560</Characters>
  <Lines>69</Lines>
  <Paragraphs>19</Paragraphs>
  <TotalTime>1</TotalTime>
  <ScaleCrop>false</ScaleCrop>
  <LinksUpToDate>false</LinksUpToDate>
  <CharactersWithSpaces>8640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何蔚</cp:lastModifiedBy>
  <cp:lastPrinted>2022-09-22T03:17:00Z</cp:lastPrinted>
  <dcterms:modified xsi:type="dcterms:W3CDTF">2023-09-22T15:27:35Z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A16BBB4EE79D4E06BA2B9D7822F6EF10_13</vt:lpwstr>
  </property>
</Properties>
</file>