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522" w:type="dxa"/>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1380" w:hRule="atLeast"/>
        </w:trPr>
        <w:tc>
          <w:tcPr>
            <w:tcW w:w="8522" w:type="dxa"/>
            <w:tcBorders>
              <w:top w:val="nil"/>
              <w:left w:val="nil"/>
              <w:bottom w:val="nil"/>
              <w:right w:val="nil"/>
            </w:tcBorders>
            <w:shd w:val="clear" w:color="auto" w:fill="auto"/>
            <w:vAlign w:val="center"/>
          </w:tcPr>
          <w:p>
            <w:pPr>
              <w:widowControl/>
              <w:jc w:val="center"/>
              <w:rPr>
                <w:rFonts w:ascii="方正小标宋_GBK" w:hAnsi="宋体" w:eastAsia="方正小标宋_GBK" w:cs="宋体"/>
                <w:color w:val="000000"/>
                <w:kern w:val="0"/>
                <w:sz w:val="44"/>
                <w:szCs w:val="44"/>
              </w:rPr>
            </w:pPr>
            <w:r>
              <w:rPr>
                <w:rFonts w:hint="eastAsia" w:ascii="方正小标宋_GBK" w:hAnsi="宋体" w:eastAsia="方正小标宋_GBK" w:cs="宋体"/>
                <w:color w:val="000000"/>
                <w:kern w:val="0"/>
                <w:sz w:val="44"/>
                <w:szCs w:val="44"/>
              </w:rPr>
              <w:t>岳阳市工商业联合会2022年度部门预算</w:t>
            </w:r>
          </w:p>
        </w:tc>
      </w:tr>
      <w:tr>
        <w:tblPrEx>
          <w:tblCellMar>
            <w:top w:w="0" w:type="dxa"/>
            <w:left w:w="108" w:type="dxa"/>
            <w:bottom w:w="0" w:type="dxa"/>
            <w:right w:w="108" w:type="dxa"/>
          </w:tblCellMar>
        </w:tblPrEx>
        <w:trPr>
          <w:trHeight w:val="499" w:hRule="atLeast"/>
        </w:trPr>
        <w:tc>
          <w:tcPr>
            <w:tcW w:w="8522" w:type="dxa"/>
            <w:tcBorders>
              <w:top w:val="nil"/>
              <w:left w:val="nil"/>
              <w:bottom w:val="nil"/>
              <w:right w:val="nil"/>
            </w:tcBorders>
            <w:shd w:val="clear" w:color="auto" w:fill="auto"/>
            <w:vAlign w:val="center"/>
          </w:tcPr>
          <w:p>
            <w:pPr>
              <w:widowControl/>
              <w:jc w:val="center"/>
              <w:rPr>
                <w:rFonts w:ascii="黑体" w:hAnsi="黑体" w:eastAsia="黑体" w:cs="宋体"/>
                <w:kern w:val="0"/>
                <w:sz w:val="36"/>
                <w:szCs w:val="36"/>
              </w:rPr>
            </w:pPr>
            <w:r>
              <w:rPr>
                <w:rFonts w:hint="eastAsia" w:ascii="黑体" w:hAnsi="黑体" w:eastAsia="黑体" w:cs="宋体"/>
                <w:kern w:val="0"/>
                <w:sz w:val="36"/>
                <w:szCs w:val="36"/>
              </w:rPr>
              <w:t>目录</w:t>
            </w:r>
          </w:p>
        </w:tc>
      </w:tr>
      <w:tr>
        <w:tblPrEx>
          <w:tblCellMar>
            <w:top w:w="0" w:type="dxa"/>
            <w:left w:w="108" w:type="dxa"/>
            <w:bottom w:w="0" w:type="dxa"/>
            <w:right w:w="108" w:type="dxa"/>
          </w:tblCellMar>
        </w:tblPrEx>
        <w:trPr>
          <w:trHeight w:val="499"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第一部分  2022年部门预算说明</w:t>
            </w:r>
          </w:p>
        </w:tc>
      </w:tr>
      <w:tr>
        <w:tblPrEx>
          <w:tblCellMar>
            <w:top w:w="0" w:type="dxa"/>
            <w:left w:w="108" w:type="dxa"/>
            <w:bottom w:w="0" w:type="dxa"/>
            <w:right w:w="108" w:type="dxa"/>
          </w:tblCellMar>
        </w:tblPrEx>
        <w:trPr>
          <w:trHeight w:val="499"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第二部分  2022年部门预算公开表格</w:t>
            </w:r>
          </w:p>
        </w:tc>
      </w:tr>
      <w:tr>
        <w:tblPrEx>
          <w:tblCellMar>
            <w:top w:w="0" w:type="dxa"/>
            <w:left w:w="108" w:type="dxa"/>
            <w:bottom w:w="0" w:type="dxa"/>
            <w:right w:w="108" w:type="dxa"/>
          </w:tblCellMar>
        </w:tblPrEx>
        <w:trPr>
          <w:trHeight w:val="4519" w:hRule="atLeast"/>
        </w:trPr>
        <w:tc>
          <w:tcPr>
            <w:tcW w:w="8522" w:type="dxa"/>
            <w:vMerge w:val="restart"/>
            <w:tcBorders>
              <w:top w:val="nil"/>
              <w:left w:val="nil"/>
              <w:bottom w:val="nil"/>
              <w:right w:val="nil"/>
            </w:tcBorders>
            <w:shd w:val="clear" w:color="auto" w:fill="auto"/>
            <w:vAlign w:val="center"/>
          </w:tcPr>
          <w:p>
            <w:pPr>
              <w:pStyle w:val="10"/>
              <w:widowControl/>
              <w:numPr>
                <w:ilvl w:val="0"/>
                <w:numId w:val="1"/>
              </w:numPr>
              <w:ind w:firstLineChars="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2、收入总表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3、支出总表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4、支出预算分类汇总表（按政府预算经济分类）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5、支出预算分类汇总表（按部门预算经济分类）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6、财政拨款收支总表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7、一般公共预算支出表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8、一般公共预算基本支出表-人员经费（工资福利支出）（按政府预算经济分类）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9、一般公共预算基本支出表-人员经费（工资福利支出）（按部门预算经济分类）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10、一般公共预算基本支出表-人员经费（对个人和家庭的补助）（按政府预算经济分类）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11、一般公共预算基本支出表-人员经费（对个人和家庭的补助）（按部门预算经济分类）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12、一般公共预算基本支出表-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13、一般公共预算基本支出表-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14、一般公共预算“三公”经费支出表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15、政府性基金预算支出表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16、政府性基金预算支出分类汇总表（按政府预算经济分类）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17、政府性基金预算支出分类汇总表（按部门预算经济分类）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18、国有资本经营预算支出表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19、财政专户管理资金预算支出表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20、专项资金预算汇总表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21、项目支出绩效目标表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22、整体支出绩效目标表</w:t>
            </w:r>
          </w:p>
          <w:p>
            <w:pPr>
              <w:pStyle w:val="5"/>
              <w:widowControl/>
              <w:spacing w:beforeAutospacing="0" w:afterAutospacing="0" w:line="26" w:lineRule="atLeast"/>
              <w:ind w:firstLine="700" w:firstLineChars="250"/>
              <w:jc w:val="both"/>
              <w:textAlignment w:val="center"/>
              <w:rPr>
                <w:rFonts w:ascii="微软雅黑" w:hAnsi="微软雅黑" w:eastAsia="微软雅黑" w:cs="微软雅黑"/>
                <w:color w:val="333333"/>
                <w:sz w:val="28"/>
                <w:szCs w:val="28"/>
              </w:rPr>
            </w:pPr>
            <w:r>
              <w:rPr>
                <w:rFonts w:hint="eastAsia" w:ascii="微软雅黑" w:hAnsi="微软雅黑" w:eastAsia="微软雅黑" w:cs="微软雅黑"/>
                <w:color w:val="333333"/>
                <w:sz w:val="28"/>
                <w:szCs w:val="28"/>
              </w:rPr>
              <w:t>23、一般公共预算基本支出表</w:t>
            </w:r>
            <w:r>
              <w:rPr>
                <w:rFonts w:hint="eastAsia" w:ascii="仿宋_GB2312" w:hAnsi="宋体" w:eastAsia="仿宋_GB2312" w:cs="宋体"/>
                <w:color w:val="000000"/>
                <w:sz w:val="28"/>
                <w:szCs w:val="28"/>
              </w:rPr>
              <w:br w:type="textWrapping"/>
            </w:r>
            <w:r>
              <w:rPr>
                <w:rFonts w:hint="eastAsia" w:ascii="仿宋_GB2312" w:hAnsi="宋体" w:eastAsia="仿宋_GB2312" w:cs="宋体"/>
                <w:color w:val="000000"/>
                <w:sz w:val="28"/>
                <w:szCs w:val="28"/>
              </w:rPr>
              <w:t>注：以上单位预算公开报表中，空表表示本单位无相关收支情况。</w:t>
            </w:r>
          </w:p>
        </w:tc>
      </w:tr>
      <w:tr>
        <w:tblPrEx>
          <w:tblCellMar>
            <w:top w:w="0" w:type="dxa"/>
            <w:left w:w="108" w:type="dxa"/>
            <w:bottom w:w="0" w:type="dxa"/>
            <w:right w:w="108" w:type="dxa"/>
          </w:tblCellMar>
        </w:tblPrEx>
        <w:trPr>
          <w:trHeight w:val="4519" w:hRule="atLeast"/>
        </w:trPr>
        <w:tc>
          <w:tcPr>
            <w:tcW w:w="8522" w:type="dxa"/>
            <w:vMerge w:val="continue"/>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p>
        </w:tc>
      </w:tr>
      <w:tr>
        <w:tblPrEx>
          <w:tblCellMar>
            <w:top w:w="0" w:type="dxa"/>
            <w:left w:w="108" w:type="dxa"/>
            <w:bottom w:w="0" w:type="dxa"/>
            <w:right w:w="108" w:type="dxa"/>
          </w:tblCellMar>
        </w:tblPrEx>
        <w:trPr>
          <w:trHeight w:val="840" w:hRule="atLeast"/>
        </w:trPr>
        <w:tc>
          <w:tcPr>
            <w:tcW w:w="8522" w:type="dxa"/>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第一部分  2022年部门预算说明</w:t>
            </w:r>
          </w:p>
        </w:tc>
      </w:tr>
      <w:tr>
        <w:tblPrEx>
          <w:tblCellMar>
            <w:top w:w="0" w:type="dxa"/>
            <w:left w:w="108" w:type="dxa"/>
            <w:bottom w:w="0" w:type="dxa"/>
            <w:right w:w="108" w:type="dxa"/>
          </w:tblCellMar>
        </w:tblPrEx>
        <w:trPr>
          <w:trHeight w:val="3375"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一、部门基本概况</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（一）职能职责</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市工商联是党领导下的以非公有制企业和非公有制经济人士为主体，具有统战性、经济性、民间性有机统一基本特征的人民团体和商会组织。</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1、加强和改进非公有制经济人士思想政治工作，宣传、贯彻党和国家的方针政策，提倡爱国敬业、守法经营、创业创新、回报社会，提高会员素质，培养积极分子队伍。</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2、参与政治协商，发挥民主监督作用，积极参政议政，负责非公有制经济代表人士政治安排的推荐工作。</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3、协助政府管理和服务非公有制经济，引导会员积极参加国家经济建设，推动社会主义市场经济体制逐步完善，促进社会全面发展。</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4、促进行业协会商会改革发展。</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5、参与协调劳动关系，协同社会治理，促进社会和谐稳定。</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6、引导非公有制企业和非公有制经济人士依法诚信经营。</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7、依法加强会产管理和保护。 </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8、承办市委、市人民政府及有关部门其他委托事项。</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（二）机构设置</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根据编办核定，我联内设科室5个，行政编制14个，工勤编制2个，无所属事业单位，全部纳入2022年部门预算编制范围。 </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内设科室分别是办公室，会员科，经济科（维权科），宣教人事科（非公党建科），商会科。</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二、部门预算单位构成</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本部门预算为汇总预算，纳入编制范围的预算单位仅包括市工商联本级预算，无所属事业单位。</w:t>
            </w:r>
          </w:p>
        </w:tc>
      </w:tr>
      <w:tr>
        <w:tblPrEx>
          <w:tblCellMar>
            <w:top w:w="0" w:type="dxa"/>
            <w:left w:w="108" w:type="dxa"/>
            <w:bottom w:w="0" w:type="dxa"/>
            <w:right w:w="108" w:type="dxa"/>
          </w:tblCellMar>
        </w:tblPrEx>
        <w:trPr>
          <w:trHeight w:val="499"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三、部门收支总体情况</w:t>
            </w:r>
          </w:p>
        </w:tc>
      </w:tr>
      <w:tr>
        <w:tblPrEx>
          <w:tblCellMar>
            <w:top w:w="0" w:type="dxa"/>
            <w:left w:w="108" w:type="dxa"/>
            <w:bottom w:w="0" w:type="dxa"/>
            <w:right w:w="108" w:type="dxa"/>
          </w:tblCellMar>
        </w:tblPrEx>
        <w:trPr>
          <w:trHeight w:val="499"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（一）收入预算</w:t>
            </w:r>
          </w:p>
        </w:tc>
      </w:tr>
      <w:tr>
        <w:tblPrEx>
          <w:tblCellMar>
            <w:top w:w="0" w:type="dxa"/>
            <w:left w:w="108" w:type="dxa"/>
            <w:bottom w:w="0" w:type="dxa"/>
            <w:right w:w="108" w:type="dxa"/>
          </w:tblCellMar>
        </w:tblPrEx>
        <w:trPr>
          <w:trHeight w:val="1875"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包括一般公共预算、政府性基金、国有资本经营预算等财政拨款收入，以及经营收入、事业收入等单位资金。2022年本部门收入预算298.2万元，其中，一般公共预算拨款298.2万元，政府性基金预算拨款0万元，所以公开的附件15-17（政府性基金预算）为空,国有资本经营预算拨款0万元，所以公开的附表18（国有资本经营预算）为空,财政专户管理资金0万元，所以公开的附表19表（财政专户管理资金预算）为空，上级补助收入0万元，事业单位经营收入0万元，上年结转结余0万元。</w:t>
            </w:r>
          </w:p>
        </w:tc>
      </w:tr>
      <w:tr>
        <w:tblPrEx>
          <w:tblCellMar>
            <w:top w:w="0" w:type="dxa"/>
            <w:left w:w="108" w:type="dxa"/>
            <w:bottom w:w="0" w:type="dxa"/>
            <w:right w:w="108" w:type="dxa"/>
          </w:tblCellMar>
        </w:tblPrEx>
        <w:trPr>
          <w:trHeight w:val="619"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收入较去年增加51.12万元，主要是因为增加专项导致专项资金增加。</w:t>
            </w:r>
          </w:p>
        </w:tc>
      </w:tr>
      <w:tr>
        <w:tblPrEx>
          <w:tblCellMar>
            <w:top w:w="0" w:type="dxa"/>
            <w:left w:w="108" w:type="dxa"/>
            <w:bottom w:w="0" w:type="dxa"/>
            <w:right w:w="108" w:type="dxa"/>
          </w:tblCellMar>
        </w:tblPrEx>
        <w:trPr>
          <w:trHeight w:val="402"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（二）支出预算</w:t>
            </w:r>
          </w:p>
        </w:tc>
      </w:tr>
      <w:tr>
        <w:tblPrEx>
          <w:tblCellMar>
            <w:top w:w="0" w:type="dxa"/>
            <w:left w:w="108" w:type="dxa"/>
            <w:bottom w:w="0" w:type="dxa"/>
            <w:right w:w="108" w:type="dxa"/>
          </w:tblCellMar>
        </w:tblPrEx>
        <w:trPr>
          <w:trHeight w:val="1320" w:hRule="atLeast"/>
        </w:trPr>
        <w:tc>
          <w:tcPr>
            <w:tcW w:w="8522" w:type="dxa"/>
            <w:tcBorders>
              <w:top w:val="nil"/>
              <w:left w:val="nil"/>
              <w:bottom w:val="nil"/>
              <w:right w:val="nil"/>
            </w:tcBorders>
            <w:shd w:val="clear" w:color="auto" w:fill="auto"/>
            <w:vAlign w:val="center"/>
          </w:tcPr>
          <w:p>
            <w:pPr>
              <w:widowControl/>
              <w:ind w:firstLine="55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2022年本部门支出预算298.2万元，其中，一般公共服务支出257.12万元，占比86.22%，社会保障和就业支出17.65万元，占比5.92%，卫生健康支出11.42万元，占比3.83%，住房保障支出12.02万元，占比4.03%。支出较去年增加51.12万元，其中基本支出增加4.74万元，项目支出增加46.38万元。其中基本支出较上年增加主要是因为基本工资调标导致工资福利支出略有增加，项目支出增加主要是因为按照预算编制要求增加专项项目导致专项资金增加。</w:t>
            </w:r>
          </w:p>
          <w:p>
            <w:pPr>
              <w:pStyle w:val="2"/>
              <w:ind w:firstLine="550"/>
              <w:rPr>
                <w:rFonts w:ascii="仿宋_GB2312" w:hAnsi="宋体" w:eastAsia="仿宋_GB2312" w:cs="宋体"/>
                <w:kern w:val="0"/>
                <w:sz w:val="28"/>
                <w:szCs w:val="28"/>
              </w:rPr>
            </w:pPr>
            <w:r>
              <w:rPr>
                <w:rFonts w:hint="eastAsia" w:ascii="仿宋_GB2312" w:hAnsi="宋体" w:eastAsia="仿宋_GB2312" w:cs="宋体"/>
                <w:kern w:val="0"/>
                <w:sz w:val="28"/>
                <w:szCs w:val="28"/>
              </w:rPr>
              <w:t>2022年预算公开文档第三大点（对应表3）、第四大点（对应表7）中的金额和百分比，由于预算编制时金额明细到了“分”，而公开表格显示和公开文档取数只到“百元”，可能导致0.01的尾数差异。</w:t>
            </w:r>
          </w:p>
        </w:tc>
      </w:tr>
      <w:tr>
        <w:tblPrEx>
          <w:tblCellMar>
            <w:top w:w="0" w:type="dxa"/>
            <w:left w:w="108" w:type="dxa"/>
            <w:bottom w:w="0" w:type="dxa"/>
            <w:right w:w="108" w:type="dxa"/>
          </w:tblCellMar>
        </w:tblPrEx>
        <w:trPr>
          <w:trHeight w:val="499"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四、一般公共预算拨款支出预算</w:t>
            </w:r>
          </w:p>
        </w:tc>
      </w:tr>
      <w:tr>
        <w:tblPrEx>
          <w:tblCellMar>
            <w:top w:w="0" w:type="dxa"/>
            <w:left w:w="108" w:type="dxa"/>
            <w:bottom w:w="0" w:type="dxa"/>
            <w:right w:w="108" w:type="dxa"/>
          </w:tblCellMar>
        </w:tblPrEx>
        <w:trPr>
          <w:trHeight w:val="1125"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本部门一般公共预算拨款支出预算298.2万元，其中，一般公共服务支出257.12万元，占比86.22%，社会保障和就业支出17.65万元，占比5.92%，卫生健康支出11.42万元，占比3.83%，住房保障支出12.02万元，占比4.03%。具体安排情况如下：</w:t>
            </w:r>
          </w:p>
        </w:tc>
      </w:tr>
      <w:tr>
        <w:tblPrEx>
          <w:tblCellMar>
            <w:top w:w="0" w:type="dxa"/>
            <w:left w:w="108" w:type="dxa"/>
            <w:bottom w:w="0" w:type="dxa"/>
            <w:right w:w="108" w:type="dxa"/>
          </w:tblCellMar>
        </w:tblPrEx>
        <w:trPr>
          <w:trHeight w:val="1125"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一）基本支出：2022年基本支出年初预算数为185.22万元（数据来源见表7），是指为保障单位机构正常运转、完成日常工作任务而发生的各项支出，包括用于基本工资、津贴补贴等人员经费以及办公费、印刷费、水电费、差旅费等日常公用经费。</w:t>
            </w:r>
          </w:p>
        </w:tc>
      </w:tr>
      <w:tr>
        <w:tblPrEx>
          <w:tblCellMar>
            <w:top w:w="0" w:type="dxa"/>
            <w:left w:w="108" w:type="dxa"/>
            <w:bottom w:w="0" w:type="dxa"/>
            <w:right w:w="108" w:type="dxa"/>
          </w:tblCellMar>
        </w:tblPrEx>
        <w:trPr>
          <w:trHeight w:val="3375"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二）项目支出：2022年项目支出年初预算数为112.98万元，是指单位为完成特定行政工作任务或事业发展目标而发生的支出，包括有关业务工作经费、运行维护经费等。其中：工会经费补助6.90万元，主要用于行政补助工会经费；伙食补助9.20万元，主要用于支付食堂伙食费保障单位员工用餐；物业服务补贴8.28万元，主要用于补贴单位员工自行缴纳物业费；预安排综合绩效奖和平安岳阳建设奖46万元，主要用于发放综合绩效奖和平安岳阳建设奖。调研维权经费6.20万元，主要用于专项调研活动及为民营企业开展法律咨询和维权服务等开支；专项业务经费12.60万元，主要用于完成课题调研，撰写有分量的调研报告、完成年度招商引资任务、切实加强机关党建和非公党建、抓实“万企帮万村”精准扶贫行动等开支；原工商业者及其遗孀生活困难补助1.30万元，主要用于给原工商业者及其遗孀发放生活困难补助；总工会房屋物业管理费等支出22.50万元，主要用于租用市总工会办公楼缴纳房租等。</w:t>
            </w:r>
          </w:p>
        </w:tc>
      </w:tr>
      <w:tr>
        <w:tblPrEx>
          <w:tblCellMar>
            <w:top w:w="0" w:type="dxa"/>
            <w:left w:w="108" w:type="dxa"/>
            <w:bottom w:w="0" w:type="dxa"/>
            <w:right w:w="108" w:type="dxa"/>
          </w:tblCellMar>
        </w:tblPrEx>
        <w:trPr>
          <w:trHeight w:val="499"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五、政府性基金预算支出</w:t>
            </w:r>
          </w:p>
        </w:tc>
      </w:tr>
      <w:tr>
        <w:tblPrEx>
          <w:tblCellMar>
            <w:top w:w="0" w:type="dxa"/>
            <w:left w:w="108" w:type="dxa"/>
            <w:bottom w:w="0" w:type="dxa"/>
            <w:right w:w="108" w:type="dxa"/>
          </w:tblCellMar>
        </w:tblPrEx>
        <w:trPr>
          <w:trHeight w:val="499"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2022年度本部门无政府性基金安排的支出，所以公开的附件15-17（政府性基金预算）为空。</w:t>
            </w:r>
          </w:p>
        </w:tc>
      </w:tr>
      <w:tr>
        <w:tblPrEx>
          <w:tblCellMar>
            <w:top w:w="0" w:type="dxa"/>
            <w:left w:w="108" w:type="dxa"/>
            <w:bottom w:w="0" w:type="dxa"/>
            <w:right w:w="108" w:type="dxa"/>
          </w:tblCellMar>
        </w:tblPrEx>
        <w:trPr>
          <w:trHeight w:val="499"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六、其他重要事项的情况说明</w:t>
            </w:r>
          </w:p>
        </w:tc>
      </w:tr>
      <w:tr>
        <w:tblPrEx>
          <w:tblCellMar>
            <w:top w:w="0" w:type="dxa"/>
            <w:left w:w="108" w:type="dxa"/>
            <w:bottom w:w="0" w:type="dxa"/>
            <w:right w:w="108" w:type="dxa"/>
          </w:tblCellMar>
        </w:tblPrEx>
        <w:trPr>
          <w:trHeight w:val="499"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（一）机关运行经费</w:t>
            </w:r>
          </w:p>
        </w:tc>
      </w:tr>
      <w:tr>
        <w:tblPrEx>
          <w:tblCellMar>
            <w:top w:w="0" w:type="dxa"/>
            <w:left w:w="108" w:type="dxa"/>
            <w:bottom w:w="0" w:type="dxa"/>
            <w:right w:w="108" w:type="dxa"/>
          </w:tblCellMar>
        </w:tblPrEx>
        <w:trPr>
          <w:trHeight w:val="859"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2022年本部门只包含市工商联机关本级的机关运行经费21.90万元，比上一年减少9.58万元，降低30.43%。主要原因是厉行勤俭节约“过紧日子”，经费拨款减少。</w:t>
            </w:r>
          </w:p>
        </w:tc>
      </w:tr>
      <w:tr>
        <w:tblPrEx>
          <w:tblCellMar>
            <w:top w:w="0" w:type="dxa"/>
            <w:left w:w="108" w:type="dxa"/>
            <w:bottom w:w="0" w:type="dxa"/>
            <w:right w:w="108" w:type="dxa"/>
          </w:tblCellMar>
        </w:tblPrEx>
        <w:trPr>
          <w:trHeight w:val="499"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（二）“三公”经费预算</w:t>
            </w:r>
          </w:p>
        </w:tc>
      </w:tr>
      <w:tr>
        <w:tblPrEx>
          <w:tblCellMar>
            <w:top w:w="0" w:type="dxa"/>
            <w:left w:w="108" w:type="dxa"/>
            <w:bottom w:w="0" w:type="dxa"/>
            <w:right w:w="108" w:type="dxa"/>
          </w:tblCellMar>
        </w:tblPrEx>
        <w:trPr>
          <w:trHeight w:val="1500" w:hRule="atLeast"/>
        </w:trPr>
        <w:tc>
          <w:tcPr>
            <w:tcW w:w="8522" w:type="dxa"/>
            <w:tcBorders>
              <w:top w:val="nil"/>
              <w:left w:val="nil"/>
              <w:bottom w:val="nil"/>
              <w:right w:val="nil"/>
            </w:tcBorders>
            <w:shd w:val="clear" w:color="auto" w:fill="auto"/>
            <w:vAlign w:val="center"/>
          </w:tcPr>
          <w:p>
            <w:pPr>
              <w:widowControl/>
              <w:spacing w:line="600" w:lineRule="atLeast"/>
              <w:ind w:firstLine="560" w:firstLineChars="200"/>
              <w:jc w:val="left"/>
              <w:rPr>
                <w:rFonts w:ascii="仿宋_GB2312" w:hAnsi="宋体" w:eastAsia="仿宋_GB2312" w:cs="宋体"/>
                <w:color w:val="FF0000"/>
                <w:kern w:val="0"/>
                <w:sz w:val="28"/>
                <w:szCs w:val="28"/>
              </w:rPr>
            </w:pPr>
            <w:r>
              <w:rPr>
                <w:rFonts w:hint="eastAsia" w:ascii="仿宋_GB2312" w:hAnsi="宋体" w:eastAsia="仿宋_GB2312" w:cs="宋体"/>
                <w:kern w:val="0"/>
                <w:sz w:val="28"/>
                <w:szCs w:val="28"/>
              </w:rPr>
              <w:t>2022年本部门只包含市工商联机关本级“三公”经费预算数26万元，其中，公务接待费17万元，因公出国（境）费4.5万元，公务用车购置及运行费4.5万元，其中公务用车购置费0万元，公务用车运行费4.5万元。2022年“三公”经费预算与2021年持平。</w:t>
            </w:r>
          </w:p>
        </w:tc>
      </w:tr>
      <w:tr>
        <w:tblPrEx>
          <w:tblCellMar>
            <w:top w:w="0" w:type="dxa"/>
            <w:left w:w="108" w:type="dxa"/>
            <w:bottom w:w="0" w:type="dxa"/>
            <w:right w:w="108" w:type="dxa"/>
          </w:tblCellMar>
        </w:tblPrEx>
        <w:trPr>
          <w:trHeight w:val="375"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（三）一般性支出情况</w:t>
            </w:r>
          </w:p>
        </w:tc>
      </w:tr>
      <w:tr>
        <w:tblPrEx>
          <w:tblCellMar>
            <w:top w:w="0" w:type="dxa"/>
            <w:left w:w="108" w:type="dxa"/>
            <w:bottom w:w="0" w:type="dxa"/>
            <w:right w:w="108" w:type="dxa"/>
          </w:tblCellMar>
        </w:tblPrEx>
        <w:trPr>
          <w:trHeight w:val="1875"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2022年本部门会议费预算0.6万元，拟召开3次会议，人数100人，内容为全市工商联系统工作会议；培训费预算0.2万元，拟开展2次培训，人数60人次，主要内容为法律风险培训班和商协会业务培训。</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未计划举办节庆、晚会、论坛、赛事活动。</w:t>
            </w:r>
          </w:p>
        </w:tc>
      </w:tr>
      <w:tr>
        <w:tblPrEx>
          <w:tblCellMar>
            <w:top w:w="0" w:type="dxa"/>
            <w:left w:w="108" w:type="dxa"/>
            <w:bottom w:w="0" w:type="dxa"/>
            <w:right w:w="108" w:type="dxa"/>
          </w:tblCellMar>
        </w:tblPrEx>
        <w:trPr>
          <w:trHeight w:val="619"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（四）政府采购情况</w:t>
            </w:r>
          </w:p>
        </w:tc>
      </w:tr>
      <w:tr>
        <w:tblPrEx>
          <w:tblCellMar>
            <w:top w:w="0" w:type="dxa"/>
            <w:left w:w="108" w:type="dxa"/>
            <w:bottom w:w="0" w:type="dxa"/>
            <w:right w:w="108" w:type="dxa"/>
          </w:tblCellMar>
        </w:tblPrEx>
        <w:trPr>
          <w:trHeight w:val="750"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2022年本部门政府采购预算总额71.5万元，其中工程类0万元，货物类53万元，服务类18.5万元。</w:t>
            </w:r>
          </w:p>
        </w:tc>
      </w:tr>
      <w:tr>
        <w:tblPrEx>
          <w:tblCellMar>
            <w:top w:w="0" w:type="dxa"/>
            <w:left w:w="108" w:type="dxa"/>
            <w:bottom w:w="0" w:type="dxa"/>
            <w:right w:w="108" w:type="dxa"/>
          </w:tblCellMar>
        </w:tblPrEx>
        <w:trPr>
          <w:trHeight w:val="499"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（五）国有资产占有使用及新增资产配置情况</w:t>
            </w:r>
          </w:p>
        </w:tc>
      </w:tr>
      <w:tr>
        <w:tblPrEx>
          <w:tblCellMar>
            <w:top w:w="0" w:type="dxa"/>
            <w:left w:w="108" w:type="dxa"/>
            <w:bottom w:w="0" w:type="dxa"/>
            <w:right w:w="108" w:type="dxa"/>
          </w:tblCellMar>
        </w:tblPrEx>
        <w:trPr>
          <w:trHeight w:val="3259"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截至上年底，本单位共有车辆1辆，为一般公务用车。无单位价值50万元以上通用设备，无单位价值100万元以上专用设备。</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2022年拟报废处置公务用车1辆，拟新增配置车辆1辆，为一般公务用车，主要用于处理日常公共事务，资金来源为自筹。</w:t>
            </w:r>
          </w:p>
          <w:p>
            <w:pPr>
              <w:widowControl/>
              <w:jc w:val="left"/>
              <w:rPr>
                <w:rFonts w:ascii="仿宋_GB2312" w:hAnsi="宋体" w:eastAsia="仿宋_GB2312" w:cs="宋体"/>
                <w:kern w:val="0"/>
                <w:sz w:val="28"/>
                <w:szCs w:val="28"/>
              </w:rPr>
            </w:pPr>
            <w:r>
              <w:rPr>
                <w:rFonts w:hint="eastAsia" w:ascii="仿宋_GB2312" w:hAnsi="宋体" w:eastAsia="仿宋_GB2312" w:cs="宋体"/>
                <w:kern w:val="0"/>
                <w:sz w:val="28"/>
                <w:szCs w:val="28"/>
              </w:rPr>
              <w:t xml:space="preserve">   2022年无新增配备单位价值50万元以上通用设备和单位价值100万元以上专用设备计划。</w:t>
            </w:r>
          </w:p>
        </w:tc>
      </w:tr>
      <w:tr>
        <w:tblPrEx>
          <w:tblCellMar>
            <w:top w:w="0" w:type="dxa"/>
            <w:left w:w="108" w:type="dxa"/>
            <w:bottom w:w="0" w:type="dxa"/>
            <w:right w:w="108" w:type="dxa"/>
          </w:tblCellMar>
        </w:tblPrEx>
        <w:trPr>
          <w:trHeight w:val="499"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（六）预算绩效目标说明</w:t>
            </w:r>
          </w:p>
        </w:tc>
      </w:tr>
      <w:tr>
        <w:tblPrEx>
          <w:tblCellMar>
            <w:top w:w="0" w:type="dxa"/>
            <w:left w:w="108" w:type="dxa"/>
            <w:bottom w:w="0" w:type="dxa"/>
            <w:right w:w="108" w:type="dxa"/>
          </w:tblCellMar>
        </w:tblPrEx>
        <w:trPr>
          <w:trHeight w:val="750"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 xml:space="preserve">    本部门所有支出实行绩效目标管理。纳入2022年部门整体支出绩效目标的金额为298.2万元，其中，基本支出185.22万元，项目支出112.98万元，详见文尾附表中部门预算公开表格的表21-22。</w:t>
            </w:r>
          </w:p>
        </w:tc>
      </w:tr>
      <w:tr>
        <w:tblPrEx>
          <w:tblCellMar>
            <w:top w:w="0" w:type="dxa"/>
            <w:left w:w="108" w:type="dxa"/>
            <w:bottom w:w="0" w:type="dxa"/>
            <w:right w:w="108" w:type="dxa"/>
          </w:tblCellMar>
        </w:tblPrEx>
        <w:trPr>
          <w:trHeight w:val="499"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七、名词解释</w:t>
            </w:r>
          </w:p>
        </w:tc>
      </w:tr>
      <w:tr>
        <w:tblPrEx>
          <w:tblCellMar>
            <w:top w:w="0" w:type="dxa"/>
            <w:left w:w="108" w:type="dxa"/>
            <w:bottom w:w="0" w:type="dxa"/>
            <w:right w:w="108" w:type="dxa"/>
          </w:tblCellMar>
        </w:tblPrEx>
        <w:trPr>
          <w:trHeight w:val="3000" w:hRule="atLeast"/>
        </w:trPr>
        <w:tc>
          <w:tcPr>
            <w:tcW w:w="8522" w:type="dxa"/>
            <w:tcBorders>
              <w:top w:val="nil"/>
              <w:left w:val="nil"/>
              <w:bottom w:val="nil"/>
              <w:right w:val="nil"/>
            </w:tcBorders>
            <w:shd w:val="clear" w:color="auto" w:fill="auto"/>
            <w:vAlign w:val="center"/>
          </w:tcPr>
          <w:p>
            <w:pPr>
              <w:widowControl/>
              <w:jc w:val="left"/>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CellMar>
            <w:top w:w="0" w:type="dxa"/>
            <w:left w:w="108" w:type="dxa"/>
            <w:bottom w:w="0" w:type="dxa"/>
            <w:right w:w="108" w:type="dxa"/>
          </w:tblCellMar>
        </w:tblPrEx>
        <w:trPr>
          <w:trHeight w:val="900" w:hRule="atLeast"/>
        </w:trPr>
        <w:tc>
          <w:tcPr>
            <w:tcW w:w="8522" w:type="dxa"/>
            <w:tcBorders>
              <w:top w:val="nil"/>
              <w:left w:val="nil"/>
              <w:bottom w:val="nil"/>
              <w:right w:val="nil"/>
            </w:tcBorders>
            <w:shd w:val="clear" w:color="auto" w:fill="auto"/>
            <w:vAlign w:val="center"/>
          </w:tcPr>
          <w:p>
            <w:pPr>
              <w:widowControl/>
              <w:jc w:val="center"/>
              <w:rPr>
                <w:rFonts w:ascii="黑体" w:hAnsi="黑体" w:eastAsia="黑体" w:cs="宋体"/>
                <w:color w:val="000000"/>
                <w:kern w:val="0"/>
                <w:sz w:val="36"/>
                <w:szCs w:val="36"/>
              </w:rPr>
            </w:pPr>
            <w:r>
              <w:rPr>
                <w:rFonts w:hint="eastAsia" w:ascii="黑体" w:hAnsi="黑体" w:eastAsia="黑体" w:cs="宋体"/>
                <w:color w:val="000000"/>
                <w:kern w:val="0"/>
                <w:sz w:val="36"/>
                <w:szCs w:val="36"/>
              </w:rPr>
              <w:t>第二部分  2022年部门预算公开表格</w:t>
            </w:r>
          </w:p>
        </w:tc>
      </w:tr>
      <w:tr>
        <w:tblPrEx>
          <w:tblCellMar>
            <w:top w:w="0" w:type="dxa"/>
            <w:left w:w="108" w:type="dxa"/>
            <w:bottom w:w="0" w:type="dxa"/>
            <w:right w:w="108" w:type="dxa"/>
          </w:tblCellMar>
        </w:tblPrEx>
        <w:trPr>
          <w:trHeight w:val="4500" w:hRule="atLeast"/>
        </w:trPr>
        <w:tc>
          <w:tcPr>
            <w:tcW w:w="8522" w:type="dxa"/>
            <w:vMerge w:val="restart"/>
            <w:tcBorders>
              <w:top w:val="nil"/>
              <w:left w:val="nil"/>
              <w:bottom w:val="nil"/>
              <w:right w:val="nil"/>
            </w:tcBorders>
            <w:shd w:val="clear" w:color="auto" w:fill="auto"/>
            <w:vAlign w:val="center"/>
          </w:tcPr>
          <w:p>
            <w:pPr>
              <w:pStyle w:val="10"/>
              <w:widowControl/>
              <w:numPr>
                <w:ilvl w:val="0"/>
                <w:numId w:val="2"/>
              </w:numPr>
              <w:ind w:firstLineChars="0"/>
              <w:jc w:val="left"/>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2、收入总表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3、支出总表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4、支出预算分类汇总表（按政府预算经济分类）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5、支出预算分类汇总表（按部门预算经济分类）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6、财政拨款收支总表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7、一般公共预算支出表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8、一般公共预算基本支出表-人员经费（工资福利支出）（按政府预算经济分类）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9、一般公共预算基本支出表-人员经费（工资福利支出）（按部门预算经济分类）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10、一般公共预算基本支出表-人员经费（对个人和家庭的补助）（按政府预算经济分类）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11、一般公共预算基本支出表-人员经费（对个人和家庭的补助）（按部门预算经济分类）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12、一般公共预算基本支出表-</w:t>
            </w:r>
            <w:r>
              <w:rPr>
                <w:rFonts w:hint="eastAsia" w:ascii="仿宋_GB2312" w:hAnsi="宋体" w:eastAsia="仿宋_GB2312" w:cs="宋体"/>
                <w:color w:val="000000"/>
                <w:kern w:val="0"/>
                <w:sz w:val="28"/>
                <w:szCs w:val="28"/>
                <w:lang w:val="en-US" w:eastAsia="zh-CN"/>
              </w:rPr>
              <w:t>公用</w:t>
            </w:r>
            <w:r>
              <w:rPr>
                <w:rFonts w:hint="eastAsia" w:ascii="仿宋_GB2312" w:hAnsi="宋体" w:eastAsia="仿宋_GB2312" w:cs="宋体"/>
                <w:color w:val="000000"/>
                <w:kern w:val="0"/>
                <w:sz w:val="28"/>
                <w:szCs w:val="28"/>
              </w:rPr>
              <w:t>经费（商品和服务支出）（按政府预算经济分类）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13、一般公共预算基本支出表-</w:t>
            </w:r>
            <w:r>
              <w:rPr>
                <w:rFonts w:hint="eastAsia" w:ascii="仿宋_GB2312" w:hAnsi="宋体" w:eastAsia="仿宋_GB2312" w:cs="宋体"/>
                <w:color w:val="000000"/>
                <w:kern w:val="0"/>
                <w:sz w:val="28"/>
                <w:szCs w:val="28"/>
                <w:lang w:val="en-US" w:eastAsia="zh-CN"/>
              </w:rPr>
              <w:t>公用</w:t>
            </w:r>
            <w:bookmarkStart w:id="0" w:name="_GoBack"/>
            <w:bookmarkEnd w:id="0"/>
            <w:r>
              <w:rPr>
                <w:rFonts w:hint="eastAsia" w:ascii="仿宋_GB2312" w:hAnsi="宋体" w:eastAsia="仿宋_GB2312" w:cs="宋体"/>
                <w:color w:val="000000"/>
                <w:kern w:val="0"/>
                <w:sz w:val="28"/>
                <w:szCs w:val="28"/>
              </w:rPr>
              <w:t>经费（商品和服务支出）（按部门预算经济分类）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14、一般公共预算“三公”经费支出表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15、政府性基金预算支出表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16、政府性基金预算支出分类汇总表（按政府预算经济分类）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17、政府性基金预算支出分类汇总表（按部门预算经济分类）</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18、国有资本经营预算支出表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19、财政专户管理资金预算支出表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20、专项资金预算汇总表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21、项目支出绩效目标表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22、整体支出绩效目标表</w:t>
            </w:r>
          </w:p>
          <w:p>
            <w:pPr>
              <w:pStyle w:val="10"/>
              <w:widowControl/>
              <w:numPr>
                <w:ilvl w:val="1"/>
                <w:numId w:val="2"/>
              </w:numPr>
              <w:ind w:firstLineChars="0"/>
              <w:jc w:val="left"/>
              <w:rPr>
                <w:rFonts w:ascii="仿宋_GB2312" w:hAnsi="宋体" w:eastAsia="仿宋_GB2312" w:cs="宋体"/>
                <w:color w:val="000000"/>
                <w:kern w:val="0"/>
                <w:sz w:val="28"/>
                <w:szCs w:val="28"/>
              </w:rPr>
            </w:pPr>
            <w:r>
              <w:rPr>
                <w:rFonts w:hint="eastAsia" w:ascii="微软雅黑" w:hAnsi="微软雅黑" w:eastAsia="微软雅黑" w:cs="微软雅黑"/>
                <w:color w:val="333333"/>
                <w:sz w:val="28"/>
                <w:szCs w:val="28"/>
              </w:rPr>
              <w:t>一般公共预算基本支出表</w:t>
            </w:r>
            <w:r>
              <w:rPr>
                <w:rFonts w:hint="eastAsia" w:ascii="仿宋_GB2312" w:hAnsi="宋体" w:eastAsia="仿宋_GB2312" w:cs="宋体"/>
                <w:color w:val="000000"/>
                <w:kern w:val="0"/>
                <w:sz w:val="28"/>
                <w:szCs w:val="28"/>
              </w:rPr>
              <w:br w:type="textWrapping"/>
            </w:r>
            <w:r>
              <w:rPr>
                <w:rFonts w:hint="eastAsia" w:ascii="仿宋_GB2312" w:hAnsi="宋体" w:eastAsia="仿宋_GB2312" w:cs="宋体"/>
                <w:color w:val="000000"/>
                <w:kern w:val="0"/>
                <w:sz w:val="28"/>
                <w:szCs w:val="28"/>
              </w:rPr>
              <w:t>注：以上单位预算公开报表中，空表表示本单位无相关收支情况。</w:t>
            </w:r>
          </w:p>
        </w:tc>
      </w:tr>
      <w:tr>
        <w:tblPrEx>
          <w:tblCellMar>
            <w:top w:w="0" w:type="dxa"/>
            <w:left w:w="108" w:type="dxa"/>
            <w:bottom w:w="0" w:type="dxa"/>
            <w:right w:w="108" w:type="dxa"/>
          </w:tblCellMar>
        </w:tblPrEx>
        <w:trPr>
          <w:trHeight w:val="4500" w:hRule="atLeast"/>
        </w:trPr>
        <w:tc>
          <w:tcPr>
            <w:tcW w:w="8522" w:type="dxa"/>
            <w:vMerge w:val="continue"/>
            <w:tcBorders>
              <w:top w:val="nil"/>
              <w:left w:val="nil"/>
              <w:bottom w:val="nil"/>
              <w:right w:val="nil"/>
            </w:tcBorders>
            <w:vAlign w:val="center"/>
          </w:tcPr>
          <w:p>
            <w:pPr>
              <w:widowControl/>
              <w:jc w:val="left"/>
              <w:rPr>
                <w:rFonts w:ascii="仿宋_GB2312" w:hAnsi="宋体" w:eastAsia="仿宋_GB2312" w:cs="宋体"/>
                <w:color w:val="000000"/>
                <w:kern w:val="0"/>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B4B2C"/>
    <w:multiLevelType w:val="multilevel"/>
    <w:tmpl w:val="022B4B2C"/>
    <w:lvl w:ilvl="0" w:tentative="0">
      <w:start w:val="1"/>
      <w:numFmt w:val="decimal"/>
      <w:lvlText w:val="%1、"/>
      <w:lvlJc w:val="left"/>
      <w:pPr>
        <w:ind w:left="720" w:hanging="720"/>
      </w:pPr>
      <w:rPr>
        <w:rFonts w:hint="default"/>
      </w:rPr>
    </w:lvl>
    <w:lvl w:ilvl="1" w:tentative="0">
      <w:start w:val="23"/>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A517049"/>
    <w:multiLevelType w:val="multilevel"/>
    <w:tmpl w:val="0A517049"/>
    <w:lvl w:ilvl="0" w:tentative="0">
      <w:start w:val="1"/>
      <w:numFmt w:val="decimal"/>
      <w:lvlText w:val="%1、"/>
      <w:lvlJc w:val="left"/>
      <w:pPr>
        <w:ind w:left="720" w:hanging="720"/>
      </w:pPr>
      <w:rPr>
        <w:rFonts w:hint="default"/>
      </w:rPr>
    </w:lvl>
    <w:lvl w:ilvl="1" w:tentative="0">
      <w:start w:val="23"/>
      <w:numFmt w:val="decimal"/>
      <w:lvlText w:val="%2、"/>
      <w:lvlJc w:val="left"/>
      <w:pPr>
        <w:ind w:left="1140" w:hanging="720"/>
      </w:pPr>
      <w:rPr>
        <w:rFonts w:hint="default" w:ascii="微软雅黑" w:hAnsi="微软雅黑" w:eastAsia="微软雅黑" w:cs="微软雅黑"/>
        <w:color w:val="333333"/>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ExYTk2ODNkM2JjMjhmOGQ1OTBkMDcxNmY3M2Y0OWUifQ=="/>
  </w:docVars>
  <w:rsids>
    <w:rsidRoot w:val="008F00F8"/>
    <w:rsid w:val="00175541"/>
    <w:rsid w:val="001B0693"/>
    <w:rsid w:val="002D528A"/>
    <w:rsid w:val="006234A9"/>
    <w:rsid w:val="008F00F8"/>
    <w:rsid w:val="00E91025"/>
    <w:rsid w:val="00EE1BBA"/>
    <w:rsid w:val="23CF22AB"/>
    <w:rsid w:val="3EF71606"/>
    <w:rsid w:val="65184D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ascii="Calibri" w:hAnsi="Calibri" w:eastAsia="宋体" w:cs="Times New Roman"/>
      <w:kern w:val="0"/>
      <w:sz w:val="24"/>
      <w:szCs w:val="24"/>
    </w:r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qFormat/>
    <w:uiPriority w:val="99"/>
    <w:rPr>
      <w:sz w:val="18"/>
      <w:szCs w:val="18"/>
    </w:rPr>
  </w:style>
  <w:style w:type="paragraph" w:styleId="10">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3679</Words>
  <Characters>3983</Characters>
  <Lines>29</Lines>
  <Paragraphs>8</Paragraphs>
  <TotalTime>5</TotalTime>
  <ScaleCrop>false</ScaleCrop>
  <LinksUpToDate>false</LinksUpToDate>
  <CharactersWithSpaces>4043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2023-09-21T07:00:00Z</dcterms:created>
  <dc:creator>PC</dc:creator>
  <cp:lastModifiedBy>zyh</cp:lastModifiedBy>
  <dcterms:modified xsi:type="dcterms:W3CDTF">2023-09-22T23:37:51Z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35659903CECB4FAAA810D34E6C63175D_12</vt:lpwstr>
  </property>
</Properties>
</file>